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BAA3C7" w14:textId="58FD1560" w:rsidR="00EA55A9" w:rsidRDefault="00914E2C">
      <w:pPr>
        <w:pStyle w:val="Heading3"/>
        <w:numPr>
          <w:ilvl w:val="2"/>
          <w:numId w:val="5"/>
        </w:numPr>
      </w:pPr>
      <w:bookmarkStart w:id="0" w:name="_heading=h.gjdgxs" w:colFirst="0" w:colLast="0"/>
      <w:bookmarkEnd w:id="0"/>
      <w:r>
        <w:t xml:space="preserve">Lab </w:t>
      </w:r>
      <w:r w:rsidR="008178A9">
        <w:t>12</w:t>
      </w:r>
      <w:r>
        <w:t xml:space="preserve"> – </w:t>
      </w:r>
      <w:r w:rsidR="008178A9">
        <w:t>Man in the Middle</w:t>
      </w:r>
    </w:p>
    <w:p w14:paraId="0629BD5F" w14:textId="77777777" w:rsidR="00EA55A9" w:rsidRDefault="00914E2C">
      <w:pPr>
        <w:pStyle w:val="Heading3"/>
        <w:numPr>
          <w:ilvl w:val="2"/>
          <w:numId w:val="5"/>
        </w:numPr>
        <w:rPr>
          <w:sz w:val="30"/>
          <w:szCs w:val="30"/>
        </w:rPr>
      </w:pPr>
      <w:r>
        <w:rPr>
          <w:sz w:val="30"/>
          <w:szCs w:val="30"/>
        </w:rPr>
        <w:t xml:space="preserve">Due as per D2L </w:t>
      </w:r>
      <w:proofErr w:type="spellStart"/>
      <w:r>
        <w:rPr>
          <w:sz w:val="30"/>
          <w:szCs w:val="30"/>
        </w:rPr>
        <w:t>dropbox</w:t>
      </w:r>
      <w:proofErr w:type="spellEnd"/>
    </w:p>
    <w:p w14:paraId="0A52A235" w14:textId="77777777" w:rsidR="00EA55A9" w:rsidRDefault="00914E2C">
      <w:pPr>
        <w:keepLines/>
        <w:pBdr>
          <w:top w:val="nil"/>
          <w:left w:val="nil"/>
          <w:bottom w:val="nil"/>
          <w:right w:val="nil"/>
          <w:between w:val="nil"/>
        </w:pBdr>
        <w:spacing w:before="240"/>
        <w:rPr>
          <w:rFonts w:ascii="Arial" w:eastAsia="Arial" w:hAnsi="Arial" w:cs="Arial"/>
          <w:b/>
          <w:color w:val="000000"/>
          <w:sz w:val="22"/>
          <w:szCs w:val="22"/>
        </w:rPr>
      </w:pPr>
      <w:r>
        <w:rPr>
          <w:rFonts w:ascii="Arial" w:eastAsia="Arial" w:hAnsi="Arial" w:cs="Arial"/>
          <w:b/>
          <w:color w:val="000000"/>
          <w:sz w:val="22"/>
          <w:szCs w:val="22"/>
        </w:rPr>
        <w:t>Scoring Rubric</w:t>
      </w:r>
    </w:p>
    <w:tbl>
      <w:tblPr>
        <w:tblStyle w:val="a"/>
        <w:tblW w:w="9405" w:type="dxa"/>
        <w:tblInd w:w="178" w:type="dxa"/>
        <w:tblLayout w:type="fixed"/>
        <w:tblLook w:val="0000" w:firstRow="0" w:lastRow="0" w:firstColumn="0" w:lastColumn="0" w:noHBand="0" w:noVBand="0"/>
      </w:tblPr>
      <w:tblGrid>
        <w:gridCol w:w="645"/>
        <w:gridCol w:w="8760"/>
      </w:tblGrid>
      <w:tr w:rsidR="00EA55A9" w14:paraId="1B81697C" w14:textId="77777777">
        <w:tc>
          <w:tcPr>
            <w:tcW w:w="645" w:type="dxa"/>
            <w:tcBorders>
              <w:top w:val="single" w:sz="4" w:space="0" w:color="000000"/>
              <w:left w:val="single" w:sz="4" w:space="0" w:color="000000"/>
              <w:bottom w:val="single" w:sz="4" w:space="0" w:color="000000"/>
            </w:tcBorders>
            <w:shd w:val="clear" w:color="auto" w:fill="auto"/>
          </w:tcPr>
          <w:p w14:paraId="1F2583AD" w14:textId="77777777" w:rsidR="00EA55A9" w:rsidRDefault="00914E2C">
            <w:pPr>
              <w:jc w:val="right"/>
            </w:pPr>
            <w:r>
              <w:t>100</w:t>
            </w:r>
          </w:p>
        </w:tc>
        <w:tc>
          <w:tcPr>
            <w:tcW w:w="8760" w:type="dxa"/>
            <w:tcBorders>
              <w:top w:val="single" w:sz="4" w:space="0" w:color="000000"/>
              <w:left w:val="single" w:sz="4" w:space="0" w:color="000000"/>
              <w:bottom w:val="single" w:sz="4" w:space="0" w:color="000000"/>
              <w:right w:val="single" w:sz="4" w:space="0" w:color="000000"/>
            </w:tcBorders>
            <w:shd w:val="clear" w:color="auto" w:fill="auto"/>
          </w:tcPr>
          <w:p w14:paraId="7D395511" w14:textId="511BBD33" w:rsidR="00EA55A9" w:rsidRDefault="00914E2C">
            <w:r>
              <w:t xml:space="preserve">Successfully </w:t>
            </w:r>
            <w:r w:rsidR="009B3E77">
              <w:t>reroutes ARP traffic</w:t>
            </w:r>
            <w:r>
              <w:t xml:space="preserve"> and provides </w:t>
            </w:r>
            <w:proofErr w:type="gramStart"/>
            <w:r>
              <w:t>all of</w:t>
            </w:r>
            <w:proofErr w:type="gramEnd"/>
            <w:r>
              <w:t xml:space="preserve"> the required </w:t>
            </w:r>
            <w:r w:rsidR="009B3E77">
              <w:t xml:space="preserve">screenshot </w:t>
            </w:r>
            <w:r>
              <w:t>documentation (or provides in-lab demo in front of instructor).</w:t>
            </w:r>
          </w:p>
        </w:tc>
      </w:tr>
      <w:tr w:rsidR="009B3E77" w14:paraId="72E145D7" w14:textId="77777777">
        <w:tc>
          <w:tcPr>
            <w:tcW w:w="645" w:type="dxa"/>
            <w:tcBorders>
              <w:top w:val="single" w:sz="4" w:space="0" w:color="000000"/>
              <w:left w:val="single" w:sz="4" w:space="0" w:color="000000"/>
              <w:bottom w:val="single" w:sz="4" w:space="0" w:color="000000"/>
            </w:tcBorders>
            <w:shd w:val="clear" w:color="auto" w:fill="auto"/>
          </w:tcPr>
          <w:p w14:paraId="4EB87AB6" w14:textId="06E3750D" w:rsidR="009B3E77" w:rsidRDefault="009B3E77">
            <w:pPr>
              <w:jc w:val="right"/>
            </w:pPr>
            <w:r>
              <w:t>0</w:t>
            </w:r>
          </w:p>
        </w:tc>
        <w:tc>
          <w:tcPr>
            <w:tcW w:w="8760" w:type="dxa"/>
            <w:tcBorders>
              <w:top w:val="single" w:sz="4" w:space="0" w:color="000000"/>
              <w:left w:val="single" w:sz="4" w:space="0" w:color="000000"/>
              <w:bottom w:val="single" w:sz="4" w:space="0" w:color="000000"/>
              <w:right w:val="single" w:sz="4" w:space="0" w:color="000000"/>
            </w:tcBorders>
            <w:shd w:val="clear" w:color="auto" w:fill="auto"/>
          </w:tcPr>
          <w:p w14:paraId="16486898" w14:textId="3B5094BA" w:rsidR="009B3E77" w:rsidRDefault="009B3E77">
            <w:r>
              <w:t>Nothing turned in or document is not readable or does not accomplish the lab activities</w:t>
            </w:r>
          </w:p>
        </w:tc>
      </w:tr>
    </w:tbl>
    <w:p w14:paraId="01B4B585" w14:textId="77777777" w:rsidR="00EA55A9" w:rsidRDefault="00914E2C">
      <w:pPr>
        <w:keepLines/>
        <w:pBdr>
          <w:top w:val="nil"/>
          <w:left w:val="nil"/>
          <w:bottom w:val="nil"/>
          <w:right w:val="nil"/>
          <w:between w:val="nil"/>
        </w:pBdr>
        <w:spacing w:before="240"/>
        <w:rPr>
          <w:rFonts w:ascii="Arial" w:eastAsia="Arial" w:hAnsi="Arial" w:cs="Arial"/>
          <w:b/>
          <w:color w:val="000000"/>
          <w:sz w:val="22"/>
          <w:szCs w:val="22"/>
        </w:rPr>
      </w:pPr>
      <w:r>
        <w:rPr>
          <w:rFonts w:ascii="Arial" w:eastAsia="Arial" w:hAnsi="Arial" w:cs="Arial"/>
          <w:b/>
          <w:color w:val="000000"/>
          <w:sz w:val="22"/>
          <w:szCs w:val="22"/>
        </w:rPr>
        <w:t>Goal</w:t>
      </w:r>
    </w:p>
    <w:p w14:paraId="0CA465F1" w14:textId="428F19D2" w:rsidR="00EA55A9" w:rsidRDefault="00914E2C">
      <w:r>
        <w:t xml:space="preserve">To </w:t>
      </w:r>
      <w:r w:rsidR="009B3E77">
        <w:t xml:space="preserve">successfully complete an ARP-based man in the middle attack using specialized software (i.e. </w:t>
      </w:r>
      <w:proofErr w:type="spellStart"/>
      <w:r w:rsidR="009B3E77">
        <w:t>arpspoof</w:t>
      </w:r>
      <w:proofErr w:type="spellEnd"/>
      <w:r w:rsidR="009B3E77">
        <w:t>, etc.).</w:t>
      </w:r>
    </w:p>
    <w:p w14:paraId="19E791FE" w14:textId="77777777" w:rsidR="00EA55A9" w:rsidRDefault="00914E2C">
      <w:pPr>
        <w:keepLines/>
        <w:pBdr>
          <w:top w:val="nil"/>
          <w:left w:val="nil"/>
          <w:bottom w:val="nil"/>
          <w:right w:val="nil"/>
          <w:between w:val="nil"/>
        </w:pBdr>
        <w:spacing w:before="240"/>
        <w:rPr>
          <w:rFonts w:ascii="Arial" w:eastAsia="Arial" w:hAnsi="Arial" w:cs="Arial"/>
          <w:b/>
          <w:color w:val="000000"/>
          <w:sz w:val="22"/>
          <w:szCs w:val="22"/>
        </w:rPr>
      </w:pPr>
      <w:r>
        <w:rPr>
          <w:rFonts w:ascii="Arial" w:eastAsia="Arial" w:hAnsi="Arial" w:cs="Arial"/>
          <w:b/>
          <w:color w:val="000000"/>
          <w:sz w:val="22"/>
          <w:szCs w:val="22"/>
        </w:rPr>
        <w:t>Deliverables</w:t>
      </w:r>
    </w:p>
    <w:p w14:paraId="63D873A9" w14:textId="36A954A1" w:rsidR="00EA55A9" w:rsidRDefault="00914E2C">
      <w:r>
        <w:t>Upload an MS Word DOCX</w:t>
      </w:r>
      <w:r w:rsidR="009B3E77">
        <w:t xml:space="preserve"> </w:t>
      </w:r>
      <w:r>
        <w:t xml:space="preserve">or PDF file to D2L with name, course #, assignment and appropriate documentation (e.g. embedded </w:t>
      </w:r>
      <w:r w:rsidR="00506762">
        <w:t>screenshots</w:t>
      </w:r>
      <w:r>
        <w:t>).</w:t>
      </w:r>
    </w:p>
    <w:p w14:paraId="01DA0668" w14:textId="77777777" w:rsidR="00EA55A9" w:rsidRDefault="00914E2C">
      <w:pPr>
        <w:keepLines/>
        <w:pBdr>
          <w:top w:val="nil"/>
          <w:left w:val="nil"/>
          <w:bottom w:val="nil"/>
          <w:right w:val="nil"/>
          <w:between w:val="nil"/>
        </w:pBdr>
        <w:spacing w:before="240"/>
        <w:rPr>
          <w:rFonts w:ascii="Arial" w:eastAsia="Arial" w:hAnsi="Arial" w:cs="Arial"/>
          <w:b/>
          <w:color w:val="000000"/>
          <w:sz w:val="22"/>
          <w:szCs w:val="22"/>
        </w:rPr>
      </w:pPr>
      <w:r>
        <w:rPr>
          <w:rFonts w:ascii="Arial" w:eastAsia="Arial" w:hAnsi="Arial" w:cs="Arial"/>
          <w:b/>
          <w:sz w:val="22"/>
          <w:szCs w:val="22"/>
        </w:rPr>
        <w:t xml:space="preserve">Setup </w:t>
      </w:r>
      <w:r>
        <w:rPr>
          <w:rFonts w:ascii="Arial" w:eastAsia="Arial" w:hAnsi="Arial" w:cs="Arial"/>
          <w:b/>
          <w:color w:val="000000"/>
          <w:sz w:val="22"/>
          <w:szCs w:val="22"/>
        </w:rPr>
        <w:t>Details</w:t>
      </w:r>
    </w:p>
    <w:p w14:paraId="696DC22A" w14:textId="4CE71A1C" w:rsidR="00EA55A9" w:rsidRDefault="00914E2C" w:rsidP="009B3E77">
      <w:r>
        <w:t>You</w:t>
      </w:r>
      <w:r w:rsidR="00B32E8D">
        <w:t xml:space="preserve"> wi</w:t>
      </w:r>
      <w:r>
        <w:t xml:space="preserve">ll need two systems. One is the attack platform </w:t>
      </w:r>
      <w:r w:rsidR="009B3E77">
        <w:t xml:space="preserve">running </w:t>
      </w:r>
      <w:r>
        <w:t>Kali</w:t>
      </w:r>
      <w:r w:rsidR="009B3E77">
        <w:t xml:space="preserve">. </w:t>
      </w:r>
      <w:r>
        <w:t>The other is the target machine that you are going after. The target machine can be an</w:t>
      </w:r>
      <w:r w:rsidR="009B3E77">
        <w:t>y</w:t>
      </w:r>
      <w:r>
        <w:t xml:space="preserve"> </w:t>
      </w:r>
      <w:r w:rsidR="009B3E77">
        <w:t>machine</w:t>
      </w:r>
      <w:r>
        <w:t xml:space="preserve"> running on your host machine, or </w:t>
      </w:r>
      <w:r w:rsidR="009B3E77">
        <w:t>even your host machine itself.</w:t>
      </w:r>
    </w:p>
    <w:p w14:paraId="13E5584D" w14:textId="607943FC" w:rsidR="009B3E77" w:rsidRDefault="009B3E77" w:rsidP="009B3E77"/>
    <w:p w14:paraId="2731F55D" w14:textId="1C7D071D" w:rsidR="009B3E77" w:rsidRDefault="009B3E77" w:rsidP="009B3E77">
      <w:pPr>
        <w:pStyle w:val="ListParagraph"/>
        <w:numPr>
          <w:ilvl w:val="0"/>
          <w:numId w:val="8"/>
        </w:numPr>
      </w:pPr>
      <w:r>
        <w:t xml:space="preserve">If you plan to use </w:t>
      </w:r>
      <w:proofErr w:type="spellStart"/>
      <w:r>
        <w:t>arpspoof</w:t>
      </w:r>
      <w:proofErr w:type="spellEnd"/>
      <w:r>
        <w:t xml:space="preserve">, you may need to install its software (Kali does not come with it) which is part of the </w:t>
      </w:r>
      <w:proofErr w:type="spellStart"/>
      <w:r>
        <w:t>dsniff</w:t>
      </w:r>
      <w:proofErr w:type="spellEnd"/>
      <w:r>
        <w:t xml:space="preserve"> </w:t>
      </w:r>
      <w:r w:rsidR="003C6033">
        <w:t xml:space="preserve">software </w:t>
      </w:r>
      <w:r>
        <w:t>package.</w:t>
      </w:r>
    </w:p>
    <w:p w14:paraId="32BEB25B" w14:textId="77777777" w:rsidR="00EA55A9" w:rsidRDefault="00914E2C">
      <w:pPr>
        <w:keepLines/>
        <w:pBdr>
          <w:top w:val="nil"/>
          <w:left w:val="nil"/>
          <w:bottom w:val="nil"/>
          <w:right w:val="nil"/>
          <w:between w:val="nil"/>
        </w:pBdr>
        <w:spacing w:before="240"/>
        <w:rPr>
          <w:rFonts w:ascii="Arial" w:eastAsia="Arial" w:hAnsi="Arial" w:cs="Arial"/>
          <w:b/>
          <w:sz w:val="22"/>
          <w:szCs w:val="22"/>
        </w:rPr>
      </w:pPr>
      <w:r>
        <w:rPr>
          <w:rFonts w:ascii="Arial" w:eastAsia="Arial" w:hAnsi="Arial" w:cs="Arial"/>
          <w:b/>
          <w:color w:val="000000"/>
          <w:sz w:val="22"/>
          <w:szCs w:val="22"/>
        </w:rPr>
        <w:t>Attack Details</w:t>
      </w:r>
    </w:p>
    <w:p w14:paraId="4E4C3A67" w14:textId="7E0B02B1" w:rsidR="00EA55A9" w:rsidRDefault="00914E2C" w:rsidP="003C6033">
      <w:r>
        <w:t xml:space="preserve">Remember to take a snapshot of your installed, updated Kali VM prior to making any serious modifications (so you can undo those changes </w:t>
      </w:r>
      <w:proofErr w:type="gramStart"/>
      <w:r>
        <w:t>later on</w:t>
      </w:r>
      <w:proofErr w:type="gramEnd"/>
      <w:r>
        <w:t>).</w:t>
      </w:r>
      <w:r>
        <w:br/>
      </w:r>
    </w:p>
    <w:p w14:paraId="7F52C61A" w14:textId="36D62221" w:rsidR="00EA55A9" w:rsidRPr="003C6033" w:rsidRDefault="00914E2C" w:rsidP="003C6033">
      <w:pPr>
        <w:numPr>
          <w:ilvl w:val="0"/>
          <w:numId w:val="4"/>
        </w:numPr>
      </w:pPr>
      <w:r>
        <w:t xml:space="preserve">For </w:t>
      </w:r>
      <w:r w:rsidR="003C6033">
        <w:t xml:space="preserve">any software you choose to use, take a screenshot of the ARP list on the target machine and a screenshot of a packet capture using </w:t>
      </w:r>
      <w:proofErr w:type="spellStart"/>
      <w:r w:rsidR="003C6033">
        <w:t>wireshark</w:t>
      </w:r>
      <w:proofErr w:type="spellEnd"/>
      <w:r w:rsidR="003C6033">
        <w:t xml:space="preserve"> </w:t>
      </w:r>
      <w:r w:rsidR="003C6033" w:rsidRPr="003C6033">
        <w:rPr>
          <w:u w:val="single"/>
        </w:rPr>
        <w:t>showing the MAC addresses of the host and destination machines</w:t>
      </w:r>
      <w:r w:rsidR="003C6033">
        <w:t xml:space="preserve"> (One should be your router and the other should be the target machine.)</w:t>
      </w:r>
    </w:p>
    <w:p w14:paraId="2586C962" w14:textId="77777777" w:rsidR="00EA55A9" w:rsidRDefault="00914E2C">
      <w:pPr>
        <w:keepLines/>
        <w:pBdr>
          <w:top w:val="nil"/>
          <w:left w:val="nil"/>
          <w:bottom w:val="nil"/>
          <w:right w:val="nil"/>
          <w:between w:val="nil"/>
        </w:pBdr>
        <w:spacing w:before="240"/>
        <w:rPr>
          <w:rFonts w:ascii="Arial" w:eastAsia="Arial" w:hAnsi="Arial" w:cs="Arial"/>
          <w:b/>
          <w:color w:val="000000"/>
          <w:sz w:val="22"/>
          <w:szCs w:val="22"/>
        </w:rPr>
      </w:pPr>
      <w:r>
        <w:rPr>
          <w:rFonts w:ascii="Arial" w:eastAsia="Arial" w:hAnsi="Arial" w:cs="Arial"/>
          <w:b/>
          <w:color w:val="000000"/>
          <w:sz w:val="22"/>
          <w:szCs w:val="22"/>
        </w:rPr>
        <w:t>Restrictions</w:t>
      </w:r>
    </w:p>
    <w:p w14:paraId="3EE88AD8" w14:textId="1608FE53" w:rsidR="00EA55A9" w:rsidRDefault="00914E2C" w:rsidP="008E1C7E">
      <w:pPr>
        <w:pStyle w:val="ListParagraph"/>
        <w:numPr>
          <w:ilvl w:val="0"/>
          <w:numId w:val="6"/>
        </w:numPr>
      </w:pPr>
      <w:r>
        <w:t xml:space="preserve">Students should take care when entering a target machine's IP addresses (or CDIR addresses) to ensure that only the correct address(es) are targeted. </w:t>
      </w:r>
      <w:r>
        <w:rPr>
          <w:noProof/>
        </w:rPr>
        <w:drawing>
          <wp:anchor distT="0" distB="0" distL="114935" distR="114935" simplePos="0" relativeHeight="251658240" behindDoc="0" locked="0" layoutInCell="1" hidden="0" allowOverlap="1" wp14:anchorId="5C04B363" wp14:editId="3B62CE2F">
            <wp:simplePos x="0" y="0"/>
            <wp:positionH relativeFrom="column">
              <wp:posOffset>-259714</wp:posOffset>
            </wp:positionH>
            <wp:positionV relativeFrom="paragraph">
              <wp:posOffset>297180</wp:posOffset>
            </wp:positionV>
            <wp:extent cx="416560" cy="36639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6560" cy="366395"/>
                    </a:xfrm>
                    <a:prstGeom prst="rect">
                      <a:avLst/>
                    </a:prstGeom>
                    <a:ln/>
                  </pic:spPr>
                </pic:pic>
              </a:graphicData>
            </a:graphic>
          </wp:anchor>
        </w:drawing>
      </w:r>
    </w:p>
    <w:p w14:paraId="7A235CED" w14:textId="77777777" w:rsidR="00EA55A9" w:rsidRDefault="00EA55A9" w:rsidP="008E1C7E">
      <w:pPr>
        <w:ind w:left="720"/>
      </w:pPr>
    </w:p>
    <w:p w14:paraId="39B0F5D8" w14:textId="77777777" w:rsidR="00EA55A9" w:rsidRDefault="00914E2C" w:rsidP="008E1C7E">
      <w:pPr>
        <w:pStyle w:val="ListParagraph"/>
        <w:numPr>
          <w:ilvl w:val="0"/>
          <w:numId w:val="6"/>
        </w:numPr>
      </w:pPr>
      <w:r>
        <w:t>Under no circumstances are students to actively compromise or subvert control of any hosts for which they are not the rightful owner or for which they do not have written permission to do so.</w:t>
      </w:r>
    </w:p>
    <w:p w14:paraId="54D44226" w14:textId="77777777" w:rsidR="00EA55A9" w:rsidRDefault="00914E2C">
      <w:pPr>
        <w:keepLines/>
        <w:pBdr>
          <w:top w:val="nil"/>
          <w:left w:val="nil"/>
          <w:bottom w:val="nil"/>
          <w:right w:val="nil"/>
          <w:between w:val="nil"/>
        </w:pBdr>
        <w:spacing w:before="240"/>
        <w:rPr>
          <w:rFonts w:ascii="Arial" w:eastAsia="Arial" w:hAnsi="Arial" w:cs="Arial"/>
          <w:b/>
          <w:color w:val="000000"/>
          <w:sz w:val="22"/>
          <w:szCs w:val="22"/>
        </w:rPr>
      </w:pPr>
      <w:r>
        <w:rPr>
          <w:rFonts w:ascii="Arial" w:eastAsia="Arial" w:hAnsi="Arial" w:cs="Arial"/>
          <w:b/>
          <w:color w:val="000000"/>
          <w:sz w:val="22"/>
          <w:szCs w:val="22"/>
        </w:rPr>
        <w:t>Background &amp; Resources</w:t>
      </w:r>
    </w:p>
    <w:p w14:paraId="6DFA8E1C" w14:textId="77777777" w:rsidR="00EA55A9" w:rsidRDefault="00914E2C" w:rsidP="008E1C7E">
      <w:pPr>
        <w:pStyle w:val="ListParagraph"/>
        <w:numPr>
          <w:ilvl w:val="0"/>
          <w:numId w:val="7"/>
        </w:numPr>
      </w:pPr>
      <w:r>
        <w:t>Scanning chapter in CHR.</w:t>
      </w:r>
    </w:p>
    <w:p w14:paraId="402AAE00" w14:textId="7525A56E" w:rsidR="00EA55A9" w:rsidRDefault="00914E2C" w:rsidP="008E1C7E">
      <w:pPr>
        <w:pStyle w:val="ListParagraph"/>
        <w:numPr>
          <w:ilvl w:val="0"/>
          <w:numId w:val="7"/>
        </w:numPr>
      </w:pPr>
      <w:r>
        <w:t xml:space="preserve">Documentation for </w:t>
      </w:r>
      <w:proofErr w:type="spellStart"/>
      <w:r w:rsidR="003C6033">
        <w:t>arpspoof</w:t>
      </w:r>
      <w:proofErr w:type="spellEnd"/>
      <w:r>
        <w:t xml:space="preserve"> (see the tool itself, and online).</w:t>
      </w:r>
    </w:p>
    <w:p w14:paraId="40620A25" w14:textId="77777777" w:rsidR="00EA55A9" w:rsidRDefault="00EA55A9"/>
    <w:p w14:paraId="0C2C069C" w14:textId="77777777" w:rsidR="00EA55A9" w:rsidRDefault="00914E2C">
      <w:pPr>
        <w:rPr>
          <w:sz w:val="20"/>
          <w:szCs w:val="20"/>
        </w:rPr>
      </w:pPr>
      <w:r>
        <w:rPr>
          <w:sz w:val="20"/>
          <w:szCs w:val="20"/>
        </w:rPr>
        <w:t>Notes:</w:t>
      </w:r>
    </w:p>
    <w:p w14:paraId="100647FF" w14:textId="2F6D0378" w:rsidR="00EA55A9" w:rsidRDefault="00914E2C">
      <w:pPr>
        <w:rPr>
          <w:color w:val="0000FF"/>
          <w:u w:val="single"/>
        </w:rPr>
      </w:pPr>
      <w:r>
        <w:rPr>
          <w:sz w:val="20"/>
          <w:szCs w:val="20"/>
        </w:rPr>
        <w:t xml:space="preserve">“Warning sign” image from </w:t>
      </w:r>
      <w:hyperlink r:id="rId9">
        <w:r>
          <w:rPr>
            <w:color w:val="0000FF"/>
            <w:u w:val="single"/>
          </w:rPr>
          <w:t>http://en.wikipedia.org/wiki/Exclamation_mark</w:t>
        </w:r>
      </w:hyperlink>
    </w:p>
    <w:sectPr w:rsidR="00EA55A9" w:rsidSect="008E1C7E">
      <w:headerReference w:type="even" r:id="rId10"/>
      <w:headerReference w:type="default" r:id="rId11"/>
      <w:footerReference w:type="even" r:id="rId12"/>
      <w:footerReference w:type="default" r:id="rId13"/>
      <w:headerReference w:type="first" r:id="rId14"/>
      <w:footerReference w:type="first" r:id="rId15"/>
      <w:pgSz w:w="12240" w:h="15840"/>
      <w:pgMar w:top="1440" w:right="1170" w:bottom="1440" w:left="1440" w:header="720"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D0170" w14:textId="77777777" w:rsidR="0025660E" w:rsidRDefault="0025660E">
      <w:r>
        <w:separator/>
      </w:r>
    </w:p>
  </w:endnote>
  <w:endnote w:type="continuationSeparator" w:id="0">
    <w:p w14:paraId="745FBA3A" w14:textId="77777777" w:rsidR="0025660E" w:rsidRDefault="0025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B000F" w14:textId="77777777" w:rsidR="00EA55A9" w:rsidRDefault="00EA55A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95AD6" w14:textId="77777777" w:rsidR="00EA55A9" w:rsidRDefault="00914E2C">
    <w:pPr>
      <w:pBdr>
        <w:top w:val="nil"/>
        <w:left w:val="nil"/>
        <w:bottom w:val="nil"/>
        <w:right w:val="nil"/>
        <w:between w:val="nil"/>
      </w:pBdr>
      <w:tabs>
        <w:tab w:val="center" w:pos="4320"/>
        <w:tab w:val="right" w:pos="8640"/>
      </w:tabs>
      <w:jc w:val="center"/>
      <w:rPr>
        <w:color w:val="000000"/>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A45C0A">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A45C0A">
      <w:rPr>
        <w:noProof/>
        <w:color w:val="000000"/>
        <w:sz w:val="18"/>
        <w:szCs w:val="18"/>
      </w:rPr>
      <w:t>2</w:t>
    </w:r>
    <w:r>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783BF" w14:textId="77777777" w:rsidR="00EA55A9" w:rsidRDefault="00EA55A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B7E54" w14:textId="77777777" w:rsidR="0025660E" w:rsidRDefault="0025660E">
      <w:r>
        <w:separator/>
      </w:r>
    </w:p>
  </w:footnote>
  <w:footnote w:type="continuationSeparator" w:id="0">
    <w:p w14:paraId="1626C0F1" w14:textId="77777777" w:rsidR="0025660E" w:rsidRDefault="0025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4433C" w14:textId="77777777" w:rsidR="00EA55A9" w:rsidRDefault="00EA55A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A3110" w14:textId="3BF4A1DA" w:rsidR="00EA55A9" w:rsidRDefault="00914E2C" w:rsidP="008E1C7E">
    <w:pPr>
      <w:pStyle w:val="Heading2"/>
      <w:keepNext/>
      <w:tabs>
        <w:tab w:val="right" w:pos="9630"/>
      </w:tabs>
      <w:rPr>
        <w:sz w:val="22"/>
        <w:szCs w:val="22"/>
      </w:rPr>
    </w:pPr>
    <w:r>
      <w:rPr>
        <w:sz w:val="22"/>
        <w:szCs w:val="22"/>
      </w:rPr>
      <w:tab/>
      <w:t>Last revised 1</w:t>
    </w:r>
    <w:r w:rsidR="008178A9">
      <w:rPr>
        <w:sz w:val="22"/>
        <w:szCs w:val="22"/>
      </w:rPr>
      <w:t>1</w:t>
    </w:r>
    <w:r>
      <w:rPr>
        <w:sz w:val="22"/>
        <w:szCs w:val="22"/>
      </w:rPr>
      <w:t>/</w:t>
    </w:r>
    <w:r w:rsidR="008178A9">
      <w:rPr>
        <w:sz w:val="22"/>
        <w:szCs w:val="22"/>
      </w:rPr>
      <w:t>17</w:t>
    </w:r>
    <w:r>
      <w:rPr>
        <w:sz w:val="22"/>
        <w:szCs w:val="22"/>
      </w:rPr>
      <w:t>/2020</w:t>
    </w:r>
  </w:p>
  <w:p w14:paraId="72691591" w14:textId="77777777" w:rsidR="00EA55A9" w:rsidRDefault="00EA55A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8FE2D" w14:textId="77777777" w:rsidR="00EA55A9" w:rsidRDefault="00EA55A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F765B"/>
    <w:multiLevelType w:val="multilevel"/>
    <w:tmpl w:val="82D25758"/>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E4336F"/>
    <w:multiLevelType w:val="multilevel"/>
    <w:tmpl w:val="BFD27BEA"/>
    <w:lvl w:ilvl="0">
      <w:start w:val="1"/>
      <w:numFmt w:val="bullet"/>
      <w:pStyle w:val="StyleBulleted14ptGray-40"/>
      <w:lvlText w:val="●"/>
      <w:lvlJc w:val="left"/>
      <w:pPr>
        <w:ind w:left="780" w:hanging="360"/>
      </w:pPr>
    </w:lvl>
    <w:lvl w:ilvl="1">
      <w:start w:val="1"/>
      <w:numFmt w:val="bullet"/>
      <w:lvlText w:val="○"/>
      <w:lvlJc w:val="left"/>
      <w:pPr>
        <w:ind w:left="1140" w:hanging="360"/>
      </w:pPr>
    </w:lvl>
    <w:lvl w:ilvl="2">
      <w:start w:val="1"/>
      <w:numFmt w:val="bullet"/>
      <w:lvlText w:val="■"/>
      <w:lvlJc w:val="left"/>
      <w:pPr>
        <w:ind w:left="1500" w:hanging="360"/>
      </w:pPr>
    </w:lvl>
    <w:lvl w:ilvl="3">
      <w:start w:val="1"/>
      <w:numFmt w:val="bullet"/>
      <w:lvlText w:val="●"/>
      <w:lvlJc w:val="left"/>
      <w:pPr>
        <w:ind w:left="1860" w:hanging="360"/>
      </w:pPr>
    </w:lvl>
    <w:lvl w:ilvl="4">
      <w:start w:val="1"/>
      <w:numFmt w:val="bullet"/>
      <w:lvlText w:val="○"/>
      <w:lvlJc w:val="left"/>
      <w:pPr>
        <w:ind w:left="2220" w:hanging="360"/>
      </w:pPr>
    </w:lvl>
    <w:lvl w:ilvl="5">
      <w:start w:val="1"/>
      <w:numFmt w:val="bullet"/>
      <w:lvlText w:val="■"/>
      <w:lvlJc w:val="left"/>
      <w:pPr>
        <w:ind w:left="2580" w:hanging="360"/>
      </w:pPr>
    </w:lvl>
    <w:lvl w:ilvl="6">
      <w:start w:val="1"/>
      <w:numFmt w:val="bullet"/>
      <w:lvlText w:val="●"/>
      <w:lvlJc w:val="left"/>
      <w:pPr>
        <w:ind w:left="2940" w:hanging="360"/>
      </w:pPr>
    </w:lvl>
    <w:lvl w:ilvl="7">
      <w:start w:val="1"/>
      <w:numFmt w:val="bullet"/>
      <w:lvlText w:val="○"/>
      <w:lvlJc w:val="left"/>
      <w:pPr>
        <w:ind w:left="3300" w:hanging="360"/>
      </w:pPr>
    </w:lvl>
    <w:lvl w:ilvl="8">
      <w:start w:val="1"/>
      <w:numFmt w:val="bullet"/>
      <w:lvlText w:val="■"/>
      <w:lvlJc w:val="left"/>
      <w:pPr>
        <w:ind w:left="3660" w:hanging="360"/>
      </w:pPr>
    </w:lvl>
  </w:abstractNum>
  <w:abstractNum w:abstractNumId="2" w15:restartNumberingAfterBreak="0">
    <w:nsid w:val="235A5C50"/>
    <w:multiLevelType w:val="multilevel"/>
    <w:tmpl w:val="42820516"/>
    <w:lvl w:ilvl="0">
      <w:start w:val="1"/>
      <w:numFmt w:val="bullet"/>
      <w:lvlText w:val="●"/>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E660583"/>
    <w:multiLevelType w:val="multilevel"/>
    <w:tmpl w:val="4C84D48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3F5A1C26"/>
    <w:multiLevelType w:val="hybridMultilevel"/>
    <w:tmpl w:val="21B8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E5BEA"/>
    <w:multiLevelType w:val="hybridMultilevel"/>
    <w:tmpl w:val="BB18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D81408"/>
    <w:multiLevelType w:val="multilevel"/>
    <w:tmpl w:val="6C8CAB1E"/>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64E0272A"/>
    <w:multiLevelType w:val="hybridMultilevel"/>
    <w:tmpl w:val="5CF47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A9"/>
    <w:rsid w:val="000979A4"/>
    <w:rsid w:val="000C0B4D"/>
    <w:rsid w:val="0025660E"/>
    <w:rsid w:val="002B12AB"/>
    <w:rsid w:val="003C6033"/>
    <w:rsid w:val="004266A8"/>
    <w:rsid w:val="004F05A3"/>
    <w:rsid w:val="00506762"/>
    <w:rsid w:val="008039D9"/>
    <w:rsid w:val="008178A9"/>
    <w:rsid w:val="008E1C7E"/>
    <w:rsid w:val="00914E2C"/>
    <w:rsid w:val="009B3E77"/>
    <w:rsid w:val="00A35C4E"/>
    <w:rsid w:val="00A45C0A"/>
    <w:rsid w:val="00B32E8D"/>
    <w:rsid w:val="00C17EA5"/>
    <w:rsid w:val="00EA55A9"/>
    <w:rsid w:val="00FE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07AC2"/>
  <w15:docId w15:val="{E75A5F0E-C666-42ED-98EF-51589462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eastAsia="ar-SA"/>
    </w:rPr>
  </w:style>
  <w:style w:type="paragraph" w:styleId="Heading1">
    <w:name w:val="heading 1"/>
    <w:basedOn w:val="Normal"/>
    <w:next w:val="Normal"/>
    <w:uiPriority w:val="9"/>
    <w:qFormat/>
    <w:pPr>
      <w:numPr>
        <w:numId w:val="1"/>
      </w:numPr>
      <w:outlineLvl w:val="0"/>
    </w:pPr>
  </w:style>
  <w:style w:type="paragraph" w:styleId="Heading2">
    <w:name w:val="heading 2"/>
    <w:basedOn w:val="Normal"/>
    <w:next w:val="Normal"/>
    <w:uiPriority w:val="9"/>
    <w:unhideWhenUsed/>
    <w:qFormat/>
    <w:pPr>
      <w:numPr>
        <w:ilvl w:val="1"/>
        <w:numId w:val="1"/>
      </w:numPr>
      <w:outlineLvl w:val="1"/>
    </w:pPr>
  </w:style>
  <w:style w:type="paragraph" w:styleId="Heading3">
    <w:name w:val="heading 3"/>
    <w:basedOn w:val="Normal"/>
    <w:next w:val="Normal"/>
    <w:uiPriority w:val="9"/>
    <w:unhideWhenUsed/>
    <w:qFormat/>
    <w:pPr>
      <w:keepNext/>
      <w:numPr>
        <w:ilvl w:val="2"/>
        <w:numId w:val="1"/>
      </w:numPr>
      <w:jc w:val="center"/>
      <w:outlineLvl w:val="2"/>
    </w:pPr>
    <w:rPr>
      <w:rFonts w:ascii="Garamond" w:hAnsi="Garamond" w:cs="Garamond"/>
      <w:b/>
      <w:bCs/>
      <w:sz w:val="38"/>
      <w:szCs w:val="3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color w:val="999999"/>
      <w:sz w:val="28"/>
    </w:rPr>
  </w:style>
  <w:style w:type="character" w:customStyle="1" w:styleId="WW8Num3z0">
    <w:name w:val="WW8Num3z0"/>
    <w:rPr>
      <w:rFonts w:ascii="Symbol" w:hAnsi="Symbol"/>
      <w:color w:val="999999"/>
      <w:sz w:val="28"/>
      <w:szCs w:val="28"/>
    </w:rPr>
  </w:style>
  <w:style w:type="character" w:customStyle="1" w:styleId="WW8Num4z0">
    <w:name w:val="WW8Num4z0"/>
    <w:rPr>
      <w:rFonts w:ascii="Times New Roman" w:eastAsia="Times New Roman" w:hAnsi="Times New Roman"/>
    </w:rPr>
  </w:style>
  <w:style w:type="character" w:customStyle="1" w:styleId="WW8Num5z0">
    <w:name w:val="WW8Num5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Wingdings" w:hAnsi="Wingdings"/>
      <w:color w:val="999999"/>
      <w:sz w:val="28"/>
      <w:szCs w:val="28"/>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color w:val="999999"/>
      <w:sz w:val="28"/>
      <w:szCs w:val="28"/>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color w:val="999999"/>
      <w:sz w:val="28"/>
      <w:szCs w:val="28"/>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999999"/>
      <w:sz w:val="28"/>
      <w:szCs w:val="2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3z0">
    <w:name w:val="WW8Num13z0"/>
    <w:rPr>
      <w:rFonts w:ascii="Symbol" w:hAnsi="Symbol"/>
      <w:color w:val="999999"/>
      <w:sz w:val="2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Garamond" w:eastAsia="Times New Roman" w:hAnsi="Garamond" w:cs="Times New Roman"/>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styleId="HTMLCode">
    <w:name w:val="HTML Code"/>
    <w:rPr>
      <w:rFonts w:ascii="Courier New" w:eastAsia="Times New Roman" w:hAnsi="Courier New" w:cs="Courier New"/>
      <w:sz w:val="20"/>
      <w:szCs w:val="20"/>
    </w:rPr>
  </w:style>
  <w:style w:type="character" w:customStyle="1" w:styleId="StyleArial11ptBoldChar">
    <w:name w:val="Style Arial 11 pt Bold Char"/>
    <w:rPr>
      <w:rFonts w:ascii="Arial" w:hAnsi="Arial" w:cs="Arial"/>
      <w:b/>
      <w:bCs/>
      <w:sz w:val="22"/>
      <w:szCs w:val="24"/>
      <w:lang w:val="en-US" w:eastAsia="ar-SA" w:bidi="ar-SA"/>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Bulleted14ptGray-40">
    <w:name w:val="Style Bulleted 14 pt Gray-40%"/>
    <w:basedOn w:val="Normal"/>
    <w:next w:val="Normal"/>
    <w:pPr>
      <w:keepLines/>
      <w:numPr>
        <w:numId w:val="3"/>
      </w:numPr>
    </w:pPr>
    <w:rPr>
      <w:sz w:val="22"/>
      <w:szCs w:val="22"/>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sz w:val="20"/>
      <w:szCs w:val="20"/>
    </w:rPr>
  </w:style>
  <w:style w:type="paragraph" w:styleId="ListBullet">
    <w:name w:val="List Bullet"/>
    <w:basedOn w:val="Normal"/>
    <w:pPr>
      <w:numPr>
        <w:numId w:val="2"/>
      </w:numPr>
    </w:pPr>
  </w:style>
  <w:style w:type="paragraph" w:styleId="NormalWeb">
    <w:name w:val="Normal (Web)"/>
    <w:basedOn w:val="Normal"/>
    <w:pPr>
      <w:widowControl/>
      <w:autoSpaceDE/>
      <w:spacing w:before="280" w:after="280"/>
    </w:pPr>
  </w:style>
  <w:style w:type="paragraph" w:customStyle="1" w:styleId="StyleArial11ptBold">
    <w:name w:val="Style Arial 11 pt Bold"/>
    <w:basedOn w:val="Normal"/>
    <w:next w:val="Normal"/>
    <w:pPr>
      <w:keepLines/>
      <w:spacing w:before="240"/>
    </w:pPr>
    <w:rPr>
      <w:rFonts w:ascii="Arial" w:hAnsi="Arial" w:cs="Arial"/>
      <w:b/>
      <w:bCs/>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rsid w:val="00B76F9D"/>
    <w:rPr>
      <w:rFonts w:ascii="Tahoma" w:hAnsi="Tahoma" w:cs="Tahoma"/>
      <w:sz w:val="16"/>
      <w:szCs w:val="16"/>
    </w:rPr>
  </w:style>
  <w:style w:type="character" w:customStyle="1" w:styleId="BalloonTextChar">
    <w:name w:val="Balloon Text Char"/>
    <w:link w:val="BalloonText"/>
    <w:rsid w:val="00B76F9D"/>
    <w:rPr>
      <w:rFonts w:ascii="Tahoma" w:hAnsi="Tahoma" w:cs="Tahoma"/>
      <w:sz w:val="16"/>
      <w:szCs w:val="16"/>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E1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Exclamation_mar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jHC5+o46YR0hnQDtZLbwtoOfHQ==">AMUW2mUJrSYXRkvxkBTxybg72qguFkXIDTjWSLVM+qlKRg5HLnXUFzx8fUgnOMpBRCrA5FwqSP3/NuoZkmOmyAjrqjkDmqmHVehs2n2gyM70R5ZXLTe8l8uRIKOARD8FWLG+tbxOjl2v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drveltsos</dc:creator>
  <cp:lastModifiedBy>Young, Matthew W</cp:lastModifiedBy>
  <cp:revision>2</cp:revision>
  <dcterms:created xsi:type="dcterms:W3CDTF">2020-11-18T00:54:00Z</dcterms:created>
  <dcterms:modified xsi:type="dcterms:W3CDTF">2020-11-18T00:54:00Z</dcterms:modified>
</cp:coreProperties>
</file>