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before="2400"/>
        <w:jc w:val="center"/>
      </w:pPr>
      <w:r>
        <w:rPr>
          <w:rFonts w:ascii="Arial" w:cs="Arial" w:eastAsia="Arial" w:hAnsi="Arial"/>
          <w:b/>
          <w:bCs/>
          <w:color w:val="1B2A4A"/>
          <w:sz w:val="52"/>
          <w:szCs w:val="52"/>
        </w:rPr>
        <w:t xml:space="preserve">AnimocaMinds</w:t>
      </w:r>
    </w:p>
    <w:p>
      <w:pPr>
        <w:spacing w:after="100"/>
        <w:jc w:val="center"/>
      </w:pPr>
      <w:r>
        <w:rPr>
          <w:rFonts w:ascii="Arial" w:cs="Arial" w:eastAsia="Arial" w:hAnsi="Arial"/>
          <w:color w:val="4A7BB5"/>
          <w:sz w:val="36"/>
          <w:szCs w:val="36"/>
        </w:rPr>
        <w:t xml:space="preserve">Low-Hanging Fruit Skills Analysis</w:t>
      </w:r>
    </w:p>
    <w:p>
      <w:pPr>
        <w:spacing w:after="600"/>
        <w:jc w:val="center"/>
      </w:pPr>
      <w:r>
        <w:rPr>
          <w:rFonts w:ascii="Arial" w:cs="Arial" w:eastAsia="Arial" w:hAnsi="Arial"/>
          <w:i/>
          <w:iCs/>
          <w:color w:val="666666"/>
          <w:sz w:val="22"/>
          <w:szCs w:val="22"/>
        </w:rPr>
        <w:t xml:space="preserve">Based on Ethoswarm Unified Schema v1.6.0 &amp; Current Platform Capabilities</w:t>
      </w:r>
    </w:p>
    <w:p>
      <w:pPr>
        <w:spacing w:after="100"/>
        <w:jc w:val="center"/>
      </w:pPr>
      <w:r>
        <w:rPr>
          <w:rFonts w:ascii="Arial" w:cs="Arial" w:eastAsia="Arial" w:hAnsi="Arial"/>
          <w:color w:val="888888"/>
          <w:sz w:val="22"/>
          <w:szCs w:val="22"/>
        </w:rPr>
        <w:t xml:space="preserve">Prepared: March 5, 2026</w:t>
      </w:r>
    </w:p>
    <w:p>
      <w:pPr>
        <w:jc w:val="center"/>
      </w:pPr>
      <w:r>
        <w:rPr>
          <w:rFonts w:ascii="Arial" w:cs="Arial" w:eastAsia="Arial" w:hAnsi="Arial"/>
          <w:b/>
          <w:bCs/>
          <w:color w:val="CC0000"/>
          <w:sz w:val="20"/>
          <w:szCs w:val="20"/>
        </w:rPr>
        <w:t xml:space="preserve">CONFIDENTIAL</w:t>
      </w:r>
    </w:p>
    <w:r>
      <w:br w:type="page"/>
    </w:r>
    <w:p>
      <w:pPr>
        <w:pStyle w:val="Heading1"/>
        <w:spacing w:after="200" w:before="360"/>
      </w:pPr>
      <w:r>
        <w:rPr>
          <w:rFonts w:ascii="Arial" w:cs="Arial" w:eastAsia="Arial" w:hAnsi="Arial"/>
        </w:rPr>
        <w:t xml:space="preserve">Executive Summary</w:t>
      </w:r>
    </w:p>
    <w:p>
      <w:pPr>
        <w:spacing w:after="160"/>
      </w:pPr>
      <w:r>
        <w:rPr>
          <w:rFonts w:ascii="Arial" w:cs="Arial" w:eastAsia="Arial" w:hAnsi="Arial"/>
          <w:sz w:val="22"/>
          <w:szCs w:val="22"/>
        </w:rPr>
        <w:t xml:space="preserve">AnimocaMinds currently advertises 25 distinct Mind personas on its website, supported by integrations with 16+ external platforms. However, the Ethoswarm schema (v1.6.0) only contains a handful of example skills: MatchClaws (agent discovery), Travel Planning, The Razor (text compression), and EVM_TokenPrice (a standalone tool). This represents a significant gap between what is promised and what is shipped.</w:t>
      </w:r>
    </w:p>
    <w:p>
      <w:pPr>
        <w:spacing w:after="160"/>
      </w:pPr>
      <w:r>
        <w:rPr>
          <w:rFonts w:ascii="Arial" w:cs="Arial" w:eastAsia="Arial" w:hAnsi="Arial"/>
          <w:sz w:val="22"/>
          <w:szCs w:val="22"/>
        </w:rPr>
        <w:t xml:space="preserve">The good news: the existing integration layer (Telegram, Discord, Slack, Gmail, Google Calendar, GitHub, Nansen, Dune, Coinglass, Perplexity, SerpApi, Duffel, Steam, Apify, OpenRouter) provides the tool foundation needed to build real skills quickly. Most of the highest-value skills are simple orchestrations of 2–3 tools that already exist.</w:t>
      </w:r>
    </w:p>
    <w:p>
      <w:pPr>
        <w:spacing w:after="160"/>
      </w:pPr>
      <w:r>
        <w:rPr>
          <w:rFonts w:ascii="Arial" w:cs="Arial" w:eastAsia="Arial" w:hAnsi="Arial"/>
          <w:sz w:val="22"/>
          <w:szCs w:val="22"/>
        </w:rPr>
        <w:t xml:space="preserve">This document identifies 15 prioritized skills ranked by implementation effort, user impact, and alignment with the existing tool/integration stack. The top 10 can each be built in days, not weeks, because they require zero new tool development.</w:t>
      </w:r>
    </w:p>
    <w:p>
      <w:pPr>
        <w:pStyle w:val="Heading1"/>
        <w:spacing w:after="200" w:before="360"/>
      </w:pPr>
      <w:r>
        <w:rPr>
          <w:rFonts w:ascii="Arial" w:cs="Arial" w:eastAsia="Arial" w:hAnsi="Arial"/>
        </w:rPr>
        <w:t xml:space="preserve">Current State Assessment</w:t>
      </w:r>
    </w:p>
    <w:p>
      <w:pPr>
        <w:pStyle w:val="Heading2"/>
        <w:spacing w:after="160" w:before="280"/>
      </w:pPr>
      <w:r>
        <w:rPr>
          <w:rFonts w:ascii="Arial" w:cs="Arial" w:eastAsia="Arial" w:hAnsi="Arial"/>
        </w:rPr>
        <w:t xml:space="preserve">What Exists in the Schema</w:t>
      </w:r>
    </w:p>
    <w:p>
      <w:pPr>
        <w:spacing w:after="160"/>
      </w:pPr>
      <w:r>
        <w:rPr>
          <w:rFonts w:ascii="Arial" w:cs="Arial" w:eastAsia="Arial" w:hAnsi="Arial"/>
          <w:sz w:val="22"/>
          <w:szCs w:val="22"/>
        </w:rPr>
        <w:t xml:space="preserve">The v1.6.0 schema defines the full architecture beautifully: the 7-surface cognitive manifold (DNA, STATE, STREAM, TENET, LTM, WORK, REGISTRY), the 4-layer Interface Contract (Registry Offering → App Manifest → Tool Schema → Skill Playbook), and both explicit and declarative step formats for skills. But there are only 4 concrete skill/tool examples documented.</w:t>
      </w:r>
    </w:p>
    <w:p>
      <w:pPr>
        <w:pStyle w:val="Heading2"/>
        <w:spacing w:after="160" w:before="280"/>
      </w:pPr>
      <w:r>
        <w:rPr>
          <w:rFonts w:ascii="Arial" w:cs="Arial" w:eastAsia="Arial" w:hAnsi="Arial"/>
        </w:rPr>
        <w:t xml:space="preserve">What’s Advertised on the Website</w:t>
      </w:r>
    </w:p>
    <w:p>
      <w:pPr>
        <w:spacing w:after="160"/>
      </w:pPr>
      <w:r>
        <w:rPr>
          <w:rFonts w:ascii="Arial" w:cs="Arial" w:eastAsia="Arial" w:hAnsi="Arial"/>
          <w:sz w:val="22"/>
          <w:szCs w:val="22"/>
        </w:rPr>
        <w:t xml:space="preserve">The website promotes 25 Mind personas spanning finance (Token Trader), business (Small Business Owner, Freelancer), research (Student, Research), content (Content Creator, Brand Strategist), web3 (DAO Governance, NFT Curator, Game Design), professional (Job Seeker, Negotiations, UX Designer), and personal (Traveler, Parent, Fitness Coach). Each persona card implies working skills behind it.</w:t>
      </w:r>
    </w:p>
    <w:p>
      <w:pPr>
        <w:pStyle w:val="Heading2"/>
        <w:spacing w:after="160" w:before="280"/>
      </w:pPr>
      <w:r>
        <w:rPr>
          <w:rFonts w:ascii="Arial" w:cs="Arial" w:eastAsia="Arial" w:hAnsi="Arial"/>
        </w:rPr>
        <w:t xml:space="preserve">The Gap</w:t>
      </w:r>
    </w:p>
    <w:p>
      <w:pPr>
        <w:spacing w:after="160"/>
      </w:pPr>
      <w:r>
        <w:rPr>
          <w:rFonts w:ascii="Arial" w:cs="Arial" w:eastAsia="Arial" w:hAnsi="Arial"/>
          <w:sz w:val="22"/>
          <w:szCs w:val="22"/>
        </w:rPr>
        <w:t xml:space="preserve">Most personas currently have no corresponding Skill Playbook in the system. The personas are effectively empty shells waiting for skills to be wired in. The 4-layer Interface Contract pattern is well-defined but under-utilized.</w:t>
      </w:r>
    </w:p>
    <w:p>
      <w:pPr>
        <w:pStyle w:val="Heading1"/>
        <w:spacing w:after="200" w:before="360"/>
      </w:pPr>
      <w:r>
        <w:rPr>
          <w:rFonts w:ascii="Arial" w:cs="Arial" w:eastAsia="Arial" w:hAnsi="Arial"/>
        </w:rPr>
        <w:t xml:space="preserve">Prioritization Methodology</w:t>
      </w:r>
    </w:p>
    <w:p>
      <w:pPr>
        <w:spacing w:after="160"/>
      </w:pPr>
      <w:r>
        <w:rPr>
          <w:rFonts w:ascii="Arial" w:cs="Arial" w:eastAsia="Arial" w:hAnsi="Arial"/>
          <w:sz w:val="22"/>
          <w:szCs w:val="22"/>
        </w:rPr>
        <w:t xml:space="preserve">Each skill was scored on three dimensions:</w:t>
      </w:r>
    </w:p>
    <w:p>
      <w:pPr>
        <w:spacing w:after="120"/>
      </w:pPr>
      <w:r>
        <w:rPr>
          <w:rFonts w:ascii="Arial" w:cs="Arial" w:eastAsia="Arial" w:hAnsi="Arial"/>
          <w:b/>
          <w:bCs/>
          <w:sz w:val="22"/>
          <w:szCs w:val="22"/>
        </w:rPr>
        <w:t xml:space="preserve">Tool Readiness: </w:t>
      </w:r>
      <w:r>
        <w:rPr>
          <w:rFonts w:ascii="Arial" w:cs="Arial" w:eastAsia="Arial" w:hAnsi="Arial"/>
          <w:sz w:val="22"/>
          <w:szCs w:val="22"/>
        </w:rPr>
        <w:t xml:space="preserve">Does this skill use integrations/tools that already exist? Skills requiring zero new tools score highest.</w:t>
      </w:r>
    </w:p>
    <w:p>
      <w:pPr>
        <w:spacing w:after="120"/>
      </w:pPr>
      <w:r>
        <w:rPr>
          <w:rFonts w:ascii="Arial" w:cs="Arial" w:eastAsia="Arial" w:hAnsi="Arial"/>
          <w:b/>
          <w:bCs/>
          <w:sz w:val="22"/>
          <w:szCs w:val="22"/>
        </w:rPr>
        <w:t xml:space="preserve">User Impact: </w:t>
      </w:r>
      <w:r>
        <w:rPr>
          <w:rFonts w:ascii="Arial" w:cs="Arial" w:eastAsia="Arial" w:hAnsi="Arial"/>
          <w:sz w:val="22"/>
          <w:szCs w:val="22"/>
        </w:rPr>
        <w:t xml:space="preserve">Does this skill serve a high-traffic persona or solve a daily-use problem? Retention-driving skills score highest.</w:t>
      </w:r>
    </w:p>
    <w:p>
      <w:pPr>
        <w:spacing w:after="120"/>
      </w:pPr>
      <w:r>
        <w:rPr>
          <w:rFonts w:ascii="Arial" w:cs="Arial" w:eastAsia="Arial" w:hAnsi="Arial"/>
          <w:b/>
          <w:bCs/>
          <w:sz w:val="22"/>
          <w:szCs w:val="22"/>
        </w:rPr>
        <w:t xml:space="preserve">Implementation Complexity: </w:t>
      </w:r>
      <w:r>
        <w:rPr>
          <w:rFonts w:ascii="Arial" w:cs="Arial" w:eastAsia="Arial" w:hAnsi="Arial"/>
          <w:sz w:val="22"/>
          <w:szCs w:val="22"/>
        </w:rPr>
        <w:t xml:space="preserve">How many steps in the playbook? How much domain logic is needed beyond tool orchestration? Simpler skills score highest.</w:t>
      </w:r>
    </w:p>
    <w:r>
      <w:br w:type="page"/>
    </w:r>
    <w:p>
      <w:pPr>
        <w:pStyle w:val="Heading1"/>
        <w:spacing w:after="200" w:before="360"/>
      </w:pPr>
      <w:r>
        <w:rPr>
          <w:rFonts w:ascii="Arial" w:cs="Arial" w:eastAsia="Arial" w:hAnsi="Arial"/>
        </w:rPr>
        <w:t xml:space="preserve">Tier 1: Quickest Wins (Build in Days)</w:t>
      </w:r>
    </w:p>
    <w:p>
      <w:pPr>
        <w:spacing w:after="160"/>
      </w:pPr>
      <w:r>
        <w:rPr>
          <w:rFonts w:ascii="Arial" w:cs="Arial" w:eastAsia="Arial" w:hAnsi="Arial"/>
          <w:sz w:val="22"/>
          <w:szCs w:val="22"/>
        </w:rPr>
        <w:t xml:space="preserve">These 10 skills use only existing integrations, require minimal domain logic, and map directly to advertised personas. Each follows the standard Skill Playbook format with 3–7 explicit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2000"/>
        <w:gridCol w:w="800"/>
        <w:gridCol w:w="20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Skill Name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Persona(s)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Tools Used</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It’s Low-Hanging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Daily Digest / Morning Briefing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Assistant, Strategy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gmail, google_calendar, telegram</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Low</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Aggregates info user already gets from connected sources. Declarative steps, no new tools needed. Highest user retention driver.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Content Repurposer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Creator, Brand Strategist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telegram, discord</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Low</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Takes one piece of content and reformats for threads/newsletters/scripts. Pure text transformation using The Razor pattern already in schema.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Wallet Portfolio Tracker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Trader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EVM_TokenPrice, nansen, coinglass</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Low</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EVM_TokenPrice tool already exists in schema. Nansen and Coinglass integrations listed. Just needs a Skill Playbook to orchestrate.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Schedule Coordinator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Business Owner, Team 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google_calendar, gmail, telegram</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Low</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integrations already exist. Skill reads calendar, identifies conflicts, sends reminders via preferred channel.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Community Pulse Scanner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discord, browser</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Low</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Monitors connected channels for sentiment, flags toxic content, surfaces top contributors. Read-only aggregation skill.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DAO Governance Summarizer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DAO Governance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telegram</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Low-Med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Scrapes Snapshot/Tally via browser, summarizes proposals, tracks voting deadlines. High demand in web3 audience.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Job Application Tracker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Seeker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google_calendar, browser</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Low</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 Gmail for application confirmations, tracks status, preps interview reminders. All integrations available.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Invoice &amp; Expense Logger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Business Owner, Freelancer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browser</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Low-Med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Parses invoice emails, extracts amounts/dates, maintains a running ledger in WORK board cards.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Research Paper Summarizer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Student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perplexity</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Low</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 integration + browser. Feeds academic URLs, returns structured summaries stored in LTM.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Competitor Watch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Brand Strategist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serpapi, telegram</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Low-Med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SerpApi integration enables automated search monitoring. Diffs against previous results, alerts on changes.</w:t>
            </w:r>
          </w:p>
        </w:tc>
      </w:tr>
    </w:tbl>
    <w:r>
      <w:br w:type="page"/>
    </w:r>
    <w:p>
      <w:pPr>
        <w:pStyle w:val="Heading1"/>
        <w:spacing w:after="200" w:before="360"/>
      </w:pPr>
      <w:r>
        <w:rPr>
          <w:rFonts w:ascii="Arial" w:cs="Arial" w:eastAsia="Arial" w:hAnsi="Arial"/>
        </w:rPr>
        <w:t xml:space="preserve">Deep Dive: Top 3 Skills</w:t>
      </w:r>
    </w:p>
    <w:p>
      <w:pPr>
        <w:pStyle w:val="Heading2"/>
        <w:spacing w:after="160" w:before="280"/>
      </w:pPr>
      <w:r>
        <w:rPr>
          <w:rFonts w:ascii="Arial" w:cs="Arial" w:eastAsia="Arial" w:hAnsi="Arial"/>
        </w:rPr>
        <w:t xml:space="preserve">1. Daily Digest / Morning Briefing</w:t>
      </w:r>
    </w:p>
    <w:p>
      <w:pPr>
        <w:spacing w:after="120"/>
      </w:pPr>
      <w:r>
        <w:rPr>
          <w:rFonts w:ascii="Arial" w:cs="Arial" w:eastAsia="Arial" w:hAnsi="Arial"/>
          <w:b/>
          <w:bCs/>
          <w:sz w:val="22"/>
          <w:szCs w:val="22"/>
        </w:rPr>
        <w:t xml:space="preserve">Schema Fit: </w:t>
      </w:r>
      <w:r>
        <w:rPr>
          <w:rFonts w:ascii="Arial" w:cs="Arial" w:eastAsia="Arial" w:hAnsi="Arial"/>
          <w:sz w:val="22"/>
          <w:szCs w:val="22"/>
        </w:rPr>
        <w:t xml:space="preserve">Skill Playbook with 5 explicit steps, each calling an existing tool</w:t>
      </w:r>
    </w:p>
    <w:p>
      <w:pPr>
        <w:spacing w:after="120"/>
      </w:pPr>
      <w:r>
        <w:rPr>
          <w:rFonts w:ascii="Arial" w:cs="Arial" w:eastAsia="Arial" w:hAnsi="Arial"/>
          <w:b/>
          <w:bCs/>
          <w:sz w:val="22"/>
          <w:szCs w:val="22"/>
        </w:rPr>
        <w:t xml:space="preserve">Persona: </w:t>
      </w:r>
      <w:r>
        <w:rPr>
          <w:rFonts w:ascii="Arial" w:cs="Arial" w:eastAsia="Arial" w:hAnsi="Arial"/>
          <w:sz w:val="22"/>
          <w:szCs w:val="22"/>
        </w:rPr>
        <w:t xml:space="preserve">Personal Assistant, Strategy</w:t>
      </w:r>
    </w:p>
    <w:p>
      <w:pPr>
        <w:spacing w:after="160"/>
      </w:pPr>
      <w:r>
        <w:rPr>
          <w:rFonts w:ascii="Arial" w:cs="Arial" w:eastAsia="Arial" w:hAnsi="Arial"/>
          <w:sz w:val="22"/>
          <w:szCs w:val="22"/>
        </w:rPr>
        <w:t xml:space="preserve">This is the single highest-impact skill you can ship. Every user, regardless of their primary Mind persona, benefits from a daily summary. The skill aggregates: Gmail unread count + priority emails, Google Calendar events for the day, Telegram/Discord unread mentions, crypto portfolio changes via EVM_TokenPrice, and trending topics via SerpApi/Perplexity. Output is a formatted digest delivered to the user’s preferred channel.</w:t>
      </w:r>
    </w:p>
    <w:p>
      <w:pPr>
        <w:spacing w:after="160"/>
      </w:pPr>
      <w:r>
        <w:rPr>
          <w:rFonts w:ascii="Arial" w:cs="Arial" w:eastAsia="Arial" w:hAnsi="Arial"/>
          <w:sz w:val="22"/>
          <w:szCs w:val="22"/>
        </w:rPr>
        <w:t xml:space="preserve">Example Playbook steps: (1) Pull calendar events for next 24h via google_calendar. (2) Scan Gmail for unread priority messages. (3) Check Telegram/Discord for unread mentions. (4) Fetch portfolio token prices via EVM_TokenPrice. (5) Compile and deliver digest via preferred channel.</w:t>
      </w:r>
    </w:p>
    <w:p>
      <w:pPr>
        <w:pStyle w:val="Heading2"/>
        <w:spacing w:after="160" w:before="280"/>
      </w:pPr>
      <w:r>
        <w:rPr>
          <w:rFonts w:ascii="Arial" w:cs="Arial" w:eastAsia="Arial" w:hAnsi="Arial"/>
        </w:rPr>
        <w:t xml:space="preserve">2. Content Repurposer</w:t>
      </w:r>
    </w:p>
    <w:p>
      <w:pPr>
        <w:spacing w:after="120"/>
      </w:pPr>
      <w:r>
        <w:rPr>
          <w:rFonts w:ascii="Arial" w:cs="Arial" w:eastAsia="Arial" w:hAnsi="Arial"/>
          <w:b/>
          <w:bCs/>
          <w:sz w:val="22"/>
          <w:szCs w:val="22"/>
        </w:rPr>
        <w:t xml:space="preserve">Schema Fit: </w:t>
      </w:r>
      <w:r>
        <w:rPr>
          <w:rFonts w:ascii="Arial" w:cs="Arial" w:eastAsia="Arial" w:hAnsi="Arial"/>
          <w:sz w:val="22"/>
          <w:szCs w:val="22"/>
        </w:rPr>
        <w:t xml:space="preserve">Declarative cognitive skill using The Razor pattern already in schema</w:t>
      </w:r>
    </w:p>
    <w:p>
      <w:pPr>
        <w:spacing w:after="120"/>
      </w:pPr>
      <w:r>
        <w:rPr>
          <w:rFonts w:ascii="Arial" w:cs="Arial" w:eastAsia="Arial" w:hAnsi="Arial"/>
          <w:b/>
          <w:bCs/>
          <w:sz w:val="22"/>
          <w:szCs w:val="22"/>
        </w:rPr>
        <w:t xml:space="preserve">Persona: </w:t>
      </w:r>
      <w:r>
        <w:rPr>
          <w:rFonts w:ascii="Arial" w:cs="Arial" w:eastAsia="Arial" w:hAnsi="Arial"/>
          <w:sz w:val="22"/>
          <w:szCs w:val="22"/>
        </w:rPr>
        <w:t xml:space="preserve">Content Creator, Brand Strategist</w:t>
      </w:r>
    </w:p>
    <w:p>
      <w:pPr>
        <w:spacing w:after="160"/>
      </w:pPr>
      <w:r>
        <w:rPr>
          <w:rFonts w:ascii="Arial" w:cs="Arial" w:eastAsia="Arial" w:hAnsi="Arial"/>
          <w:sz w:val="22"/>
          <w:szCs w:val="22"/>
        </w:rPr>
        <w:t xml:space="preserve">Takes a single piece of content (blog post, article, video transcript) and outputs it in multiple formats: Twitter/X thread, LinkedIn post, newsletter section, Telegram announcement, and short-form video script. This is purely cognitive — no new tools needed, just the browser for source material and messaging integrations for delivery. Leverages The Razor skill (already in schema) for compression/distillation.</w:t>
      </w:r>
    </w:p>
    <w:p>
      <w:pPr>
        <w:pStyle w:val="Heading2"/>
        <w:spacing w:after="160" w:before="280"/>
      </w:pPr>
      <w:r>
        <w:rPr>
          <w:rFonts w:ascii="Arial" w:cs="Arial" w:eastAsia="Arial" w:hAnsi="Arial"/>
        </w:rPr>
        <w:t xml:space="preserve">3. Wallet Portfolio Tracker</w:t>
      </w:r>
    </w:p>
    <w:p>
      <w:pPr>
        <w:spacing w:after="120"/>
      </w:pPr>
      <w:r>
        <w:rPr>
          <w:rFonts w:ascii="Arial" w:cs="Arial" w:eastAsia="Arial" w:hAnsi="Arial"/>
          <w:b/>
          <w:bCs/>
          <w:sz w:val="22"/>
          <w:szCs w:val="22"/>
        </w:rPr>
        <w:t xml:space="preserve">Schema Fit: </w:t>
      </w:r>
      <w:r>
        <w:rPr>
          <w:rFonts w:ascii="Arial" w:cs="Arial" w:eastAsia="Arial" w:hAnsi="Arial"/>
          <w:sz w:val="22"/>
          <w:szCs w:val="22"/>
        </w:rPr>
        <w:t xml:space="preserve">Explicit steps orchestrating EVM_TokenPrice (already defined in schema §4.14)</w:t>
      </w:r>
    </w:p>
    <w:p>
      <w:pPr>
        <w:spacing w:after="120"/>
      </w:pPr>
      <w:r>
        <w:rPr>
          <w:rFonts w:ascii="Arial" w:cs="Arial" w:eastAsia="Arial" w:hAnsi="Arial"/>
          <w:b/>
          <w:bCs/>
          <w:sz w:val="22"/>
          <w:szCs w:val="22"/>
        </w:rPr>
        <w:t xml:space="preserve">Persona: </w:t>
      </w:r>
      <w:r>
        <w:rPr>
          <w:rFonts w:ascii="Arial" w:cs="Arial" w:eastAsia="Arial" w:hAnsi="Arial"/>
          <w:sz w:val="22"/>
          <w:szCs w:val="22"/>
        </w:rPr>
        <w:t xml:space="preserve">Token Trader</w:t>
      </w:r>
    </w:p>
    <w:p>
      <w:pPr>
        <w:spacing w:after="160"/>
      </w:pPr>
      <w:r>
        <w:rPr>
          <w:rFonts w:ascii="Arial" w:cs="Arial" w:eastAsia="Arial" w:hAnsi="Arial"/>
          <w:sz w:val="22"/>
          <w:szCs w:val="22"/>
        </w:rPr>
        <w:t xml:space="preserve">The EVM_TokenPrice tool is literally already defined in the schema with full JSON Schema parameters (blockchain, addresses, lookbackWindows). This skill wraps it into a portfolio view: (1) Read wallet addresses from TENET. (2) Call EVM_TokenPrice for each chain. (3) Calculate portfolio totals and 24h changes. (4) Compare against user-set alerts. (5) Push notification if thresholds are crossed. The tool exists; you just need the 5-step playbook.</w:t>
      </w:r>
    </w:p>
    <w:r>
      <w:br w:type="page"/>
    </w:r>
    <w:p>
      <w:pPr>
        <w:pStyle w:val="Heading1"/>
        <w:spacing w:after="200" w:before="360"/>
      </w:pPr>
      <w:r>
        <w:rPr>
          <w:rFonts w:ascii="Arial" w:cs="Arial" w:eastAsia="Arial" w:hAnsi="Arial"/>
        </w:rPr>
        <w:t xml:space="preserve">Tier 2: Medium Effort (Build in 1–2 Weeks)</w:t>
      </w:r>
    </w:p>
    <w:p>
      <w:pPr>
        <w:spacing w:after="160"/>
      </w:pPr>
      <w:r>
        <w:rPr>
          <w:rFonts w:ascii="Arial" w:cs="Arial" w:eastAsia="Arial" w:hAnsi="Arial"/>
          <w:sz w:val="22"/>
          <w:szCs w:val="22"/>
        </w:rPr>
        <w:t xml:space="preserve">These skills require some custom logic or domain knowledge beyond simple tool orchestration, but still build on existing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2000"/>
        <w:gridCol w:w="800"/>
        <w:gridCol w:w="20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Skill Name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Persona(s)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Tools Used</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NFT Collection Analyzer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NFT Curator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nansen, EVM_TokenPrice</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Combines on-chain data with marketplace scraping. Needs some custom aggregation logic but all data sources connected.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Freelance Proposal Writer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Freelancer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gmail</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Templates + context from past proposals in LTM. Browser for research, Gmail for delivery. Needs good prompt engineering.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Game Economy Auditor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Design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steam, coinglass</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Steam integration exists. Scrapes token sink/inflation data. Needs domain-specific analysis logic.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Multi-Language Localizer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cognitive skill with browser for terminology lookup. Needs quality validation steps but no new integrations.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Meeting Prep &amp; Negotiation Brief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Negotiations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google_calendar, browser, gmail, serpapi</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upcoming calendar events, researches counterparties via SerpApi/browser, compiles talking points.</w:t>
            </w:r>
          </w:p>
        </w:tc>
      </w:tr>
    </w:tbl>
    <w:r>
      <w:br w:type="page"/>
    </w:r>
    <w:p>
      <w:pPr>
        <w:pStyle w:val="Heading1"/>
        <w:spacing w:after="200" w:before="360"/>
      </w:pPr>
      <w:r>
        <w:rPr>
          <w:rFonts w:ascii="Arial" w:cs="Arial" w:eastAsia="Arial" w:hAnsi="Arial"/>
        </w:rPr>
        <w:t xml:space="preserve">Integration Coverage Map</w:t>
      </w:r>
    </w:p>
    <w:p>
      <w:pPr>
        <w:spacing w:after="160"/>
      </w:pPr>
      <w:r>
        <w:rPr>
          <w:rFonts w:ascii="Arial" w:cs="Arial" w:eastAsia="Arial" w:hAnsi="Arial"/>
          <w:sz w:val="22"/>
          <w:szCs w:val="22"/>
        </w:rPr>
        <w:t xml:space="preserve">This shows which existing integrations each recommended skill uses. Green means the integration is already connected and the skill can use it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90"/>
        <w:gridCol w:w="690"/>
        <w:gridCol w:w="690"/>
        <w:gridCol w:w="690"/>
        <w:gridCol w:w="690"/>
        <w:gridCol w:w="690"/>
        <w:gridCol w:w="690"/>
        <w:gridCol w:w="690"/>
        <w:gridCol w:w="690"/>
        <w:gridCol w:w="690"/>
        <w:gridCol w:w="69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6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Gmail</w:t>
            </w:r>
          </w:p>
        </w:tc>
        <w:tc>
          <w:tcPr>
            <w:tcW w:type="dxa" w:w="6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Calendar</w:t>
            </w:r>
          </w:p>
        </w:tc>
        <w:tc>
          <w:tcPr>
            <w:tcW w:type="dxa" w:w="6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Telegram</w:t>
            </w:r>
          </w:p>
        </w:tc>
        <w:tc>
          <w:tcPr>
            <w:tcW w:type="dxa" w:w="6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Discord</w:t>
            </w:r>
          </w:p>
        </w:tc>
        <w:tc>
          <w:tcPr>
            <w:tcW w:type="dxa" w:w="6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Browser</w:t>
            </w:r>
          </w:p>
        </w:tc>
        <w:tc>
          <w:tcPr>
            <w:tcW w:type="dxa" w:w="6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Nansen</w:t>
            </w:r>
          </w:p>
        </w:tc>
        <w:tc>
          <w:tcPr>
            <w:tcW w:type="dxa" w:w="6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Coinglass</w:t>
            </w:r>
          </w:p>
        </w:tc>
        <w:tc>
          <w:tcPr>
            <w:tcW w:type="dxa" w:w="6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Perplexity</w:t>
            </w:r>
          </w:p>
        </w:tc>
        <w:tc>
          <w:tcPr>
            <w:tcW w:type="dxa" w:w="6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SerpApi</w:t>
            </w:r>
          </w:p>
        </w:tc>
        <w:tc>
          <w:tcPr>
            <w:tcW w:type="dxa" w:w="6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Steam</w:t>
            </w:r>
          </w:p>
        </w:tc>
        <w:tc>
          <w:tcPr>
            <w:tcW w:type="dxa" w:w="6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EVM_TokenPrice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Daily Digest</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Content Repurposer</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Wallet Tracker</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Schedule Coordinator</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Community Pulse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DAO Summarizer</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Job Tracker</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Invoice Logger</w:t>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Research Summarizer</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Competitor Watch</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w:t>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c>
          <w:tcPr>
            <w:tcW w:type="dxa" w:w="69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r>
    </w:tbl>
    <w:r>
      <w:br w:type="page"/>
    </w:r>
    <w:p>
      <w:pPr>
        <w:pStyle w:val="Heading1"/>
        <w:spacing w:after="200" w:before="360"/>
      </w:pPr>
      <w:r>
        <w:rPr>
          <w:rFonts w:ascii="Arial" w:cs="Arial" w:eastAsia="Arial" w:hAnsi="Arial"/>
        </w:rPr>
        <w:t xml:space="preserve">Recommended Build Order</w:t>
      </w:r>
    </w:p>
    <w:p>
      <w:pPr>
        <w:spacing w:after="160"/>
      </w:pPr>
      <w:r>
        <w:rPr>
          <w:rFonts w:ascii="Arial" w:cs="Arial" w:eastAsia="Arial" w:hAnsi="Arial"/>
          <w:sz w:val="22"/>
          <w:szCs w:val="22"/>
        </w:rPr>
        <w:t xml:space="preserve">Based on the analysis, here is the recommended sequencing:</w:t>
      </w:r>
    </w:p>
    <w:p>
      <w:pPr>
        <w:pStyle w:val="Heading2"/>
        <w:spacing w:after="160" w:before="280"/>
      </w:pPr>
      <w:r>
        <w:rPr>
          <w:rFonts w:ascii="Arial" w:cs="Arial" w:eastAsia="Arial" w:hAnsi="Arial"/>
        </w:rPr>
        <w:t xml:space="preserve">Sprint 1 (Week 1): Foundation Skills</w:t>
      </w:r>
    </w:p>
    <w:p>
      <w:pPr>
        <w:spacing w:after="160"/>
      </w:pPr>
      <w:r>
        <w:rPr>
          <w:rFonts w:ascii="Arial" w:cs="Arial" w:eastAsia="Arial" w:hAnsi="Arial"/>
          <w:sz w:val="22"/>
          <w:szCs w:val="22"/>
        </w:rPr>
        <w:t xml:space="preserve">Ship the Daily Digest and Wallet Portfolio Tracker first. Together they cover the two largest user segments (everyone and crypto traders) and prove the Skill Playbook pattern works end-to-end through the Interface Contract. The Daily Digest becomes the daily touchpoint that drives retention.</w:t>
      </w:r>
    </w:p>
    <w:p>
      <w:pPr>
        <w:pStyle w:val="Heading2"/>
        <w:spacing w:after="160" w:before="280"/>
      </w:pPr>
      <w:r>
        <w:rPr>
          <w:rFonts w:ascii="Arial" w:cs="Arial" w:eastAsia="Arial" w:hAnsi="Arial"/>
        </w:rPr>
        <w:t xml:space="preserve">Sprint 2 (Week 2): Creator &amp; Business Skills</w:t>
      </w:r>
    </w:p>
    <w:p>
      <w:pPr>
        <w:spacing w:after="160"/>
      </w:pPr>
      <w:r>
        <w:rPr>
          <w:rFonts w:ascii="Arial" w:cs="Arial" w:eastAsia="Arial" w:hAnsi="Arial"/>
          <w:sz w:val="22"/>
          <w:szCs w:val="22"/>
        </w:rPr>
        <w:t xml:space="preserve">Ship Content Repurposer, Schedule Coordinator, and Community Pulse Scanner. These serve the next tier of personas (creators, managers, community leads) and demonstrate the platform’s breadth beyond crypto. All three are low-effort and use already-connected integrations.</w:t>
      </w:r>
    </w:p>
    <w:p>
      <w:pPr>
        <w:pStyle w:val="Heading2"/>
        <w:spacing w:after="160" w:before="280"/>
      </w:pPr>
      <w:r>
        <w:rPr>
          <w:rFonts w:ascii="Arial" w:cs="Arial" w:eastAsia="Arial" w:hAnsi="Arial"/>
        </w:rPr>
        <w:t xml:space="preserve">Sprint 3 (Weeks 3–4): Web3 &amp; Professional Skills</w:t>
      </w:r>
    </w:p>
    <w:p>
      <w:pPr>
        <w:spacing w:after="160"/>
      </w:pPr>
      <w:r>
        <w:rPr>
          <w:rFonts w:ascii="Arial" w:cs="Arial" w:eastAsia="Arial" w:hAnsi="Arial"/>
          <w:sz w:val="22"/>
          <w:szCs w:val="22"/>
        </w:rPr>
        <w:t xml:space="preserve">Ship DAO Governance Summarizer, Job Application Tracker, Invoice Logger, Research Summarizer, and Competitor Watch. These round out the persona coverage and start differentiating AnimocaMinds from generic AI assistants by leaning into web3-native and professional use cases.</w:t>
      </w:r>
    </w:p>
    <w:p>
      <w:pPr>
        <w:pStyle w:val="Heading2"/>
        <w:spacing w:after="160" w:before="280"/>
      </w:pPr>
      <w:r>
        <w:rPr>
          <w:rFonts w:ascii="Arial" w:cs="Arial" w:eastAsia="Arial" w:hAnsi="Arial"/>
        </w:rPr>
        <w:t xml:space="preserve">Sprint 4 (Weeks 5–6): Tier 2 Skills</w:t>
      </w:r>
    </w:p>
    <w:p>
      <w:pPr>
        <w:spacing w:after="160"/>
      </w:pPr>
      <w:r>
        <w:rPr>
          <w:rFonts w:ascii="Arial" w:cs="Arial" w:eastAsia="Arial" w:hAnsi="Arial"/>
          <w:sz w:val="22"/>
          <w:szCs w:val="22"/>
        </w:rPr>
        <w:t xml:space="preserve">Ship the five medium-effort skills (NFT Analyzer, Proposal Writer, Game Economy Auditor, Localizer, Meeting Prep). By this point the Skill Playbook pattern will be well-established and the team will be faster at shipping.</w:t>
      </w:r>
    </w:p>
    <w:p>
      <w:pPr>
        <w:pStyle w:val="Heading1"/>
        <w:spacing w:after="200" w:before="360"/>
      </w:pPr>
      <w:r>
        <w:rPr>
          <w:rFonts w:ascii="Arial" w:cs="Arial" w:eastAsia="Arial" w:hAnsi="Arial"/>
        </w:rPr>
        <w:t xml:space="preserve">Key Takeaway</w:t>
      </w:r>
    </w:p>
    <w:p>
      <w:pPr>
        <w:spacing w:after="160"/>
      </w:pPr>
      <w:r>
        <w:rPr>
          <w:rFonts w:ascii="Arial" w:cs="Arial" w:eastAsia="Arial" w:hAnsi="Arial"/>
          <w:sz w:val="22"/>
          <w:szCs w:val="22"/>
        </w:rPr>
        <w:t xml:space="preserve">The Ethoswarm schema is architecturally sound and the integration layer is broad. The bottleneck is not infrastructure — it’s skill content. The top 10 skills identified here require no new tools, no new integrations, and no architectural changes. They are purely Skill Playbook definitions that orchestrate what already exists. Building them is a content problem, not an engineering problem, and that’s what makes them low-hanging fruit.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AnimocaMinds — Low-Hanging Fruit Skills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7B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2026-03-05T10:09:00.600Z</dcterms:created>
  <dcterms:modified xsi:type="dcterms:W3CDTF">2026-03-05T10:09:00.600Z</dcterms:modified>
</cp:coreProperties>
</file>

<file path=docProps/custom.xml><?xml version="1.0" encoding="utf-8"?>
<Properties xmlns="http://schemas.openxmlformats.org/officeDocument/2006/custom-properties" xmlns:vt="http://schemas.openxmlformats.org/officeDocument/2006/docPropsVTypes"/>
</file>