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FA9DC"/>
          <w:sz w:val="26"/>
          <w:szCs w:val="26"/>
        </w:rPr>
        <w:t xml:space="preserve">ИТ КоР 5.0 · Трек Machine Learning · Кейс 02</w:t>
      </w:r>
    </w:p>
    <w:p>
      <w:pPr>
        <w:spacing w:after="400"/>
        <w:jc w:val="center"/>
      </w:pPr>
      <w:r>
        <w:rPr>
          <w:b/>
          <w:bCs/>
          <w:color w:val="0A4AA4"/>
          <w:sz w:val="40"/>
          <w:szCs w:val="40"/>
        </w:rPr>
        <w:t xml:space="preserve">Нейросетевая аппроксимация широкодиапазонного уравнения состояния алюминия с учётом термодинамических ограничений</w:t>
      </w:r>
    </w:p>
    <w:p>
      <w:pPr>
        <w:spacing w:after="1600"/>
        <w:jc w:val="center"/>
      </w:pPr>
      <w:r>
        <w:rPr>
          <w:sz w:val="28"/>
          <w:szCs w:val="28"/>
        </w:rPr>
        <w:t xml:space="preserve">Итоговая документация решения</w:t>
      </w:r>
    </w:p>
    <w:p>
      <w:pPr>
        <w:jc w:val="center"/>
      </w:pPr>
      <w:r>
        <w:rPr>
          <w:sz w:val="24"/>
          <w:szCs w:val="24"/>
        </w:rPr>
        <w:t xml:space="preserve">Капитан команды: Бронникова Екатерина Юрьевна</w:t>
      </w:r>
    </w:p>
    <w:p>
      <w:pPr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r>
        <w:rPr>
          <w:b/>
          <w:bCs/>
          <w:color w:val="0A4AA4"/>
          <w:sz w:val="32"/>
          <w:szCs w:val="32"/>
        </w:rPr>
        <w:t xml:space="preserve">Содержание</w:t>
      </w:r>
    </w:p>
    <w:p>
      <w:pPr>
        <w:spacing w:after="100"/>
      </w:pPr>
      <w:r>
        <w:rPr>
          <w:sz w:val="24"/>
          <w:szCs w:val="24"/>
        </w:rPr>
        <w:t xml:space="preserve">1. Постановка задачи и итоговый результат</w:t>
      </w:r>
    </w:p>
    <w:p>
      <w:pPr>
        <w:spacing w:after="100"/>
      </w:pPr>
      <w:r>
        <w:rPr>
          <w:sz w:val="24"/>
          <w:szCs w:val="24"/>
        </w:rPr>
        <w:t xml:space="preserve">2. Команда и роли</w:t>
      </w:r>
    </w:p>
    <w:p>
      <w:pPr>
        <w:spacing w:after="100"/>
      </w:pPr>
      <w:r>
        <w:rPr>
          <w:sz w:val="24"/>
          <w:szCs w:val="24"/>
        </w:rPr>
        <w:t xml:space="preserve">3. Архитектура решения и структура репозитория</w:t>
      </w:r>
    </w:p>
    <w:p>
      <w:pPr>
        <w:spacing w:after="100"/>
      </w:pPr>
      <w:r>
        <w:rPr>
          <w:sz w:val="24"/>
          <w:szCs w:val="24"/>
        </w:rPr>
        <w:t xml:space="preserve">4. Модуль 1. Данные, EDA и бейзлайн</w:t>
      </w:r>
    </w:p>
    <w:p>
      <w:pPr>
        <w:spacing w:after="100"/>
      </w:pPr>
      <w:r>
        <w:rPr>
          <w:sz w:val="24"/>
          <w:szCs w:val="24"/>
        </w:rPr>
        <w:t xml:space="preserve">5. Модуль 2. Нейросетевая модель (Vanilla)</w:t>
      </w:r>
    </w:p>
    <w:p>
      <w:pPr>
        <w:spacing w:after="100"/>
      </w:pPr>
      <w:r>
        <w:rPr>
          <w:sz w:val="24"/>
          <w:szCs w:val="24"/>
        </w:rPr>
        <w:t xml:space="preserve">6. Модуль 3. Учёт физических ограничений (PINN)</w:t>
      </w:r>
    </w:p>
    <w:p>
      <w:pPr>
        <w:spacing w:after="100"/>
      </w:pPr>
      <w:r>
        <w:rPr>
          <w:sz w:val="24"/>
          <w:szCs w:val="24"/>
        </w:rPr>
        <w:t xml:space="preserve">7. Модуль 4. Инференс и упаковка</w:t>
      </w:r>
    </w:p>
    <w:p>
      <w:pPr>
        <w:spacing w:after="100"/>
      </w:pPr>
      <w:r>
        <w:rPr>
          <w:sz w:val="24"/>
          <w:szCs w:val="24"/>
        </w:rPr>
        <w:t xml:space="preserve">8. Модуль 5. Сжатие и скорость работы</w:t>
      </w:r>
    </w:p>
    <w:p>
      <w:pPr>
        <w:spacing w:after="100"/>
      </w:pPr>
      <w:r>
        <w:rPr>
          <w:sz w:val="24"/>
          <w:szCs w:val="24"/>
        </w:rPr>
        <w:t xml:space="preserve">9. Установка и запуск</w:t>
      </w:r>
    </w:p>
    <w:p>
      <w:pPr>
        <w:spacing w:after="100"/>
      </w:pPr>
      <w:r>
        <w:rPr>
          <w:sz w:val="24"/>
          <w:szCs w:val="24"/>
        </w:rPr>
        <w:t xml:space="preserve">10. Выводы и ограничения</w:t>
      </w:r>
    </w:p>
    <w:p>
      <w:pPr>
        <w:spacing w:after="100"/>
      </w:pPr>
      <w:r>
        <w:rPr>
          <w:sz w:val="24"/>
          <w:szCs w:val="24"/>
        </w:rPr>
        <w:t xml:space="preserve">11. Ответы на ожидаемые вопросы жюри</w:t>
      </w:r>
    </w:p>
    <w:p>
      <w:r>
        <w:br w:type="page"/>
      </w:r>
    </w:p>
    <w:p>
      <w:pPr>
        <w:pStyle w:val="Heading1"/>
      </w:pPr>
      <w:r>
        <w:t xml:space="preserve">1. Постановка задачи и итоговый результат</w:t>
      </w:r>
    </w:p>
    <w:p>
      <w:pPr>
        <w:spacing w:after="120" w:line="300"/>
        <w:jc w:val="both"/>
      </w:pPr>
      <w:r>
        <w:t xml:space="preserve">Уравнение состояния (УРС) вещества — ключевой компонент гидродинамических кодов физики высоких плотностей энергии: оно вызывается миллионы раз за расчёт и должно быть одновременно точным, быстрым и термодинамически корректным. По условию кейса требуется обучить физически информированную нейросеть (PINN), аппроксимирующую табличное полуэмпирическое УРС алюминия: по плотности ρ и температуре T вернуть давление P(ρ,T), удельную внутреннюю энергию E(ρ,T), частные производные ∂P/∂ρ, ∂P/∂T, ∂E/∂ρ, ∂E/∂T и скорость звука c_s.</w:t>
      </w:r>
    </w:p>
    <w:p>
      <w:pPr>
        <w:spacing w:after="120" w:line="300"/>
        <w:jc w:val="both"/>
      </w:pPr>
      <w:r>
        <w:rPr>
          <w:b/>
          <w:bCs/>
        </w:rPr>
        <w:t xml:space="preserve">Итог.</w:t>
      </w:r>
      <w:r>
        <w:t xml:space="preserve"> Построены две версии PINN одинаковой архитектуры (0.29 МБ, одна сеть на всю область ρ ∈ [10⁻³, 10⁴] г/см³, T ∈ [0.1, 10⁷] K), между которыми явно измерен компромисс «точность ↔ термодинамика»: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PINN-T «термодинамическая» (рекомендуемая, т.к. по условиям организаторов приоритет — выполнение термодинамических ограничений):</w:t>
      </w:r>
      <w:r>
        <w:t xml:space="preserve"> невязка соотношения Максвелла 5 % (у самих таблиц — 49 %, т.е. в 10 раз согласованнее исходных данных), нарушения устойчивости 0.08 % точек, средняя ошибка по P и E ≈ 12 %.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PINN-A «точная»:</w:t>
      </w:r>
      <w:r>
        <w:t xml:space="preserve"> ошибка 0.36 % по P и 0.59 % по E, нарушения устойчивости 0.018 % (у обычной сети — 28.4 %), но по Максвеллу она так же несогласованна, как таблицы (47 %).</w:t>
      </w:r>
    </w:p>
    <w:p>
      <w:pPr>
        <w:spacing w:after="120" w:line="300"/>
        <w:jc w:val="both"/>
      </w:pPr>
      <w:r>
        <w:t xml:space="preserve">Обе модели экспортированы в ONNX и TorchScript, производные и c_s вычисляются внутри экспортированного графа; класс-обёртка EOSModel предоставляет методы predict, sound_speed, derivatives и check_physics (с флагом выхода за область обучения).</w:t>
      </w:r>
    </w:p>
    <w:p>
      <w:pPr>
        <w:spacing w:after="120" w:line="300"/>
        <w:jc w:val="both"/>
      </w:pPr>
      <w:r>
        <w:rPr>
          <w:b/>
          <w:bCs/>
        </w:rPr>
        <w:t xml:space="preserve">Ключевая находка исследования данных:</w:t>
      </w:r>
      <w:r>
        <w:t xml:space="preserve"> исходные таблицы не удовлетворяют соотношению Максвелла ρ²∂E/∂ρ = P − T∂P/∂T (медиана невязки 29 %, на холодной кривой — ровно в 2 раза). Поэтому условия устойчивости навязываются полностью, а термодинамическая согласованность — штрафом с количественно измеренным компромиссом точности.</w:t>
      </w:r>
    </w:p>
    <w:p>
      <w:pPr>
        <w:keepNext/>
        <w:spacing w:after="60" w:before="120"/>
      </w:pPr>
      <w:r>
        <w:rPr>
          <w:i/>
          <w:iCs/>
          <w:sz w:val="20"/>
          <w:szCs w:val="20"/>
        </w:rPr>
        <w:t xml:space="preserve">Таблица 1 — Сводные результаты (ошибки — на test, нарушения — доля из 200 000 случайных точек по области; размер: state_dict и ONNX «только P,E» — 0.29 МБ, ONNX с производными и c_s — 0.59 МБ)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1297"/>
        <w:gridCol w:w="1297"/>
        <w:gridCol w:w="1575"/>
        <w:gridCol w:w="1205"/>
        <w:gridCol w:w="1484"/>
      </w:tblGrid>
      <w:tr>
        <w:trPr>
          <w:tblHeader/>
        </w:trPr>
        <w:tc>
          <w:tcPr>
            <w:tcW w:type="dxa" w:w="278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129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P, ср. ошибка</w:t>
            </w:r>
          </w:p>
        </w:tc>
        <w:tc>
          <w:tcPr>
            <w:tcW w:type="dxa" w:w="129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E, ср. ошибка</w:t>
            </w:r>
          </w:p>
        </w:tc>
        <w:tc>
          <w:tcPr>
            <w:tcW w:type="dxa" w:w="157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Нарушения устойчивости</w:t>
            </w:r>
          </w:p>
        </w:tc>
        <w:tc>
          <w:tcPr>
            <w:tcW w:type="dxa" w:w="120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Размер</w:t>
            </w:r>
          </w:p>
        </w:tc>
        <w:tc>
          <w:tcPr>
            <w:tcW w:type="dxa" w:w="14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10⁵ запросов P, E</w:t>
            </w:r>
          </w:p>
        </w:tc>
      </w:tr>
      <w:tr>
        <w:trPr>
          <w:tblHeader w:val="off"/>
        </w:trPr>
        <w:tc>
          <w:tcPr>
            <w:tcW w:type="dxa" w:w="278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Билинейная интерполяция (ln P)</w:t>
            </w:r>
          </w:p>
        </w:tc>
        <w:tc>
          <w:tcPr>
            <w:tcW w:type="dxa" w:w="129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0.012 %</w:t>
            </w:r>
          </w:p>
        </w:tc>
        <w:tc>
          <w:tcPr>
            <w:tcW w:type="dxa" w:w="129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0.027 %</w:t>
            </w:r>
          </w:p>
        </w:tc>
        <w:tc>
          <w:tcPr>
            <w:tcW w:type="dxa" w:w="157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1.9 %</w:t>
            </w:r>
          </w:p>
        </w:tc>
        <w:tc>
          <w:tcPr>
            <w:tcW w:type="dxa" w:w="120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4.4 МБ</w:t>
            </w:r>
          </w:p>
        </w:tc>
        <w:tc>
          <w:tcPr>
            <w:tcW w:type="dxa" w:w="14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45 мс</w:t>
            </w:r>
          </w:p>
        </w:tc>
      </w:tr>
      <w:tr>
        <w:trPr>
          <w:tblHeader w:val="off"/>
        </w:trPr>
        <w:tc>
          <w:tcPr>
            <w:tcW w:type="dxa" w:w="278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Vanilla MLP</w:t>
            </w:r>
          </w:p>
        </w:tc>
        <w:tc>
          <w:tcPr>
            <w:tcW w:type="dxa" w:w="129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0.22 %</w:t>
            </w:r>
          </w:p>
        </w:tc>
        <w:tc>
          <w:tcPr>
            <w:tcW w:type="dxa" w:w="129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0.25 %</w:t>
            </w:r>
          </w:p>
        </w:tc>
        <w:tc>
          <w:tcPr>
            <w:tcW w:type="dxa" w:w="157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28.4 %</w:t>
            </w:r>
          </w:p>
        </w:tc>
        <w:tc>
          <w:tcPr>
            <w:tcW w:type="dxa" w:w="120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0.29 МБ</w:t>
            </w:r>
          </w:p>
        </w:tc>
        <w:tc>
          <w:tcPr>
            <w:tcW w:type="dxa" w:w="14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123 мс (ONNX)</w:t>
            </w:r>
          </w:p>
        </w:tc>
      </w:tr>
      <w:tr>
        <w:trPr>
          <w:tblHeader w:val="off"/>
        </w:trPr>
        <w:tc>
          <w:tcPr>
            <w:tcW w:type="dxa" w:w="278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PINN-T «термодинамическая»</w:t>
            </w:r>
          </w:p>
        </w:tc>
        <w:tc>
          <w:tcPr>
            <w:tcW w:type="dxa" w:w="129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11.9 %</w:t>
            </w:r>
          </w:p>
        </w:tc>
        <w:tc>
          <w:tcPr>
            <w:tcW w:type="dxa" w:w="129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11.9 %</w:t>
            </w:r>
          </w:p>
        </w:tc>
        <w:tc>
          <w:tcPr>
            <w:tcW w:type="dxa" w:w="157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0.082 %</w:t>
            </w:r>
          </w:p>
        </w:tc>
        <w:tc>
          <w:tcPr>
            <w:tcW w:type="dxa" w:w="120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0.29 / 0.59 МБ</w:t>
            </w:r>
          </w:p>
        </w:tc>
        <w:tc>
          <w:tcPr>
            <w:tcW w:type="dxa" w:w="14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113 мс (ONNX)</w:t>
            </w:r>
          </w:p>
        </w:tc>
      </w:tr>
      <w:tr>
        <w:trPr>
          <w:tblHeader w:val="off"/>
        </w:trPr>
        <w:tc>
          <w:tcPr>
            <w:tcW w:type="dxa" w:w="278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PINN-A «точная»</w:t>
            </w:r>
          </w:p>
        </w:tc>
        <w:tc>
          <w:tcPr>
            <w:tcW w:type="dxa" w:w="129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0.36 %</w:t>
            </w:r>
          </w:p>
        </w:tc>
        <w:tc>
          <w:tcPr>
            <w:tcW w:type="dxa" w:w="129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0.59 %</w:t>
            </w:r>
          </w:p>
        </w:tc>
        <w:tc>
          <w:tcPr>
            <w:tcW w:type="dxa" w:w="157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0.018 %</w:t>
            </w:r>
          </w:p>
        </w:tc>
        <w:tc>
          <w:tcPr>
            <w:tcW w:type="dxa" w:w="120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0.29 / 0.59 МБ</w:t>
            </w:r>
          </w:p>
        </w:tc>
        <w:tc>
          <w:tcPr>
            <w:tcW w:type="dxa" w:w="14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126 мс (ONNX)</w:t>
            </w:r>
          </w:p>
        </w:tc>
      </w:tr>
      <w:tr>
        <w:trPr>
          <w:tblHeader w:val="off"/>
        </w:trPr>
        <w:tc>
          <w:tcPr>
            <w:tcW w:type="dxa" w:w="278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Компактная PINN</w:t>
            </w:r>
          </w:p>
        </w:tc>
        <w:tc>
          <w:tcPr>
            <w:tcW w:type="dxa" w:w="129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1.0 %</w:t>
            </w:r>
          </w:p>
        </w:tc>
        <w:tc>
          <w:tcPr>
            <w:tcW w:type="dxa" w:w="129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1.4 %</w:t>
            </w:r>
          </w:p>
        </w:tc>
        <w:tc>
          <w:tcPr>
            <w:tcW w:type="dxa" w:w="157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0.048 %</w:t>
            </w:r>
          </w:p>
        </w:tc>
        <w:tc>
          <w:tcPr>
            <w:tcW w:type="dxa" w:w="120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0.06 МБ</w:t>
            </w:r>
          </w:p>
        </w:tc>
        <w:tc>
          <w:tcPr>
            <w:tcW w:type="dxa" w:w="14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45 мс (ONNX)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i/>
          <w:iCs/>
          <w:sz w:val="20"/>
          <w:szCs w:val="20"/>
        </w:rPr>
        <w:t xml:space="preserve">Таблица 2 — Выполнение термодинамических ограничений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1"/>
        <w:gridCol w:w="1788"/>
        <w:gridCol w:w="1788"/>
        <w:gridCol w:w="1689"/>
        <w:gridCol w:w="1392"/>
      </w:tblGrid>
      <w:tr>
        <w:trPr>
          <w:tblHeader/>
        </w:trPr>
        <w:tc>
          <w:tcPr>
            <w:tcW w:type="dxa" w:w="298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178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|r_M| медиана (Максвелл)</w:t>
            </w:r>
          </w:p>
        </w:tc>
        <w:tc>
          <w:tcPr>
            <w:tcW w:type="dxa" w:w="178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Нарушения устойчивости</w:t>
            </w:r>
          </w:p>
        </w:tc>
        <w:tc>
          <w:tcPr>
            <w:tcW w:type="dxa" w:w="168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𝒢 &lt; 0 (выпуклость)</w:t>
            </w:r>
          </w:p>
        </w:tc>
        <w:tc>
          <w:tcPr>
            <w:tcW w:type="dxa" w:w="139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P, ср. ошибка</w:t>
            </w:r>
          </w:p>
        </w:tc>
      </w:tr>
      <w:tr>
        <w:trPr>
          <w:tblHeader w:val="off"/>
        </w:trPr>
        <w:tc>
          <w:tcPr>
            <w:tcW w:type="dxa" w:w="298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Таблицы (исходные данные)</w:t>
            </w:r>
          </w:p>
        </w:tc>
        <w:tc>
          <w:tcPr>
            <w:tcW w:type="dxa" w:w="178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0.49</w:t>
            </w:r>
          </w:p>
        </w:tc>
        <w:tc>
          <w:tcPr>
            <w:tcW w:type="dxa" w:w="178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1.9 %</w:t>
            </w:r>
          </w:p>
        </w:tc>
        <w:tc>
          <w:tcPr>
            <w:tcW w:type="dxa" w:w="168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2.2 %</w:t>
            </w:r>
          </w:p>
        </w:tc>
        <w:tc>
          <w:tcPr>
            <w:tcW w:type="dxa" w:w="139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98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Vanilla MLP</w:t>
            </w:r>
          </w:p>
        </w:tc>
        <w:tc>
          <w:tcPr>
            <w:tcW w:type="dxa" w:w="178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0.48</w:t>
            </w:r>
          </w:p>
        </w:tc>
        <w:tc>
          <w:tcPr>
            <w:tcW w:type="dxa" w:w="178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28.4 %</w:t>
            </w:r>
          </w:p>
        </w:tc>
        <w:tc>
          <w:tcPr>
            <w:tcW w:type="dxa" w:w="168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13.2 %</w:t>
            </w:r>
          </w:p>
        </w:tc>
        <w:tc>
          <w:tcPr>
            <w:tcW w:type="dxa" w:w="139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0.22 %</w:t>
            </w:r>
          </w:p>
        </w:tc>
      </w:tr>
      <w:tr>
        <w:trPr>
          <w:tblHeader w:val="off"/>
        </w:trPr>
        <w:tc>
          <w:tcPr>
            <w:tcW w:type="dxa" w:w="298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PINN-A «точная»</w:t>
            </w:r>
          </w:p>
        </w:tc>
        <w:tc>
          <w:tcPr>
            <w:tcW w:type="dxa" w:w="178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0.47</w:t>
            </w:r>
          </w:p>
        </w:tc>
        <w:tc>
          <w:tcPr>
            <w:tcW w:type="dxa" w:w="178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0.018 %</w:t>
            </w:r>
          </w:p>
        </w:tc>
        <w:tc>
          <w:tcPr>
            <w:tcW w:type="dxa" w:w="168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15.9 %</w:t>
            </w:r>
          </w:p>
        </w:tc>
        <w:tc>
          <w:tcPr>
            <w:tcW w:type="dxa" w:w="139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0.36 %</w:t>
            </w:r>
          </w:p>
        </w:tc>
      </w:tr>
      <w:tr>
        <w:trPr>
          <w:tblHeader w:val="off"/>
        </w:trPr>
        <w:tc>
          <w:tcPr>
            <w:tcW w:type="dxa" w:w="298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PINN-T «термодинамическая»</w:t>
            </w:r>
          </w:p>
        </w:tc>
        <w:tc>
          <w:tcPr>
            <w:tcW w:type="dxa" w:w="178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0.050</w:t>
            </w:r>
          </w:p>
        </w:tc>
        <w:tc>
          <w:tcPr>
            <w:tcW w:type="dxa" w:w="178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0.082 %</w:t>
            </w:r>
          </w:p>
        </w:tc>
        <w:tc>
          <w:tcPr>
            <w:tcW w:type="dxa" w:w="168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14.0 %</w:t>
            </w:r>
          </w:p>
        </w:tc>
        <w:tc>
          <w:tcPr>
            <w:tcW w:type="dxa" w:w="139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11.9 %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Команда и роли</w:t>
      </w:r>
    </w:p>
    <w:p>
      <w:pPr>
        <w:keepNext/>
        <w:spacing w:after="60" w:before="120"/>
      </w:pPr>
      <w:r>
        <w:rPr>
          <w:i/>
          <w:iCs/>
          <w:sz w:val="20"/>
          <w:szCs w:val="20"/>
        </w:rPr>
        <w:t xml:space="preserve">Таблица 3 — Состав команды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"/>
        <w:gridCol w:w="3044"/>
        <w:gridCol w:w="6087"/>
      </w:tblGrid>
      <w:tr>
        <w:trPr>
          <w:tblHeader/>
        </w:trPr>
        <w:tc>
          <w:tcPr>
            <w:tcW w:type="dxa" w:w="50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0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ФИО</w:t>
            </w:r>
          </w:p>
        </w:tc>
        <w:tc>
          <w:tcPr>
            <w:tcW w:type="dxa" w:w="608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Роль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0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Бронникова Екатерина Юрьевна</w:t>
            </w:r>
          </w:p>
        </w:tc>
        <w:tc>
          <w:tcPr>
            <w:tcW w:type="dxa" w:w="608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Капитан команды. Архитектура PINN, физический лосс; документация, презентация, финальная сборка решения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0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Ярутов Алексей Николаевич</w:t>
            </w:r>
          </w:p>
        </w:tc>
        <w:tc>
          <w:tcPr>
            <w:tcW w:type="dxa" w:w="608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Загрузка данных, EDA, baseline (билинейная интерполяция)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0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Малицын Николай Романович</w:t>
            </w:r>
          </w:p>
        </w:tc>
        <w:tc>
          <w:tcPr>
            <w:tcW w:type="dxa" w:w="608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Обучение Vanilla-модели, подбор гиперпараметров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0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Боева Анастасия Владимировна</w:t>
            </w:r>
          </w:p>
        </w:tc>
        <w:tc>
          <w:tcPr>
            <w:tcW w:type="dxa" w:w="608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Физический блок: автоград производных, скорость звука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0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Семенова Анжелика Романовна</w:t>
            </w:r>
          </w:p>
        </w:tc>
        <w:tc>
          <w:tcPr>
            <w:tcW w:type="dxa" w:w="608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Инференс, упаковка (ONNX, TorchScript), класс-обёртка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Архитектура решения и структура репозитория</w:t>
      </w:r>
    </w:p>
    <w:p>
      <w:pPr>
        <w:spacing w:after="120" w:line="300"/>
        <w:jc w:val="both"/>
      </w:pPr>
      <w:r>
        <w:t xml:space="preserve">Решение оформлено как Python-пакет eos (переиспользуемая библиотека) и набор скриптов по модулям кейса; каждый скрипт можно запускать отдельно, run.py запускает весь пайплайн.</w:t>
      </w:r>
    </w:p>
    <w:p>
      <w:pPr>
        <w:keepNext/>
        <w:spacing w:after="60" w:before="120"/>
      </w:pPr>
      <w:r>
        <w:rPr>
          <w:i/>
          <w:iCs/>
          <w:sz w:val="20"/>
          <w:szCs w:val="20"/>
        </w:rPr>
        <w:t xml:space="preserve">Таблица 4 — Модули репозитория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tblHeader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eos/data.py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Загрузка 20 областей, восстановление сеток, разбиение train/val/test, класс Normalizer (JSON)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eos/baseline.py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BilinearEOS — билинейная интерполяция по каждой сетке в нативных координатах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eos/physics.py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Формулы c_s², невязки Максвелла, флаги нарушений, производные таблиц, случайные точки области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eos/metrics.py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Относительные ошибки P и E, метрики по областям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eos/model.py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EOSNet (Фурье-признаки + MLP), явный якобиан, Thermo, физические потери, экспортируемые модули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eos/train.py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Конфигурация и цикл обучения (Vanilla и PINN), чекпойнты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eos/wrapper.py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Класс-обёртка EOSModel: predict / derivatives / sound_speed / check_physics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scripts/m1_eda_baseline.py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Модуль 1: EDA, сечения, физика данных, бейзлайн, нормировка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scripts/m2_m3_train.py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Модули 2–3: обучение Vanilla, PINN, серия по весу Максвелла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scripts/m4_evaluate.py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Модуль 4: метрики, проверка autograd, экспорт, графики, таблица сравнения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scripts/m5_compress.py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Модуль 5: TorchScript, ONNX, fp16, int8, компактная модель, замеры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scripts/m2_autograd_derivatives.py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П. 2.3: производные через torch.autograd во всех тестовых точках, сверка с явным якобианом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scripts/m3_extra_physics.py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Доп. проверки: выпуклость изоэнтроп 𝒢 &gt; 0 и третье начало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scripts/m4_bench_1e8.py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Замер скорости на 10⁸ запросов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configs/*.json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Гиперпараметры: vanilla, pinn_finetune_sweep, pinn (PINN-A), pinn_thermo (PINN-T), pinn_small, pinn_consistent (эксперимент с 𝒢)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README.md, docs/README_Module1…6.md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Главный README (запуск, метрики, API) и документация каждого модуля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tests/test_core.py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Тесты: якобиан = autograd, ONNX = PyTorch, проверка входа</w:t>
            </w:r>
          </w:p>
        </w:tc>
      </w:tr>
      <w:tr>
        <w:trPr>
          <w:tblHeader w:val="off"/>
        </w:trPr>
        <w:tc>
          <w:tcPr>
            <w:tcW w:type="dxa" w:w="2610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examples/api_example.py</w:t>
            </w:r>
          </w:p>
        </w:tc>
        <w:tc>
          <w:tcPr>
            <w:tcW w:type="dxa" w:w="7028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Пример использования API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Модуль 1. Данные, EDA и бейзлайн</w:t>
      </w:r>
    </w:p>
    <w:p>
      <w:pPr>
        <w:pStyle w:val="Heading2"/>
      </w:pPr>
      <w:r>
        <w:t xml:space="preserve">4.1. Структура данных</w:t>
      </w:r>
    </w:p>
    <w:p>
      <w:pPr>
        <w:spacing w:after="120" w:line="300"/>
        <w:jc w:val="both"/>
      </w:pPr>
      <w:r>
        <w:t xml:space="preserve">Данные — 20 файлов Obl01…Obl20 (1 130 053 точки, колонки ρ [г/см³], T [K], P [ГПа], E [кДж/г]). Каждая область — полная прямоугольная сетка, равномерная по каждой оси либо линейно, либо логарифмически; встречаются все 4 типа: log-log (13 областей), log-lin (4), lin-log (4), lin-lin (1). Пропусков и дубликатов нет, на общих границах значения непрерывны.</w:t>
      </w:r>
    </w:p>
    <w:p>
      <w:pPr>
        <w:spacing w:after="120" w:line="300"/>
        <w:jc w:val="both"/>
      </w:pPr>
      <w:r>
        <w:t xml:space="preserve">Давление положительно и меняется на 12 порядков (от 5·10⁻⁴ до 1.6·10⁹ ГПа), энергия меняет знак (от −47 до 1.8·10⁵ кДж/г). Поэтому целевые переменные сети — ln P и asinh(E / 1 кДж/г), входы — ln ρ и ln T. Удобное свойство единиц: ГПа / (г/см³) = кДж/г, и термодинамические соотношения записываются без коэффициентов.</w:t>
      </w:r>
    </w:p>
    <w:p>
      <w:pPr>
        <w:spacing w:after="60" w:before="120"/>
        <w:jc w:val="center"/>
      </w:pPr>
      <w:r>
        <w:drawing>
          <wp:inline distT="0" distB="0" distL="0" distR="0">
            <wp:extent cx="5120640" cy="33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3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1 — 20 табличных областей и тип равномерности сетки</w:t>
      </w:r>
    </w:p>
    <w:p>
      <w:pPr>
        <w:spacing w:after="60" w:before="120"/>
        <w:jc w:val="center"/>
      </w:pPr>
      <w:r>
        <w:drawing>
          <wp:inline distT="0" distB="0" distL="0" distR="0">
            <wp:extent cx="5669280" cy="3883814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88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2 — Сечения P и E при фиксированных ρ и T</w:t>
      </w:r>
    </w:p>
    <w:p>
      <w:pPr>
        <w:pStyle w:val="Heading2"/>
      </w:pPr>
      <w:r>
        <w:t xml:space="preserve">4.2. Проверка термодинамики на самих таблицах</w:t>
      </w:r>
    </w:p>
    <w:p>
      <w:pPr>
        <w:spacing w:after="120" w:line="300"/>
        <w:jc w:val="both"/>
      </w:pPr>
      <w:r>
        <w:t xml:space="preserve">Производные таблиц вычислены центральными разностями по узлам, затем проверены все ограничения кейса.</w:t>
      </w:r>
    </w:p>
    <w:p>
      <w:pPr>
        <w:keepNext/>
        <w:spacing w:after="60" w:before="120"/>
      </w:pPr>
      <w:r>
        <w:rPr>
          <w:i/>
          <w:iCs/>
          <w:sz w:val="20"/>
          <w:szCs w:val="20"/>
        </w:rPr>
        <w:t xml:space="preserve">Таблица 5 — Термодинамические ограничения в табличных данных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Ограничение</w:t>
            </w:r>
          </w:p>
        </w:tc>
        <w:tc>
          <w:tcPr>
            <w:tcW w:type="dxa" w:w="481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Выполнение в данных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(∂P/∂ρ)_T &gt; 0 — механическая устойчивость</w:t>
            </w:r>
          </w:p>
        </w:tc>
        <w:tc>
          <w:tcPr>
            <w:tcW w:type="dxa" w:w="481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везде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C_v = (∂E/∂T)_ρ ≥ 0 — термическая устойчивость</w:t>
            </w:r>
          </w:p>
        </w:tc>
        <w:tc>
          <w:tcPr>
            <w:tcW w:type="dxa" w:w="481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везде, кроме линии T ≈ 143 K (скачок E и P во всех областях)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c_s² &gt; 0</w:t>
            </w:r>
          </w:p>
        </w:tc>
        <w:tc>
          <w:tcPr>
            <w:tcW w:type="dxa" w:w="481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везде, кроме той же линии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c_s &lt; c</w:t>
            </w:r>
          </w:p>
        </w:tc>
        <w:tc>
          <w:tcPr>
            <w:tcW w:type="dxa" w:w="481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нарушается при T → 0: E не зависит от T (C_v = 0), а ∂P/∂T ≠ 0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ρ²(∂E/∂ρ)_T = P − T(∂P/∂T)_ρ — соотношение Максвелла</w:t>
            </w:r>
          </w:p>
        </w:tc>
        <w:tc>
          <w:tcPr>
            <w:tcW w:type="dxa" w:w="481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не выполняется: медиана |r_M| = 0.29, у 70 % узлов &gt; 5 %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На холодной кривой P ∝ ρ^{5/3} (вырожденный электронный газ), а ρ²∂E/∂ρ ровно в два раза меньше P. Минимум холодной энергии находится при ρ ≈ 2.6 г/см³, но давление там ≈ 140 ГПа, а не 0. Следовательно, таблицы P и E не происходят из одной свободной энергии. Для PINN это означает: условия устойчивости совместимы с данными и могут навязываться без потери точности, а условие Максвелла несовместимо с данными и может вводиться только как компромисс.</w:t>
      </w:r>
    </w:p>
    <w:p>
      <w:pPr>
        <w:spacing w:after="60" w:before="120"/>
        <w:jc w:val="center"/>
      </w:pPr>
      <w:r>
        <w:drawing>
          <wp:inline distT="0" distB="0" distL="0" distR="0">
            <wp:extent cx="5669280" cy="2098348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0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3 — Холодная кривая (несогласованность P и E) и скачок энергии при T ≈ 143 K</w:t>
      </w:r>
    </w:p>
    <w:p>
      <w:pPr>
        <w:spacing w:after="60" w:before="120"/>
        <w:jc w:val="center"/>
      </w:pPr>
      <w:r>
        <w:drawing>
          <wp:inline distT="0" distB="0" distL="0" distR="0">
            <wp:extent cx="5669280" cy="2200374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20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4 — Невязка Максвелла и узлы с нарушением устойчивости в табличных данных</w:t>
      </w:r>
    </w:p>
    <w:p>
      <w:pPr>
        <w:pStyle w:val="Heading2"/>
      </w:pPr>
      <w:r>
        <w:t xml:space="preserve">4.3. Разбиение и нормирование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train</w:t>
      </w:r>
      <w:r>
        <w:t xml:space="preserve"> — узлы с чётными индексами по обеим осям (+ крайние узлы): 286 521 точка;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test</w:t>
      </w:r>
      <w:r>
        <w:t xml:space="preserve"> — центры ячеек train-сетки (нечётные индексы): 278 537 точек — самые трудные точки для интерполяции;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val</w:t>
      </w:r>
      <w:r>
        <w:t xml:space="preserve"> — середины рёбер: 564 995 точек.</w:t>
      </w:r>
    </w:p>
    <w:p>
      <w:pPr>
        <w:spacing w:after="120" w:line="300"/>
        <w:jc w:val="both"/>
      </w:pPr>
      <w:r>
        <w:t xml:space="preserve">И бейзлайн, и нейросети используют только train, что делает сравнение честным. Коэффициенты нормирования сохраняются в artifacts/models/normalization.json: x = (ln ρ − μ)/σ и (ln T − μ)/σ отображают область в [−1, 1]²; y_P = (ln P − μ_P)/σ_P; y_E = (asinh(E/E_s) − μ_E)/σ_E.</w:t>
      </w:r>
    </w:p>
    <w:p>
      <w:pPr>
        <w:pStyle w:val="Heading2"/>
      </w:pPr>
      <w:r>
        <w:t xml:space="preserve">4.4. Бейзлайн — билинейная интерполяция</w:t>
      </w:r>
    </w:p>
    <w:p>
      <w:pPr>
        <w:spacing w:after="120" w:line="300"/>
        <w:jc w:val="both"/>
      </w:pPr>
      <w:r>
        <w:t xml:space="preserve">Для каждой из 20 областей строится билинейный интерполятор (scipy RegularGridInterpolator) в нативных координатах сетки: по ln для логарифмических осей и по самой величине для линейных — так в каждой ячейке интерполяция идёт по равномерной сетке. Варианты значений: P и ln P. Производные — центральными разностями.</w:t>
      </w:r>
    </w:p>
    <w:p>
      <w:pPr>
        <w:keepNext/>
        <w:spacing w:after="60" w:before="120"/>
      </w:pPr>
      <w:r>
        <w:rPr>
          <w:i/>
          <w:iCs/>
          <w:sz w:val="20"/>
          <w:szCs w:val="20"/>
        </w:rPr>
        <w:t xml:space="preserve">Таблица 6 — Метрики бейзлайна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2677"/>
        <w:gridCol w:w="2677"/>
      </w:tblGrid>
      <w:tr>
        <w:trPr>
          <w:tblHeader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Метрика (test)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Интерполяция P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Интерполяция ln P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P, средняя относительная ошибка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0.055 %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0.012 %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P, 95-й перцентиль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0.20 %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0.013 %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P, максимум (скачок 143 K)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21.9 %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20.4 %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E, средняя относительная ошибка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0.027 %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0.027 %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Размер таблиц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4.4 МБ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4.4 МБ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10⁵ запросов P, E / с производными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48 / 241 мс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45 / 228 мс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Доля нарушений устойчивости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1.9 %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1.9 %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Модуль 2. Нейросетевая модель (Vanilla)</w:t>
      </w:r>
    </w:p>
    <w:p>
      <w:pPr>
        <w:spacing w:after="120" w:line="300"/>
        <w:jc w:val="both"/>
      </w:pPr>
      <w:r>
        <w:t xml:space="preserve">Архитектура EOSNet: 32 случайных Фурье-признака sin/cos(πBx), B ~ N(0, 2²) → 5 скрытых слоёв по 128 нейронов с активацией SiLU → 2 выхода (нормированные ln P и asinh E); 74 882 параметра. Гладкая активация необходима, так как производные выходов по входам используются в физических ограничениях. Давление восстанавливается как exp(·), поэтому P &gt; 0 гарантировано конструктивно.</w:t>
      </w:r>
    </w:p>
    <w:p>
      <w:pPr>
        <w:keepNext/>
        <w:spacing w:after="60" w:before="120"/>
      </w:pPr>
      <w:r>
        <w:rPr>
          <w:i/>
          <w:iCs/>
          <w:sz w:val="20"/>
          <w:szCs w:val="20"/>
        </w:rPr>
        <w:t xml:space="preserve">Таблица 7 — Подбор архитектуры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2677"/>
        <w:gridCol w:w="2677"/>
      </w:tblGrid>
      <w:tr>
        <w:trPr>
          <w:tblHeader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Вариант (100 эпох)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P, ошибка на val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E, ошибка на val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MLP 5×128, SiLU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2.0 %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2.4 %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MLP 4×256, SiLU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2.2 %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2.6 %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MLP 5×128, tanh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1.4 %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1.5 %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Фурье 16, σ = 1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0.77 %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1.1 %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Фурье 32, σ = 2 (выбран)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0.53 %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0.84 %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Фурье 64, σ = 3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0.55 %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0.85 %</w:t>
            </w:r>
          </w:p>
        </w:tc>
      </w:tr>
      <w:tr>
        <w:trPr>
          <w:tblHeader w:val="off"/>
        </w:trPr>
        <w:tc>
          <w:tcPr>
            <w:tcW w:type="dxa" w:w="428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Фурье 32, σ = 4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0.79 %</w:t>
            </w:r>
          </w:p>
        </w:tc>
        <w:tc>
          <w:tcPr>
            <w:tcW w:type="dxa" w:w="2677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1.5 %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Фурье-признаки снимают спектральное смещение MLP и позволяют описать резкие переходы: ионизационный рост энергии около 10⁴ K и структуру холодной кривой около нормальной плотности. Обучение: Adam, шаг 2·10⁻³ → 10⁻⁵ по косинусу, батч 4096, 300 эпох, ограничение нормы градиента 1.</w:t>
      </w:r>
    </w:p>
    <w:p>
      <w:pPr>
        <w:spacing w:after="120" w:line="300"/>
        <w:jc w:val="both"/>
      </w:pPr>
      <w:r>
        <w:rPr>
          <w:b/>
          <w:bCs/>
        </w:rPr>
        <w:t xml:space="preserve">Производные через autograd (п. 2.3).</w:t>
      </w:r>
      <w:r>
        <w:t xml:space="preserve"> Частные производные ∂P/∂ρ, ∂P/∂T, ∂E/∂ρ, ∂E/∂T и c_s² вычисляются через torch.autograd по физическим входам ρ и T (функция eos.model.autograd_derivatives, метод EOSModel.derivatives_autograd) во всех 278 537 тестовых точках — скрипт scripts/m2_autograd_derivatives.py, результаты в artifacts/tables/autograd_derivatives_*.csv.</w:t>
      </w:r>
    </w:p>
    <w:p>
      <w:pPr>
        <w:spacing w:after="120" w:line="300"/>
        <w:jc w:val="both"/>
      </w:pPr>
      <w:r>
        <w:t xml:space="preserve">Для инференса используется математически эквивалентный способ — явный якобиан (метод forward_jac протаскивает касательные векторы через слои за один проход). Он нужен потому, что autograd не экспортируется в ONNX, а гидрокоду производные и c_s нужны прямо в модели. Расхождение с autograd на всех тестовых точках — медиана 4·10⁻⁷…8·10⁻⁷ (точность float32), в тестах — до 10⁻¹² в double. В обучении PINN способ выбирается параметром deriv ("autograd" или "jac").</w:t>
      </w:r>
    </w:p>
    <w:p>
      <w:pPr>
        <w:spacing w:after="120" w:line="300"/>
        <w:jc w:val="both"/>
      </w:pPr>
      <w:r>
        <w:rPr>
          <w:b/>
          <w:bCs/>
        </w:rPr>
        <w:t xml:space="preserve">Результат Vanilla:</w:t>
      </w:r>
      <w:r>
        <w:t xml:space="preserve"> 0.22 % по P и 0.25 % по E на test, но 28.4 % случайных точек области нарушают устойчивость (C_v &lt; 0 — 25 %, ∂P/∂ρ ≤ 0 — 3.6 %, c_s² ≤ 0 — 2.5 %).</w:t>
      </w:r>
    </w:p>
    <w:p>
      <w:pPr>
        <w:spacing w:after="60" w:before="120"/>
        <w:jc w:val="center"/>
      </w:pPr>
      <w:r>
        <w:drawing>
          <wp:inline distT="0" distB="0" distL="0" distR="0">
            <wp:extent cx="5852160" cy="17464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7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5 — Кривые обучения PINN (дообучение) — ошибка на данных, валидация и физические слагаемые</w:t>
      </w:r>
    </w:p>
    <w:p>
      <w:pPr>
        <w:pStyle w:val="Heading1"/>
      </w:pPr>
      <w:r>
        <w:t xml:space="preserve">6. Модуль 3. Учёт физических ограничений (PINN)</w:t>
      </w:r>
    </w:p>
    <w:p>
      <w:pPr>
        <w:spacing w:after="120" w:line="300"/>
        <w:jc w:val="both"/>
      </w:pPr>
      <w:r>
        <w:t xml:space="preserve">Функция потерь L = L_data + λ·L_phys. Все физические слагаемые безразмерны и записаны через g_r = ∂lnP/∂lnρ, g_T = ∂lnP/∂lnT, e_r = ∂E/∂lnρ, e_T = ∂E/∂lnT = T·C_v, поэтому одинаково работают при P ~ 10⁻³ и 10⁹ ГПа.</w:t>
      </w:r>
    </w:p>
    <w:p>
      <w:pPr>
        <w:keepNext/>
        <w:spacing w:after="60" w:before="120"/>
      </w:pPr>
      <w:r>
        <w:rPr>
          <w:i/>
          <w:iCs/>
          <w:sz w:val="20"/>
          <w:szCs w:val="20"/>
        </w:rPr>
        <w:t xml:space="preserve">Таблица 8 — Физические слагаемые функции потерь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5669"/>
        <w:gridCol w:w="1134"/>
      </w:tblGrid>
      <w:tr>
        <w:trPr>
          <w:tblHeader/>
        </w:trPr>
        <w:tc>
          <w:tcPr>
            <w:tcW w:type="dxa" w:w="283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Ограничение</w:t>
            </w:r>
          </w:p>
        </w:tc>
        <w:tc>
          <w:tcPr>
            <w:tcW w:type="dxa" w:w="566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Слагаемое потерь</w:t>
            </w:r>
          </w:p>
        </w:tc>
        <w:tc>
          <w:tcPr>
            <w:tcW w:type="dxa" w:w="113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Вес</w:t>
            </w:r>
          </w:p>
        </w:tc>
      </w:tr>
      <w:tr>
        <w:trPr>
          <w:tblHeader w:val="off"/>
        </w:trPr>
        <w:tc>
          <w:tcPr>
            <w:tcW w:type="dxa" w:w="283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(∂P/∂ρ)_T &gt; 0</w:t>
            </w:r>
          </w:p>
        </w:tc>
        <w:tc>
          <w:tcPr>
            <w:tcW w:type="dxa" w:w="566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relu(ε − g_r), линейный hinge</w:t>
            </w:r>
          </w:p>
        </w:tc>
        <w:tc>
          <w:tcPr>
            <w:tcW w:type="dxa" w:w="113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283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C_v ≥ 0</w:t>
            </w:r>
          </w:p>
        </w:tc>
        <w:tc>
          <w:tcPr>
            <w:tcW w:type="dxa" w:w="566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relu(ε − ∂y_E/∂x_T), линейный hinge</w:t>
            </w:r>
          </w:p>
        </w:tc>
        <w:tc>
          <w:tcPr>
            <w:tcW w:type="dxa" w:w="113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283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c_s &lt; c (п. 3.3)</w:t>
            </w:r>
          </w:p>
        </w:tc>
        <w:tc>
          <w:tcPr>
            <w:tcW w:type="dxa" w:w="566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relu(ln(c_s²/c²))² в точках с C_v &gt; 0</w:t>
            </w:r>
          </w:p>
        </w:tc>
        <w:tc>
          <w:tcPr>
            <w:tcW w:type="dxa" w:w="113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</w:t>
            </w:r>
          </w:p>
        </w:tc>
      </w:tr>
      <w:tr>
        <w:trPr>
          <w:tblHeader w:val="off"/>
        </w:trPr>
        <w:tc>
          <w:tcPr>
            <w:tcW w:type="dxa" w:w="283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Максвелл</w:t>
            </w:r>
          </w:p>
        </w:tc>
        <w:tc>
          <w:tcPr>
            <w:tcW w:type="dxa" w:w="566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Huber(r_M, δ = 0.5), r_M = ρe_r/P − 1 + g_T</w:t>
            </w:r>
          </w:p>
        </w:tc>
        <w:tc>
          <w:tcPr>
            <w:tcW w:type="dxa" w:w="113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λ_M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Штрафы считаются на train-узлах и на 2048 случайных коллокационных точках на шаг по всей области — нарушения Vanilla возникают именно между узлами.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Линейный hinge выбран потому, что нарушения C_v &lt; 0 у Vanilla многочисленны, но малы по величине; квадратичный штраф почти не даёт для них градиента.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Прямой штраф за c_s² &lt; 0 исключён: при C_v → 0 тепловой член c_s² ∝ 1/C_v взрывается и разрушает обучение (в первой версии ошибка доходила до 100 %). Положительность c_s² следует из первых двух условий.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PINN дообучается из весов Vanilla (сначала форма поверхности, затем физика) — в разы дешевле обучения с нуля, так как шаг PINN примерно в 10 раз дороже.</w:t>
      </w:r>
    </w:p>
    <w:p>
      <w:pPr>
        <w:pStyle w:val="Heading2"/>
      </w:pPr>
      <w:r>
        <w:t xml:space="preserve">6.1. Компромисс точности и согласованности по Максвеллу</w:t>
      </w:r>
    </w:p>
    <w:p>
      <w:pPr>
        <w:keepNext/>
        <w:spacing w:after="60" w:before="120"/>
      </w:pPr>
      <w:r>
        <w:rPr>
          <w:i/>
          <w:iCs/>
          <w:sz w:val="20"/>
          <w:szCs w:val="20"/>
        </w:rPr>
        <w:t xml:space="preserve">Таблица 9 — Серия дообучений PINN (50 эпох) с разным весом условия Максвелла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1662"/>
        <w:gridCol w:w="1662"/>
        <w:gridCol w:w="1883"/>
        <w:gridCol w:w="2215"/>
      </w:tblGrid>
      <w:tr>
        <w:trPr>
          <w:tblHeader/>
        </w:trPr>
        <w:tc>
          <w:tcPr>
            <w:tcW w:type="dxa" w:w="221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λ_M</w:t>
            </w:r>
          </w:p>
        </w:tc>
        <w:tc>
          <w:tcPr>
            <w:tcW w:type="dxa" w:w="166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P, % (test)</w:t>
            </w:r>
          </w:p>
        </w:tc>
        <w:tc>
          <w:tcPr>
            <w:tcW w:type="dxa" w:w="166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E, % (test)</w:t>
            </w:r>
          </w:p>
        </w:tc>
        <w:tc>
          <w:tcPr>
            <w:tcW w:type="dxa" w:w="188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Медиана |r_M|</w:t>
            </w:r>
          </w:p>
        </w:tc>
        <w:tc>
          <w:tcPr>
            <w:tcW w:type="dxa" w:w="221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Наруш. устойчивости</w:t>
            </w:r>
          </w:p>
        </w:tc>
      </w:tr>
      <w:tr>
        <w:trPr>
          <w:tblHeader w:val="off"/>
        </w:trPr>
        <w:tc>
          <w:tcPr>
            <w:tcW w:type="dxa" w:w="221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66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0.45</w:t>
            </w:r>
          </w:p>
        </w:tc>
        <w:tc>
          <w:tcPr>
            <w:tcW w:type="dxa" w:w="166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0.87</w:t>
            </w:r>
          </w:p>
        </w:tc>
        <w:tc>
          <w:tcPr>
            <w:tcW w:type="dxa" w:w="188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0.48</w:t>
            </w:r>
          </w:p>
        </w:tc>
        <w:tc>
          <w:tcPr>
            <w:tcW w:type="dxa" w:w="221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0.06 %</w:t>
            </w:r>
          </w:p>
        </w:tc>
      </w:tr>
      <w:tr>
        <w:trPr>
          <w:tblHeader w:val="off"/>
        </w:trPr>
        <w:tc>
          <w:tcPr>
            <w:tcW w:type="dxa" w:w="221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10⁻⁴ (выбран)</w:t>
            </w:r>
          </w:p>
        </w:tc>
        <w:tc>
          <w:tcPr>
            <w:tcW w:type="dxa" w:w="166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0.43</w:t>
            </w:r>
          </w:p>
        </w:tc>
        <w:tc>
          <w:tcPr>
            <w:tcW w:type="dxa" w:w="166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0.88</w:t>
            </w:r>
          </w:p>
        </w:tc>
        <w:tc>
          <w:tcPr>
            <w:tcW w:type="dxa" w:w="188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0.47</w:t>
            </w:r>
          </w:p>
        </w:tc>
        <w:tc>
          <w:tcPr>
            <w:tcW w:type="dxa" w:w="221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0.12 %</w:t>
            </w:r>
          </w:p>
        </w:tc>
      </w:tr>
      <w:tr>
        <w:trPr>
          <w:tblHeader w:val="off"/>
        </w:trPr>
        <w:tc>
          <w:tcPr>
            <w:tcW w:type="dxa" w:w="221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10⁻³</w:t>
            </w:r>
          </w:p>
        </w:tc>
        <w:tc>
          <w:tcPr>
            <w:tcW w:type="dxa" w:w="166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0.63</w:t>
            </w:r>
          </w:p>
        </w:tc>
        <w:tc>
          <w:tcPr>
            <w:tcW w:type="dxa" w:w="166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0.97</w:t>
            </w:r>
          </w:p>
        </w:tc>
        <w:tc>
          <w:tcPr>
            <w:tcW w:type="dxa" w:w="188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0.44</w:t>
            </w:r>
          </w:p>
        </w:tc>
        <w:tc>
          <w:tcPr>
            <w:tcW w:type="dxa" w:w="221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0.06 %</w:t>
            </w:r>
          </w:p>
        </w:tc>
      </w:tr>
      <w:tr>
        <w:trPr>
          <w:tblHeader w:val="off"/>
        </w:trPr>
        <w:tc>
          <w:tcPr>
            <w:tcW w:type="dxa" w:w="221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10⁻²</w:t>
            </w:r>
          </w:p>
        </w:tc>
        <w:tc>
          <w:tcPr>
            <w:tcW w:type="dxa" w:w="166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3.2</w:t>
            </w:r>
          </w:p>
        </w:tc>
        <w:tc>
          <w:tcPr>
            <w:tcW w:type="dxa" w:w="166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3.0</w:t>
            </w:r>
          </w:p>
        </w:tc>
        <w:tc>
          <w:tcPr>
            <w:tcW w:type="dxa" w:w="188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0.23</w:t>
            </w:r>
          </w:p>
        </w:tc>
        <w:tc>
          <w:tcPr>
            <w:tcW w:type="dxa" w:w="221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0.13 %</w:t>
            </w:r>
          </w:p>
        </w:tc>
      </w:tr>
      <w:tr>
        <w:trPr>
          <w:tblHeader w:val="off"/>
        </w:trPr>
        <w:tc>
          <w:tcPr>
            <w:tcW w:type="dxa" w:w="221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10⁻¹</w:t>
            </w:r>
          </w:p>
        </w:tc>
        <w:tc>
          <w:tcPr>
            <w:tcW w:type="dxa" w:w="166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12.4</w:t>
            </w:r>
          </w:p>
        </w:tc>
        <w:tc>
          <w:tcPr>
            <w:tcW w:type="dxa" w:w="166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12.7</w:t>
            </w:r>
          </w:p>
        </w:tc>
        <w:tc>
          <w:tcPr>
            <w:tcW w:type="dxa" w:w="188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0.06</w:t>
            </w:r>
          </w:p>
        </w:tc>
        <w:tc>
          <w:tcPr>
            <w:tcW w:type="dxa" w:w="221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0.18 %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4206240" cy="2873746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287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6 — Компромисс точность ↔ согласованность по Максвеллу</w:t>
      </w:r>
    </w:p>
    <w:p>
      <w:pPr>
        <w:spacing w:after="120" w:line="300"/>
        <w:jc w:val="both"/>
      </w:pPr>
      <w:r>
        <w:t xml:space="preserve">Согласованность по Максвеллу достижима только ценой отхода от таблиц — это свойство данных, а не метода. По итогам серии выбраны две финальные модели: </w:t>
      </w:r>
      <w:r>
        <w:rPr>
          <w:b/>
          <w:bCs/>
        </w:rPr>
        <w:t xml:space="preserve">PINN-A</w:t>
      </w:r>
      <w:r>
        <w:t xml:space="preserve"> (λ_M = 10⁻⁴, затем 100 эпох дообучения, шаг 10⁻⁴ → 10⁻⁶) — максимум точности при полной устойчивости; </w:t>
      </w:r>
      <w:r>
        <w:rPr>
          <w:b/>
          <w:bCs/>
        </w:rPr>
        <w:t xml:space="preserve">PINN-T</w:t>
      </w:r>
      <w:r>
        <w:t xml:space="preserve"> (λ_M = 10⁻¹, затем 45 эпох с утроенными штрафами устойчивости и 4096 коллокационными точками) — максимум термодинамической согласованности. Так как организаторы указали, что выполнение термодинамических ограничений важнее всего, рекомендуемой считается PINN-T.</w:t>
      </w:r>
    </w:p>
    <w:p>
      <w:pPr>
        <w:pStyle w:val="Heading2"/>
      </w:pPr>
      <w:r>
        <w:t xml:space="preserve">6.2. Сравнение PINN с базовыми моделями</w:t>
      </w:r>
    </w:p>
    <w:p>
      <w:pPr>
        <w:keepNext/>
        <w:spacing w:after="60" w:before="120"/>
      </w:pPr>
      <w:r>
        <w:rPr>
          <w:i/>
          <w:iCs/>
          <w:sz w:val="20"/>
          <w:szCs w:val="20"/>
        </w:rPr>
        <w:t xml:space="preserve">Таблица 10 — Итоговое сравнение (у бейзлайна дополнительно c_s ≥ c в 1.7 % точек; у сетей c_s ≥ c — 0 %)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9"/>
        <w:gridCol w:w="861"/>
        <w:gridCol w:w="861"/>
        <w:gridCol w:w="861"/>
        <w:gridCol w:w="861"/>
        <w:gridCol w:w="904"/>
        <w:gridCol w:w="861"/>
        <w:gridCol w:w="904"/>
        <w:gridCol w:w="861"/>
        <w:gridCol w:w="685"/>
      </w:tblGrid>
      <w:tr>
        <w:trPr>
          <w:tblHeader/>
        </w:trPr>
        <w:tc>
          <w:tcPr>
            <w:tcW w:type="dxa" w:w="197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 ср.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 95 %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 ср.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 95 %</w:t>
            </w:r>
          </w:p>
        </w:tc>
        <w:tc>
          <w:tcPr>
            <w:tcW w:type="dxa" w:w="90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Наруш.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C_v&lt;0</w:t>
            </w:r>
          </w:p>
        </w:tc>
        <w:tc>
          <w:tcPr>
            <w:tcW w:type="dxa" w:w="90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∂P/∂ρ≤0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c_s²≤0</w:t>
            </w:r>
          </w:p>
        </w:tc>
        <w:tc>
          <w:tcPr>
            <w:tcW w:type="dxa" w:w="68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|r_M|</w:t>
            </w:r>
          </w:p>
        </w:tc>
      </w:tr>
      <w:tr>
        <w:trPr>
          <w:tblHeader w:val="off"/>
        </w:trPr>
        <w:tc>
          <w:tcPr>
            <w:tcW w:type="dxa" w:w="197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Билинейная (ln P)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0.012 %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0.013 %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0.027 %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0.085 %</w:t>
            </w:r>
          </w:p>
        </w:tc>
        <w:tc>
          <w:tcPr>
            <w:tcW w:type="dxa" w:w="90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1.9 %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0.19 %</w:t>
            </w:r>
          </w:p>
        </w:tc>
        <w:tc>
          <w:tcPr>
            <w:tcW w:type="dxa" w:w="90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0.08 %</w:t>
            </w:r>
          </w:p>
        </w:tc>
        <w:tc>
          <w:tcPr>
            <w:tcW w:type="dxa" w:w="68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0.49</w:t>
            </w:r>
          </w:p>
        </w:tc>
      </w:tr>
      <w:tr>
        <w:trPr>
          <w:tblHeader w:val="off"/>
        </w:trPr>
        <w:tc>
          <w:tcPr>
            <w:tcW w:type="dxa" w:w="197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Vanilla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0.22 %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0.59 %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0.25 %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0.82 %</w:t>
            </w:r>
          </w:p>
        </w:tc>
        <w:tc>
          <w:tcPr>
            <w:tcW w:type="dxa" w:w="90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28.4 %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25.0 %</w:t>
            </w:r>
          </w:p>
        </w:tc>
        <w:tc>
          <w:tcPr>
            <w:tcW w:type="dxa" w:w="90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3.6 %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2.5 %</w:t>
            </w:r>
          </w:p>
        </w:tc>
        <w:tc>
          <w:tcPr>
            <w:tcW w:type="dxa" w:w="68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0.48</w:t>
            </w:r>
          </w:p>
        </w:tc>
      </w:tr>
      <w:tr>
        <w:trPr>
          <w:tblHeader w:val="off"/>
        </w:trPr>
        <w:tc>
          <w:tcPr>
            <w:tcW w:type="dxa" w:w="197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PINN-A «точная»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0.36 %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1.08 %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0.59 %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1.98 %</w:t>
            </w:r>
          </w:p>
        </w:tc>
        <w:tc>
          <w:tcPr>
            <w:tcW w:type="dxa" w:w="90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0.018 %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0.016 %</w:t>
            </w:r>
          </w:p>
        </w:tc>
        <w:tc>
          <w:tcPr>
            <w:tcW w:type="dxa" w:w="90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0.002 %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0.015 %</w:t>
            </w:r>
          </w:p>
        </w:tc>
        <w:tc>
          <w:tcPr>
            <w:tcW w:type="dxa" w:w="68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0.47</w:t>
            </w:r>
          </w:p>
        </w:tc>
      </w:tr>
      <w:tr>
        <w:trPr>
          <w:tblHeader w:val="off"/>
        </w:trPr>
        <w:tc>
          <w:tcPr>
            <w:tcW w:type="dxa" w:w="197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PINN-T «термодин.»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11.9 %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34.6 %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11.9 %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37.8 %</w:t>
            </w:r>
          </w:p>
        </w:tc>
        <w:tc>
          <w:tcPr>
            <w:tcW w:type="dxa" w:w="90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0.082 %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0.081 %</w:t>
            </w:r>
          </w:p>
        </w:tc>
        <w:tc>
          <w:tcPr>
            <w:tcW w:type="dxa" w:w="90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0.0005 %</w:t>
            </w:r>
          </w:p>
        </w:tc>
        <w:tc>
          <w:tcPr>
            <w:tcW w:type="dxa" w:w="861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0.063 %</w:t>
            </w:r>
          </w:p>
        </w:tc>
        <w:tc>
          <w:tcPr>
            <w:tcW w:type="dxa" w:w="685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0.050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852160" cy="1325932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3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7 — Карты нарушений устойчивости на 200 000 случайных точек</w:t>
      </w:r>
    </w:p>
    <w:p>
      <w:pPr>
        <w:spacing w:after="60" w:before="120"/>
        <w:jc w:val="center"/>
      </w:pPr>
      <w:r>
        <w:drawing>
          <wp:inline distT="0" distB="0" distL="0" distR="0">
            <wp:extent cx="5852160" cy="2355434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35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8 — Тепловые карты относительных ошибок P и E на test</w:t>
      </w:r>
    </w:p>
    <w:p>
      <w:pPr>
        <w:spacing w:after="120" w:line="300"/>
        <w:jc w:val="both"/>
      </w:pPr>
      <w:r>
        <w:t xml:space="preserve">PINN-A уменьшает долю нарушений устойчивости примерно в 1500 раз ценой 0.15–0.35 п.п. средней точности. PINN-T дополнительно уменьшает невязку Максвелла в 10 раз относительно самих таблиц, но отходит от них в среднем на 12 % (наибольшие отклонения — на холодной кривой, где таблицы P и E расходятся вдвое). Рост ошибки E у PINN-A сосредоточен при T &lt; 10³ K: монотонная по температуре модель не может повторить скачок энергии вниз при T ≈ 143 K и сглаживает его — это сознательный выбор в пользу физики (см. п. 11).</w:t>
      </w:r>
    </w:p>
    <w:p>
      <w:pPr>
        <w:spacing w:after="60" w:before="120"/>
        <w:jc w:val="center"/>
      </w:pPr>
      <w:r>
        <w:drawing>
          <wp:inline distT="0" distB="0" distL="0" distR="0">
            <wp:extent cx="5303520" cy="363324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6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9 — Сечения: таблица (сплошные) и PINN-A (пунктир)</w:t>
      </w:r>
    </w:p>
    <w:p>
      <w:pPr>
        <w:spacing w:after="60" w:before="120"/>
        <w:jc w:val="center"/>
      </w:pPr>
      <w:r>
        <w:drawing>
          <wp:inline distT="0" distB="0" distL="0" distR="0">
            <wp:extent cx="5303520" cy="363324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6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10 — Сечения: таблица (сплошные) и PINN-T (пунктир)</w:t>
      </w:r>
    </w:p>
    <w:p>
      <w:pPr>
        <w:pStyle w:val="Heading2"/>
      </w:pPr>
      <w:r>
        <w:t xml:space="preserve">6.3. Дополнительные ограничения: выпуклость изоэнтроп и третье начало</w:t>
      </w:r>
    </w:p>
    <w:p>
      <w:pPr>
        <w:spacing w:after="120" w:line="300"/>
        <w:jc w:val="both"/>
      </w:pPr>
      <w:r>
        <w:t xml:space="preserve">Помимо условий из ТЗ проверены ещё два условия (scripts/m3_extra_physics.py). </w:t>
      </w:r>
      <w:r>
        <w:rPr>
          <w:b/>
          <w:bCs/>
        </w:rPr>
        <w:t xml:space="preserve">Фундаментальная производная</w:t>
      </w:r>
      <w:r>
        <w:t xml:space="preserve"> 𝒢 = 1 + (ρ/c_s)(∂c_s/∂ρ)_S &gt; 0 (выпуклость изоэнтроп, условие Бете–Вейля): при 𝒢 &lt; 0 возможны ударные волны разрежения, что приводит к нефизичным решениям в гидрокоде. </w:t>
      </w:r>
      <w:r>
        <w:rPr>
          <w:b/>
          <w:bCs/>
        </w:rPr>
        <w:t xml:space="preserve">Третье начало</w:t>
      </w:r>
      <w:r>
        <w:t xml:space="preserve"> (Нернст): при T → 0 должно быть C_v → 0 и ∂P/∂T → 0.</w:t>
      </w:r>
    </w:p>
    <w:p>
      <w:pPr>
        <w:keepNext/>
        <w:spacing w:after="60" w:before="120"/>
      </w:pPr>
      <w:r>
        <w:rPr>
          <w:i/>
          <w:iCs/>
          <w:sz w:val="20"/>
          <w:szCs w:val="20"/>
        </w:rPr>
        <w:t xml:space="preserve">Таблица 11 — Дополнительные термодинамические проверки (100 000 случайных точек)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2142"/>
        <w:gridCol w:w="4283"/>
      </w:tblGrid>
      <w:tr>
        <w:trPr>
          <w:tblHeader/>
        </w:trPr>
        <w:tc>
          <w:tcPr>
            <w:tcW w:type="dxa" w:w="321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Модель</w:t>
            </w:r>
          </w:p>
        </w:tc>
        <w:tc>
          <w:tcPr>
            <w:tcW w:type="dxa" w:w="214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𝒢 &lt; 0, % точек</w:t>
            </w:r>
          </w:p>
        </w:tc>
        <w:tc>
          <w:tcPr>
            <w:tcW w:type="dxa" w:w="428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|∂lnP/∂lnT| при T &lt; 1 K (медиана / 95 %)</w:t>
            </w:r>
          </w:p>
        </w:tc>
      </w:tr>
      <w:tr>
        <w:trPr>
          <w:tblHeader w:val="off"/>
        </w:trPr>
        <w:tc>
          <w:tcPr>
            <w:tcW w:type="dxa" w:w="321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Таблицы (разности по узлам)</w:t>
            </w:r>
          </w:p>
        </w:tc>
        <w:tc>
          <w:tcPr>
            <w:tcW w:type="dxa" w:w="214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2.2 %</w:t>
            </w:r>
          </w:p>
        </w:tc>
        <w:tc>
          <w:tcPr>
            <w:tcW w:type="dxa" w:w="428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 / 0</w:t>
            </w:r>
          </w:p>
        </w:tc>
      </w:tr>
      <w:tr>
        <w:trPr>
          <w:tblHeader w:val="off"/>
        </w:trPr>
        <w:tc>
          <w:tcPr>
            <w:tcW w:type="dxa" w:w="321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Vanilla</w:t>
            </w:r>
          </w:p>
        </w:tc>
        <w:tc>
          <w:tcPr>
            <w:tcW w:type="dxa" w:w="214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13.2 %</w:t>
            </w:r>
          </w:p>
        </w:tc>
        <w:tc>
          <w:tcPr>
            <w:tcW w:type="dxa" w:w="428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0.015 / 0.051</w:t>
            </w:r>
          </w:p>
        </w:tc>
      </w:tr>
      <w:tr>
        <w:trPr>
          <w:tblHeader w:val="off"/>
        </w:trPr>
        <w:tc>
          <w:tcPr>
            <w:tcW w:type="dxa" w:w="321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PINN-A</w:t>
            </w:r>
          </w:p>
        </w:tc>
        <w:tc>
          <w:tcPr>
            <w:tcW w:type="dxa" w:w="214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15.9 %</w:t>
            </w:r>
          </w:p>
        </w:tc>
        <w:tc>
          <w:tcPr>
            <w:tcW w:type="dxa" w:w="428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0.025 / 0.085</w:t>
            </w:r>
          </w:p>
        </w:tc>
      </w:tr>
      <w:tr>
        <w:trPr>
          <w:tblHeader w:val="off"/>
        </w:trPr>
        <w:tc>
          <w:tcPr>
            <w:tcW w:type="dxa" w:w="321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PINN-T</w:t>
            </w:r>
          </w:p>
        </w:tc>
        <w:tc>
          <w:tcPr>
            <w:tcW w:type="dxa" w:w="2142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14.0 %</w:t>
            </w:r>
          </w:p>
        </w:tc>
        <w:tc>
          <w:tcPr>
            <w:tcW w:type="dxa" w:w="428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0.027 / 0.180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Это </w:t>
      </w:r>
      <w:r>
        <w:rPr>
          <w:b/>
          <w:bCs/>
        </w:rPr>
        <w:t xml:space="preserve">открытая проблема</w:t>
      </w:r>
      <w:r>
        <w:t xml:space="preserve"> решения: выпуклость изоэнтроп у всех сетей нарушена заметно чаще, чем у таблиц (в основном при T &lt; 10⁵ K, где C_v мала и параметр Γ = P·g_T/(ρ·e_T) велик). Штраф за 𝒢 &lt; 0 реализован (параметр lam_conv, функция eos.model.fundamental_derivative), но в эксперименте за 20 эпох ошибка выросла до 20 % по P и 33 % по E (лог: artifacts/models/pinn_convexity_attempt.log), поэтому в финальные модели он не включён. Третье начало сети выполняют приближённо: при T &lt; 1 K ∂lnP/∂lnT ≈ 0.02–0.03 вместо 0.</w:t>
      </w:r>
    </w:p>
    <w:p>
      <w:pPr>
        <w:pStyle w:val="Heading1"/>
      </w:pPr>
      <w:r>
        <w:t xml:space="preserve">7. Модуль 4. Инференс и упаковка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Размер (п. 4.1):</w:t>
      </w:r>
      <w:r>
        <w:t xml:space="preserve"> state_dict 0.29 МБ (74 882 параметра); ONNX «только P, E» (pinn_predict.onnx) — 0.29 МБ; ONNX с производными и c_s (pinn.onnx) — 0.59 МБ (в граф развёрнут расчёт якобиана, веса хранятся дважды — в прямом и транспонированном виде). Всё в 17–35 раз меньше лимита 10 МБ.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Скорость (п. 4.2):</w:t>
      </w:r>
      <w:r>
        <w:t xml:space="preserve"> 10⁵ случайных запросов P, E — 113–126 мс в ONNX Runtime, с производными и c_s² — 0.7–0.8 с (CPU, 2 ядра). Дополнительно прогнано 10⁸ запросов батчами по 10⁶: PINN — 184 с (1.8 мкс/запрос), компактная PINN — 65 с, билинейная таблица — 45 с (artifacts/tables/bench_1e8.json).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Экспорт (п. 4.3):</w:t>
      </w:r>
      <w:r>
        <w:t xml:space="preserve"> pinn.onnx (P, E, 4 производные, c_s²), pinn_predict.onnx (P, E), pinn.ts.pt (TorchScript), pinn_state_dict.pt; ONNX совпадает с PyTorch по P до точности float32.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Класс-обёртка (п. 4.4):</w:t>
      </w:r>
      <w:r>
        <w:t xml:space="preserve"> EOSModel — см. пример ниже.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Таблица сравнения (п. 4.5):</w:t>
      </w:r>
      <w:r>
        <w:t xml:space="preserve"> artifacts/tables/comparison.md и .csv.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eos.wrapper import EOSModel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eos = EOSModel("artifacts/models/pinn_thermo.onnx")  # или pinn.onnx (PINN-A); ood="nan" — NaN вне области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P, E  = eos.predict(rho, T)          # ГПа, кДж/г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     = eos.derivatives(rho, T)      # dPdr, dPdT, dEdr, dEdT (= C_v), cs2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cs    = eos.sound_speed(rho, T)      # км/с (NaN, если c_s² ≤ 0)</w:t>
      </w:r>
    </w:p>
    <w:p>
      <w:pPr>
        <w:shd w:fill="EEF3FA" w:color="auto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flags = eos.check_physics(rho, T)    # True = нарушение: P_le0, dPdrho_le0, Cv_lt0, cs2_le0, cs_ge_c, maxwell, out_of_domain</w:t>
      </w:r>
    </w:p>
    <w:p>
      <w:pPr>
        <w:spacing w:after="120" w:line="300"/>
        <w:jc w:val="both"/>
      </w:pPr>
      <w:r>
        <w:t xml:space="preserve">Проверки входа: ValueError при ρ ≤ 0, T ≤ 0, NaN/inf или разной форме массивов. Вне области обучения сеть экстраполирует и физику не гарантирует (например, при ρ = 10⁵ г/см³ давление получается меньше, чем при 10⁴), поэтому выдаётся RuntimeWarning, check_physics возвращает флаг out_of_domain, а режим EOSModel(..., ood="nan") возвращает NaN, как табличная интерполяция. Пример работы PINN-A (python examples/api_example.py):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ρ=0.01  T=1e+04 → P=50.23 ГПа    E=-8.392 кДж/г  c_s=741 км/с  устойчиво=True  r_M=-0.027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ρ=2.7   T=300   → P=136 ГПа      E=0.2407 кДж/г  c_s=10.6 км/с устойчиво=True  r_M=-0.986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ρ=2.7   T=1e+05 → P=956.8 ГПа    E=258.5 кДж/г   c_s=26 км/с   устойчиво=True  r_M=+0.074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ρ=100   T=1e+06 → P=8.354e+05 ГПа E=4685 кДж/г   c_s=125 км/с  устойчиво=True  r_M=-0.505</w:t>
      </w:r>
    </w:p>
    <w:p>
      <w:pPr>
        <w:shd w:fill="EEF3FA" w:color="auto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ValueError: rho и T должны быть конечными и &gt; 0</w:t>
      </w:r>
    </w:p>
    <w:p>
      <w:pPr>
        <w:spacing w:after="120" w:line="300"/>
        <w:jc w:val="both"/>
      </w:pPr>
      <w:r>
        <w:t xml:space="preserve">Невязка r_M = −0.986 в точке ρ = 2.7 г/см³, T = 300 K — не ошибка модели: у самой таблицы в этой точке r_M = −0.988. Рядом находится минимум холодной энергии (ρ²∂E/∂ρ ≈ 0), а табличное давление ≈ 136 ГПа, и PINN-A точно воспроизводит эту несогласованность данных. У PINN-T невязка здесь меньше (−0.76) — ценой отхода от табличных значений; сильнее всего PINN-T отходит от таблиц именно в холодных областях (T &lt; 3·10³ K, ошибка 20–33 %), а при T &gt; 3·10⁴ K её ошибка 0.5–3 %.</w:t>
      </w:r>
    </w:p>
    <w:p>
      <w:pPr>
        <w:pStyle w:val="Heading1"/>
      </w:pPr>
      <w:r>
        <w:t xml:space="preserve">8. Модуль 5. Сжатие и скорость работы</w:t>
      </w:r>
    </w:p>
    <w:p>
      <w:pPr>
        <w:keepNext/>
        <w:spacing w:after="60" w:before="120"/>
      </w:pPr>
      <w:r>
        <w:rPr>
          <w:i/>
          <w:iCs/>
          <w:sz w:val="20"/>
          <w:szCs w:val="20"/>
        </w:rPr>
        <w:t xml:space="preserve">Таблица 12 — Сжатие и ускорение (10⁵ случайных запросов, CPU 2 ядра; «=» — та же модель)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9"/>
        <w:gridCol w:w="1244"/>
        <w:gridCol w:w="1036"/>
        <w:gridCol w:w="1244"/>
        <w:gridCol w:w="933"/>
        <w:gridCol w:w="933"/>
        <w:gridCol w:w="1139"/>
      </w:tblGrid>
      <w:tr>
        <w:trPr>
          <w:tblHeader/>
        </w:trPr>
        <w:tc>
          <w:tcPr>
            <w:tcW w:type="dxa" w:w="310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Размер, МБ</w:t>
            </w:r>
          </w:p>
        </w:tc>
        <w:tc>
          <w:tcPr>
            <w:tcW w:type="dxa" w:w="103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P,E, мс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+произв., мс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P, %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E, %</w:t>
            </w:r>
          </w:p>
        </w:tc>
        <w:tc>
          <w:tcPr>
            <w:tcW w:type="dxa" w:w="113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shd w:fill="0A4AA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Наруш., %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PINN eager, autograd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0.29</w:t>
            </w:r>
          </w:p>
        </w:tc>
        <w:tc>
          <w:tcPr>
            <w:tcW w:type="dxa" w:w="103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436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952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0.36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0.59</w:t>
            </w:r>
          </w:p>
        </w:tc>
        <w:tc>
          <w:tcPr>
            <w:tcW w:type="dxa" w:w="113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0.017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PINN eager, явный якобиан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0.29</w:t>
            </w:r>
          </w:p>
        </w:tc>
        <w:tc>
          <w:tcPr>
            <w:tcW w:type="dxa" w:w="103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436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927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0.36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0.59</w:t>
            </w:r>
          </w:p>
        </w:tc>
        <w:tc>
          <w:tcPr>
            <w:tcW w:type="dxa" w:w="113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0.017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PINN TorchScript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0.29</w:t>
            </w:r>
          </w:p>
        </w:tc>
        <w:tc>
          <w:tcPr>
            <w:tcW w:type="dxa" w:w="103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165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612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=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=</w:t>
            </w:r>
          </w:p>
        </w:tc>
        <w:tc>
          <w:tcPr>
            <w:tcW w:type="dxa" w:w="113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=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PINN ONNX Runtime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0.59</w:t>
            </w:r>
          </w:p>
        </w:tc>
        <w:tc>
          <w:tcPr>
            <w:tcW w:type="dxa" w:w="103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125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785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=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=</w:t>
            </w:r>
          </w:p>
        </w:tc>
        <w:tc>
          <w:tcPr>
            <w:tcW w:type="dxa" w:w="113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=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Веса fp16 (хранение)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0.15</w:t>
            </w:r>
          </w:p>
        </w:tc>
        <w:tc>
          <w:tcPr>
            <w:tcW w:type="dxa" w:w="103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436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927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0.38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0.59</w:t>
            </w:r>
          </w:p>
        </w:tc>
        <w:tc>
          <w:tcPr>
            <w:tcW w:type="dxa" w:w="113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0.55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int8 dynamic quantization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0.08</w:t>
            </w:r>
          </w:p>
        </w:tc>
        <w:tc>
          <w:tcPr>
            <w:tcW w:type="dxa" w:w="103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290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11.8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11.2</w:t>
            </w:r>
          </w:p>
        </w:tc>
        <w:tc>
          <w:tcPr>
            <w:tcW w:type="dxa" w:w="113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Компактная PINN 64×4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0.06</w:t>
            </w:r>
          </w:p>
        </w:tc>
        <w:tc>
          <w:tcPr>
            <w:tcW w:type="dxa" w:w="103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102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203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1.4</w:t>
            </w:r>
          </w:p>
        </w:tc>
        <w:tc>
          <w:tcPr>
            <w:tcW w:type="dxa" w:w="113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0.048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Компактная PINN, ONNX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0.13</w:t>
            </w:r>
          </w:p>
        </w:tc>
        <w:tc>
          <w:tcPr>
            <w:tcW w:type="dxa" w:w="103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45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244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=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=</w:t>
            </w:r>
          </w:p>
        </w:tc>
        <w:tc>
          <w:tcPr>
            <w:tcW w:type="dxa" w:w="113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=</w:t>
            </w:r>
          </w:p>
        </w:tc>
      </w:tr>
      <w:tr>
        <w:trPr>
          <w:tblHeader w:val="off"/>
        </w:trPr>
        <w:tc>
          <w:tcPr>
            <w:tcW w:type="dxa" w:w="310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Бейзлайн (таблица)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4.4</w:t>
            </w:r>
          </w:p>
        </w:tc>
        <w:tc>
          <w:tcPr>
            <w:tcW w:type="dxa" w:w="1036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1244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228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0.012</w:t>
            </w:r>
          </w:p>
        </w:tc>
        <w:tc>
          <w:tcPr>
            <w:tcW w:type="dxa" w:w="933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0.027</w:t>
            </w:r>
          </w:p>
        </w:tc>
        <w:tc>
          <w:tcPr>
            <w:tcW w:type="dxa" w:w="1139"/>
            <w:tcBorders>
              <w:top w:val="single" w:color="9FB4D3" w:sz="4"/>
              <w:left w:val="single" w:color="9FB4D3" w:sz="4"/>
              <w:bottom w:val="single" w:color="9FB4D3" w:sz="4"/>
              <w:right w:val="single" w:color="9FB4D3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1.9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TorchScript (freeze + optimize_for_inference) ускоряет расчёт значений в 2.6 раза, ONNX Runtime — в 3.5 раза без потери точности.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Хранение весов в fp16 вдвое уменьшает файл, но шум округления возвращает нарушения устойчивости (0.017 % → 0.55 %): после любого сжатия PINN физику необходимо перепроверять (check_physics).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Динамическая int8-квантизация неприемлема: ошибка 11 %.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Компактная PINN (≈ 15 тыс. параметров), обученная с теми же физическими потерями, в 4.8 раза меньше и в 4.6 раза быстрее по производным; по скорости значений в ONNX она равна таблице, которая весит в 70 раз больше.</w:t>
      </w:r>
    </w:p>
    <w:p>
      <w:pPr>
        <w:pStyle w:val="Heading1"/>
      </w:pPr>
      <w:r>
        <w:t xml:space="preserve">9. Установка и запуск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положить Obl01.txt … Obl20.txt в data/raw/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run.py                 # весь пайплайн (CPU, ≈ 1.5–2 ч)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run.py --skip-train    # только оценка и экспорт обученных моделей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run.py --fast          # дымовой прогон</w:t>
      </w:r>
    </w:p>
    <w:p>
      <w:pPr>
        <w:shd w:fill="EEF3FA" w:color="auto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pytest -q                     # тесты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python scripts/m1_eda_baseline.py — модуль 1 (EDA, бейзлайн, нормировка);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python scripts/m2_m3_train.py --config configs/vanilla.json | pinn.json | pinn_thermo.json | pinn_small.json — обучение;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python scripts/m2_m3_train.py --config configs/pinn_finetune_sweep.json --sweep-maxwell 0 1e-4 1e-3 1e-2 1e-1 — серия по λ_M;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python scripts/m2_autograd_derivatives.py — производные через autograd в тестовых точках (п. 2.3);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python scripts/m4_evaluate.py — оценка, экспорт, графики, таблица сравнения;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python scripts/m5_compress.py — сжатие и ускорение;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python scripts/m3_extra_physics.py — выпуклость изоэнтроп и третье начало; python scripts/m4_bench_1e8.py — 10⁸ запросов.</w:t>
      </w:r>
    </w:p>
    <w:p>
      <w:pPr>
        <w:pStyle w:val="Heading1"/>
      </w:pPr>
      <w:r>
        <w:t xml:space="preserve">10. Выводы и ограничения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Одна нейросеть 0.29 МБ заменяет 20 таблиц и выдаёт P, E, все производные и c_s на всей области.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PINN-A практически устраняет нарушения термодинамической устойчивости (28.4 % → 0.018 %) при точности 0.36 % / 0.59 %; PINN-T дополнительно в 10 раз согласованнее таблиц по Максвеллу (невязка 5 %) ценой ~12 % ошибки.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Исходные таблицы термодинамически несогласованны; компромисс между точностью и согласованием по Максвеллу измерен явно и вынесен в параметр λ_M.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Ограничения: точность в узлах ниже, чем у интерполяции; при T &lt; 10³ K модель сглаживает скачок энергии при 143 K; c_s при T → 0 определяется малым C_v.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Открытая проблема: выпуклость изоэнтроп 𝒢 &gt; 0 нарушена у сетей в 14–16 % точек (у таблиц 2.2 %).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Развитие: согласовать P и E с авторами таблиц; выход сети — свободная энергия F(ρ,T) (см. п. 11); штраф за 𝒢 &lt; 0 с более долгим обучением; дистилляция и GPU-инференс для гидрокода.</w:t>
      </w:r>
    </w:p>
    <w:p>
      <w:pPr>
        <w:pStyle w:val="Heading1"/>
      </w:pPr>
      <w:r>
        <w:t xml:space="preserve">11. Ответы на ожидаемые вопросы жюри</w:t>
      </w:r>
    </w:p>
    <w:p>
      <w:pPr>
        <w:pStyle w:val="Heading2"/>
      </w:pPr>
      <w:r>
        <w:t xml:space="preserve">Достаточна ли точность 0.36 % / 1–2 % (95-й перцентиль) для гидрокода?</w:t>
      </w:r>
    </w:p>
    <w:p>
      <w:pPr>
        <w:spacing w:after="120" w:line="300"/>
        <w:jc w:val="both"/>
      </w:pPr>
      <w:r>
        <w:t xml:space="preserve">Для типичных расчётов ФВПЭ погрешность самих полуэмпирических УРС составляет проценты, поэтому PINN-A с ошибкой ниже 1 % в 95 % точек сопоставима с точностью исходной модели. Важнее, что PINN даёт гладкие (C^∞) производные без скачков на границах ячеек и почти не нарушает устойчивость — именно разрывы производных табличной интерполяции чаще всего порождают численные осцилляции. Улучшать точность без потери физики можно увеличением ширины сети (лимит 10 МБ позволяет ×30), обучением на всех узлах таблицы (сейчас только на 25 % для честной оценки) и разбиением области на 2–3 специализированные подсети.</w:t>
      </w:r>
    </w:p>
    <w:p>
      <w:pPr>
        <w:pStyle w:val="Heading2"/>
      </w:pPr>
      <w:r>
        <w:t xml:space="preserve">Скачок при 143 K — это фазовый переход? Не вредно ли его сглаживание?</w:t>
      </w:r>
    </w:p>
    <w:p>
      <w:pPr>
        <w:spacing w:after="120" w:line="300"/>
        <w:jc w:val="both"/>
      </w:pPr>
      <w:r>
        <w:t xml:space="preserve">Это не плавление: алюминий плавится при 933 K. Скачок E и P при 143 K присутствует одинаково на всех плотностях, от 10⁻³ (газ) до 10⁴ г/см³, и даёт C_v &lt; 0 — физический фазовый переход первого рода проявлялся бы плато E(T) с C_v → ∞, а не падением энергии. Поэтому скачок интерпретирован как артефакт сшивки полуэмпирической модели, и сглаживание является исправлением. Если эксперты подтвердят, что это реальный переход, его можно учесть явно: добавить признак (T − T_пер) или обучать две подсети по обе стороны перехода с условием на скрытую теплоту.</w:t>
      </w:r>
    </w:p>
    <w:p>
      <w:pPr>
        <w:pStyle w:val="Heading2"/>
      </w:pPr>
      <w:r>
        <w:t xml:space="preserve">Почему 10⁵, а не 10⁸ запросов?</w:t>
      </w:r>
    </w:p>
    <w:p>
      <w:pPr>
        <w:spacing w:after="120" w:line="300"/>
        <w:jc w:val="both"/>
      </w:pPr>
      <w:r>
        <w:t xml:space="preserve">В ТЗ (слайд 7) рекомендовано 10⁵ запросов. Для надёжности дополнительно прогнано 10⁸ запросов батчами по 10⁶: время растёт линейно (184 с для PINN, 65 с для компактной PINN, 45 с для таблицы).</w:t>
      </w:r>
    </w:p>
    <w:p>
      <w:pPr>
        <w:pStyle w:val="Heading2"/>
      </w:pPr>
      <w:r>
        <w:t xml:space="preserve">Почему сеть медленнее таблицы на CPU и зачем она тогда нужна?</w:t>
      </w:r>
    </w:p>
    <w:p>
      <w:pPr>
        <w:spacing w:after="120" w:line="300"/>
        <w:jc w:val="both"/>
      </w:pPr>
      <w:r>
        <w:t xml:space="preserve">На 2 ядрах CPU табличный поиск действительно быстрее основной PINN (компактная PINN сравнялась с таблицей). Преимущества сети: размер (0.29 МБ против 4.4 МБ прореженной и ~17 МБ полной таблицы), гладкие производные и выполнение термодинамических ограничений (таблица нарушает устойчивость в 1.9 % точек). На GPU плотные матричные умножения векторизуются эффективнее, чем нерегулярный доступ к памяти по 20 разным сеткам, — это ожидаемое, но в рамках работы не измеренное преимущество.</w:t>
      </w:r>
    </w:p>
    <w:p>
      <w:pPr>
        <w:pStyle w:val="Heading2"/>
      </w:pPr>
      <w:r>
        <w:t xml:space="preserve">Почему не обучали сеть, выдающую свободную энергию F(ρ,T)?</w:t>
      </w:r>
    </w:p>
    <w:p>
      <w:pPr>
        <w:spacing w:after="120" w:line="300"/>
        <w:jc w:val="both"/>
      </w:pPr>
      <w:r>
        <w:t xml:space="preserve">Тогда P = ρ²∂F/∂ρ и E = F − T∂F/∂T, и соотношение Максвелла выполняется точно. Мы этого не делали по двум причинам. (1) Таблицы P и E несогласованны (на холодной кривой — вдвое), поэтому такая модель заведомо не сможет описать обе величины; PINN-T с невязкой 5 % уже показывает цену согласованности (~12 %). (2) Градиенты F по ln ρ и ln T меняются на 7 порядков по области, а E = F − T∂F/∂T при высоких T вычисляется как разность больших близких чисел; удобнее параметризовать функцию Массье Ψ = F/T, для которой E = −T·∂Ψ/∂lnT и P = ρT·∂Ψ/∂lnρ — это следующий шаг развития решения.</w:t>
      </w:r>
    </w:p>
    <w:p>
      <w:pPr>
        <w:pStyle w:val="Heading2"/>
      </w:pPr>
      <w:r>
        <w:t xml:space="preserve">Почему 32 Фурье-частоты, а не 64?</w:t>
      </w:r>
    </w:p>
    <w:p>
      <w:pPr>
        <w:spacing w:after="120" w:line="300"/>
        <w:jc w:val="both"/>
      </w:pPr>
      <w:r>
        <w:t xml:space="preserve">64 частоты не улучшают точность (0.55 % против 0.53 % по P) и добавляют высокочастотный шум, а 32/σ = 4 ухудшают её до 0.79 %: 32 частоты при σ = 2 — оптимальный баланс между описанием резких переходов и гладкостью.</w:t>
      </w:r>
    </w:p>
    <w:p>
      <w:pPr>
        <w:pStyle w:val="Heading2"/>
      </w:pPr>
      <w:r>
        <w:t xml:space="preserve">Почему размер модели указан как 0.29 и 0.59 МБ?</w:t>
      </w:r>
    </w:p>
    <w:p>
      <w:pPr>
        <w:spacing w:after="120" w:line="300"/>
        <w:jc w:val="both"/>
      </w:pPr>
      <w:r>
        <w:t xml:space="preserve">0.29 МБ — state_dict, TorchScript и ONNX «только P, E»; 0.59 МБ — ONNX с явным расчётом производных и c_s (в граф развёрнут якобиан, поэтому веса хранятся и в транспонированном виде). Обе величины многократно меньше лимита 10 МБ.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0A4AA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b/>
      <w:bCs/>
      <w:color w:val="1F5FB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a9dfef6fc636f7487e415733b11bb732ccb6dee.png"/><Relationship Id="rId9" Type="http://schemas.openxmlformats.org/officeDocument/2006/relationships/image" Target="media/241ebd37c6f6fe35ec0fb525a41b42a12719bed5.png"/><Relationship Id="rId10" Type="http://schemas.openxmlformats.org/officeDocument/2006/relationships/image" Target="media/67989a661571cb12792f59f3128b9fcb42829287.png"/><Relationship Id="rId11" Type="http://schemas.openxmlformats.org/officeDocument/2006/relationships/image" Target="media/66de52f54d19923bf75b859a8535281ce7d1856b.png"/><Relationship Id="rId12" Type="http://schemas.openxmlformats.org/officeDocument/2006/relationships/image" Target="media/6cbf0c7382a6e2732e94a6d2232950e84889cc43.png"/><Relationship Id="rId13" Type="http://schemas.openxmlformats.org/officeDocument/2006/relationships/image" Target="media/96ce21d022d7c6fe0f208dfe66509be2d2a4a07d.png"/><Relationship Id="rId14" Type="http://schemas.openxmlformats.org/officeDocument/2006/relationships/image" Target="media/25d1fbbe8a63128196bbed4aa64d5669f2585dc7.png"/><Relationship Id="rId15" Type="http://schemas.openxmlformats.org/officeDocument/2006/relationships/image" Target="media/de5fa0cebd727686fe052be5ecaf917d98f927ce.png"/><Relationship Id="rId16" Type="http://schemas.openxmlformats.org/officeDocument/2006/relationships/image" Target="media/1bb893bca36c2fc52ab0c440edf59e6b74d254a0.png"/><Relationship Id="rId17" Type="http://schemas.openxmlformats.org/officeDocument/2006/relationships/image" Target="media/6e72d2563487bdce4e2fa1a1dedbef178c380bec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PINN-аппроксимация УРС алюминия — документация</dc:title>
  <dc:creator>Команда кейса 02</dc:creator>
  <cp:lastModifiedBy>Un-named</cp:lastModifiedBy>
  <cp:revision>1</cp:revision>
  <dcterms:created xsi:type="dcterms:W3CDTF">2026-10-28T13:44:18.248Z</dcterms:created>
  <dcterms:modified xsi:type="dcterms:W3CDTF">2026-10-28T13:44:18.255Z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