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900"/>
        <w:jc w:val="center"/>
      </w:pPr>
      <w:r>
        <w:drawing>
          <wp:inline distT="0" distB="0" distL="0" distR="0">
            <wp:extent cx="24765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76"/>
        <w:jc w:val="center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FASE 5 — COMUNICAÇÃO, IMPACTO E ACESSIBILIDADE</w:t>
      </w:r>
    </w:p>
    <w:p>
      <w:pPr>
        <w:spacing w:after="500" w:line="276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Relatório técnico do projeto GameZone</w:t>
      </w:r>
    </w:p>
    <w:p>
      <w:pPr>
        <w:spacing w:after="500" w:line="276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Enterprise Challenge · Palo Alto Networks</w:t>
      </w:r>
    </w:p>
    <w:p>
      <w:pPr>
        <w:spacing w:after="80" w:line="276"/>
        <w:jc w:val="center"/>
      </w:pPr>
      <w:r>
        <w:rPr>
          <w:rFonts w:ascii="Arial" w:cs="Arial" w:eastAsia="Arial" w:hAnsi="Arial"/>
          <w:sz w:val="21"/>
          <w:szCs w:val="21"/>
        </w:rPr>
        <w:t xml:space="preserve">Enzo Furlan — RM 255795</w:t>
      </w:r>
    </w:p>
    <w:p>
      <w:pPr>
        <w:spacing w:after="80" w:line="276"/>
        <w:jc w:val="center"/>
      </w:pPr>
      <w:r>
        <w:rPr>
          <w:rFonts w:ascii="Arial" w:cs="Arial" w:eastAsia="Arial" w:hAnsi="Arial"/>
          <w:sz w:val="21"/>
          <w:szCs w:val="21"/>
        </w:rPr>
        <w:t xml:space="preserve">Gabriel Camara da Silva — RM 573006</w:t>
      </w:r>
    </w:p>
    <w:p>
      <w:pPr>
        <w:spacing w:after="80" w:line="276"/>
        <w:jc w:val="center"/>
      </w:pPr>
      <w:r>
        <w:rPr>
          <w:rFonts w:ascii="Arial" w:cs="Arial" w:eastAsia="Arial" w:hAnsi="Arial"/>
          <w:sz w:val="21"/>
          <w:szCs w:val="21"/>
        </w:rPr>
        <w:t xml:space="preserve">Gustavo Aiello Ribeiro Amado — RM 568935</w:t>
      </w:r>
    </w:p>
    <w:p>
      <w:pPr>
        <w:spacing w:after="80" w:line="276"/>
        <w:jc w:val="center"/>
      </w:pPr>
      <w:r>
        <w:rPr>
          <w:rFonts w:ascii="Arial" w:cs="Arial" w:eastAsia="Arial" w:hAnsi="Arial"/>
          <w:sz w:val="21"/>
          <w:szCs w:val="21"/>
        </w:rPr>
        <w:t xml:space="preserve">Guilherme Ribeiro Rosa — RM 572619</w:t>
      </w:r>
    </w:p>
    <w:p>
      <w:pPr>
        <w:spacing w:after="420" w:line="276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Setembro de 2026</w:t>
      </w:r>
    </w:p>
    <w:p>
      <w:pPr>
        <w:spacing w:after="80" w:line="276"/>
        <w:jc w:val="center"/>
      </w:pPr>
      <w:r>
        <w:rPr>
          <w:rFonts w:ascii="Arial" w:cs="Arial" w:eastAsia="Arial" w:hAnsi="Arial"/>
          <w:sz w:val="18"/>
          <w:szCs w:val="18"/>
        </w:rPr>
        <w:t xml:space="preserve">Repositório: https://github.com/GameZone-source/GameZone-source.github.io</w:t>
      </w:r>
    </w:p>
    <w:p>
      <w:pPr>
        <w:spacing w:after="80" w:line="276"/>
        <w:jc w:val="center"/>
      </w:pPr>
      <w:r>
        <w:rPr>
          <w:rFonts w:ascii="Arial" w:cs="Arial" w:eastAsia="Arial" w:hAnsi="Arial"/>
          <w:sz w:val="18"/>
          <w:szCs w:val="18"/>
        </w:rPr>
        <w:t xml:space="preserve">Site: https://gamezone-source.github.io/</w:t>
      </w:r>
    </w:p>
    <w:p>
      <w:pPr>
        <w:spacing w:after="150" w:line="276"/>
        <w:jc w:val="center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Vídeo: LINK A INSERIR APÓS A PUBLICAÇÃO NÃO LISTADA</w:t>
      </w:r>
    </w:p>
    <w:p>
      <w:r>
        <w:br w:type="page"/>
      </w:r>
    </w:p>
    <w:p>
      <w:pPr>
        <w:pStyle w:val="Heading1"/>
        <w:spacing w:after="140" w:before="320"/>
      </w:pPr>
      <w:r>
        <w:t xml:space="preserve">Sumário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Visão geral do projeto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Comunicação e partes interessadas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Acompanhamento do projeto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4. Modelagem exponencial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5. Auditoria de acessibilidade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6. Análise de code e low-code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7. Arquitetura e trechos de código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8. Conclusão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Apêndice A — Evidência sanitizada da comunicação</w:t>
      </w:r>
    </w:p>
    <w:p>
      <w:r>
        <w:br w:type="page"/>
      </w:r>
    </w:p>
    <w:p>
      <w:pPr>
        <w:pStyle w:val="Heading1"/>
        <w:spacing w:after="140" w:before="320"/>
      </w:pPr>
      <w:r>
        <w:t xml:space="preserve">1. Visão geral do projeto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O GameZone é uma plataforma de reviews próprias de jogos. O projeto nasceu do problema apresentado no Enterprise Challenge da Palo Alto Networks: a falta de um espaço confiável para avaliações honestas e discussões saudáveis sobre games da nova geração. A versão atual concentra o catálogo editorial, a busca, os filtros, os favoritos, as recomendações explicáveis e a consulta pública das reviews.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Na Fase 5, o trabalho avançou em três frentes. A equipe organizou a comunicação do projeto, incluiu uma simulação exponencial de crescimento da comunidade e revisou a interface com critérios de acessibilidade WCAG nível AA. Fórum, contas de usuário, moderação comunitária e chatbot continuam como visão de futuro; eles não são apresentados como funções prontas.</w:t>
      </w:r>
    </w:p>
    <w:p>
      <w:pPr>
        <w:pStyle w:val="Heading1"/>
        <w:spacing w:after="140" w:before="320"/>
      </w:pPr>
      <w:r>
        <w:t xml:space="preserve">2. Comunicação e partes interessadas</w:t>
      </w:r>
    </w:p>
    <w:p>
      <w:pPr>
        <w:pStyle w:val="Heading2"/>
        <w:spacing w:after="140" w:before="220"/>
      </w:pPr>
      <w:r>
        <w:t xml:space="preserve">2.1 Identificação das partes interessadas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50"/>
        <w:gridCol w:w="850"/>
        <w:gridCol w:w="5100"/>
      </w:tblGrid>
      <w:tr>
        <w:trPr>
          <w:tblHeader/>
        </w:trPr>
        <w:tc>
          <w:tcPr>
            <w:tcW w:type="dxa" w:w="21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 interessada</w:t>
            </w:r>
          </w:p>
        </w:tc>
        <w:tc>
          <w:tcPr>
            <w:tcW w:type="dxa" w:w="95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Interesse</w:t>
            </w:r>
          </w:p>
        </w:tc>
        <w:tc>
          <w:tcPr>
            <w:tcW w:type="dxa" w:w="85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Poder</w:t>
            </w:r>
          </w:p>
        </w:tc>
        <w:tc>
          <w:tcPr>
            <w:tcW w:type="dxa" w:w="51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Expectativa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Equipe do projeto</w:t>
            </w:r>
          </w:p>
        </w:tc>
        <w:tc>
          <w:tcPr>
            <w:tcW w:type="dxa" w:w="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Alto</w:t>
            </w:r>
          </w:p>
        </w:tc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Alto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Escopo claro, tarefas distribuídas e entrega coerente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Professor e tutor</w:t>
            </w:r>
          </w:p>
        </w:tc>
        <w:tc>
          <w:tcPr>
            <w:tcW w:type="dxa" w:w="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Alto</w:t>
            </w:r>
          </w:p>
        </w:tc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Alto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Atendimento do enunciado e evidências verificáveis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Palo Alto Networks</w:t>
            </w:r>
          </w:p>
        </w:tc>
        <w:tc>
          <w:tcPr>
            <w:tcW w:type="dxa" w:w="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Alto</w:t>
            </w:r>
          </w:p>
        </w:tc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Alto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Solução ligada ao desafio e segurança tratada com responsabilidade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Usuários gamers</w:t>
            </w:r>
          </w:p>
        </w:tc>
        <w:tc>
          <w:tcPr>
            <w:tcW w:type="dxa" w:w="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Alto</w:t>
            </w:r>
          </w:p>
        </w:tc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Baixo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Reviews compreensíveis, navegação acessível e confiança editorial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FIAP e coordenação</w:t>
            </w:r>
          </w:p>
        </w:tc>
        <w:tc>
          <w:tcPr>
            <w:tcW w:type="dxa" w:w="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Médio</w:t>
            </w:r>
          </w:p>
        </w:tc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Alto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Formato correto, cadastro do grupo e entrega no prazo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Visitantes técnicos</w:t>
            </w:r>
          </w:p>
        </w:tc>
        <w:tc>
          <w:tcPr>
            <w:tcW w:type="dxa" w:w="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Médio</w:t>
            </w:r>
          </w:p>
        </w:tc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Baixo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Código executável e documentação suficiente</w:t>
            </w:r>
          </w:p>
        </w:tc>
      </w:tr>
    </w:tbl>
    <w:p>
      <w:pPr>
        <w:pStyle w:val="Heading2"/>
        <w:spacing w:after="140" w:before="220"/>
      </w:pPr>
      <w:r>
        <w:t xml:space="preserve">2.2 Matriz Poder × Interesse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100"/>
      </w:tblGrid>
      <w:tr>
        <w:trPr>
          <w:tblHeader/>
        </w:trPr>
        <w:tc>
          <w:tcPr>
            <w:tcW w:type="dxa" w:w="19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Quadrante</w:t>
            </w:r>
          </w:p>
        </w:tc>
        <w:tc>
          <w:tcPr>
            <w:tcW w:type="dxa" w:w="30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Partes interessadas</w:t>
            </w:r>
          </w:p>
        </w:tc>
        <w:tc>
          <w:tcPr>
            <w:tcW w:type="dxa" w:w="41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Estratégia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Gerenciar de perto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Equipe, professor/tutor e Palo Alto Networks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Reuniões curtas, decisões registradas e validação dos requisitos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Manter satisfeitos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FIAP e coordenação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Conferir formato, prazo, links e cadastro do grupo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Manter informados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Usuários gamers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Testes guiados, retorno sobre feedback e linguagem direta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Monitorar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Visitantes técnicos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README, histórico Git, testes e publicação atualizados</w:t>
            </w:r>
          </w:p>
        </w:tc>
      </w:tr>
    </w:tbl>
    <w:p>
      <w:pPr>
        <w:pStyle w:val="Heading2"/>
        <w:spacing w:after="140" w:before="220"/>
      </w:pPr>
      <w:r>
        <w:t xml:space="preserve">2.3 Plano de comunicação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400"/>
        <w:gridCol w:w="1450"/>
        <w:gridCol w:w="1750"/>
        <w:gridCol w:w="3350"/>
      </w:tblGrid>
      <w:tr>
        <w:trPr>
          <w:tblHeader/>
        </w:trPr>
        <w:tc>
          <w:tcPr>
            <w:tcW w:type="dxa" w:w="155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Comunicação</w:t>
            </w:r>
          </w:p>
        </w:tc>
        <w:tc>
          <w:tcPr>
            <w:tcW w:type="dxa" w:w="14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145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175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335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Informação</w:t>
            </w:r>
          </w:p>
        </w:tc>
      </w:tr>
      <w:tr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Acompanhamento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ou Teams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Duas vezes por semana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Quem conduzir a pauta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Avanços, bloqueios, decisões e próximos passos</w:t>
            </w:r>
          </w:p>
        </w:tc>
      </w:tr>
      <w:tr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Decisão técnica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Quando houver mudança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Autor da alteração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Motivo, impacto e forma de verificação</w:t>
            </w:r>
          </w:p>
        </w:tc>
      </w:tr>
      <w:tr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Validação acadêmica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Teams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Sob demanda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Integrante designado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Dúvida objetiva e resposta do professor/tutor</w:t>
            </w:r>
          </w:p>
        </w:tc>
      </w:tr>
      <w:tr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Teste de uso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Sessão guiada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Ao menos uma rodada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Facilitador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Tarefa, dificuldade observada e feedback autorizado</w:t>
            </w:r>
          </w:p>
        </w:tc>
      </w:tr>
      <w:tr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Fechamento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Reunião do grupo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Uma vez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Responsável pela entrega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Testes, documentos, vídeo, links e ZIP</w:t>
            </w:r>
          </w:p>
        </w:tc>
      </w:tr>
    </w:tbl>
    <w:p>
      <w:pPr>
        <w:pStyle w:val="Heading2"/>
        <w:spacing w:after="140" w:before="220"/>
      </w:pPr>
      <w:r>
        <w:t xml:space="preserve">2.4 Alinhamento de expectativas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t xml:space="preserve">Separar no relatório o que está implementado daquilo que pertence ao roadmap.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t xml:space="preserve">Encerrar decisões com responsável, prazo e critério de conclusão.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t xml:space="preserve">Levar dúvidas acadêmicas ao professor com o trecho do enunciado e a interpretação do grupo.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t xml:space="preserve">Apresentar a projeção como simulação matemática, sem prometer crescimento real.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t xml:space="preserve">Registrar o tratamento de feedbacks: recebido, aceito, concluído ou recusado com justificativa.</w:t>
      </w:r>
    </w:p>
    <w:p>
      <w:pPr>
        <w:pStyle w:val="Heading1"/>
        <w:spacing w:after="140" w:before="320"/>
      </w:pPr>
      <w:r>
        <w:t xml:space="preserve">3. Acompanhamento do projeto</w:t>
      </w:r>
    </w:p>
    <w:p>
      <w:pPr>
        <w:pStyle w:val="Heading2"/>
        <w:spacing w:after="140" w:before="220"/>
      </w:pPr>
      <w:r>
        <w:t xml:space="preserve">3.1 Ata da reunião assíncrona — 05/09/2026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Canal: grupo do projeto no WhatsApp. Participantes identificados no trecho: Gustavo Aiello Ribeiro Amado, Guilherme Ribeiro Rosa, Gabriel Camara da Silva e Enzo Furlan.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Pauta: escolher a abordagem da Fase 5, distribuir o trabalho e confirmar os dados dos novos integrantes.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700"/>
        <w:gridCol w:w="3000"/>
      </w:tblGrid>
      <w:tr>
        <w:trPr>
          <w:tblHeader/>
        </w:trPr>
        <w:tc>
          <w:tcPr>
            <w:tcW w:type="dxa" w:w="43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 ou ação</w:t>
            </w:r>
          </w:p>
        </w:tc>
        <w:tc>
          <w:tcPr>
            <w:tcW w:type="dxa" w:w="17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30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Próximo passo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Adotar a evolução funcional em código, em vez de um dashboard somente visual ou ferramenta externa.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Equipe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Implementar a projeção dentro do GameZone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Desenvolvimento do código e integração técnica.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Gustavo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Construir e testar a evolução do produto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Documentação e vídeo de apresentação.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Guilherme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Organizar o material e revisar o roteiro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Apoio ao frontend.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Gabriel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Revisar a apresentação visual e a experiência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Apoio e revezamento de atividades.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Enzo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Combinar a tarefa conforme a necessidade do grupo</w:t>
            </w:r>
          </w:p>
        </w:tc>
      </w:tr>
    </w:tbl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Limite do registro: parte da conversa ocorreu por mensagens de voz que não está disponível no arquivo exportado. Por isso, a ata não atribui a Enzo uma tarefa técnica mais específica do que o acordo textual de apoio e revezamento.</w:t>
      </w:r>
    </w:p>
    <w:p>
      <w:pPr>
        <w:pStyle w:val="Heading2"/>
        <w:spacing w:after="140" w:before="220"/>
      </w:pPr>
      <w:r>
        <w:t xml:space="preserve">3.2 Acompanhamento — 10 e 11/09/2026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O grupo identificou dúvida na interpretação da Parte 1. Guilherme ficou responsável por consultar o professor e compartilhou a resposta no dia seguinte. A orientação confirmou que a Parte 1 deve explicar como o grupo se comunica e engaja equipe, usuários e cliente. Para a Parte 2, o professor indicou pauta, ata, decisões, responsáveis, prints de comunicação e uma tabela de mudanças.</w:t>
      </w:r>
    </w:p>
    <w:p>
      <w:pPr>
        <w:pStyle w:val="Heading2"/>
        <w:spacing w:after="140" w:before="220"/>
      </w:pPr>
      <w:r>
        <w:t xml:space="preserve">3.3 Feedbacks e mudanças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300"/>
      </w:tblGrid>
      <w:tr>
        <w:trPr>
          <w:tblHeader/>
        </w:trPr>
        <w:tc>
          <w:tcPr>
            <w:tcW w:type="dxa" w:w="17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40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Feedback</w:t>
            </w:r>
          </w:p>
        </w:tc>
        <w:tc>
          <w:tcPr>
            <w:tcW w:type="dxa" w:w="33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 tomada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Professor/tutor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Explicar comunicação e engajamento; comprovar a Parte 2 com registros reais.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Usar a conversa de 05/09 como reunião assíncrona e registrar as mudanças do produto.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Auditoria Axe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Contraste insuficiente em textos secundários e botões.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Ajustar tokens de cor e repetir a auditoria.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Teste de teclado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Menu não fechava com Escape e não restaurava o foco.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Implementar controle de foco e teste de regressão.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Teste de formulário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 foco permanecia no botão após envio inválido.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Mover o foco ao primeiro campo com erro e associar a mensagem.</w:t>
            </w:r>
          </w:p>
        </w:tc>
      </w:tr>
    </w:tbl>
    <w:p>
      <w:pPr>
        <w:pStyle w:val="Heading1"/>
        <w:spacing w:after="140" w:before="320"/>
      </w:pPr>
      <w:r>
        <w:t xml:space="preserve">4. Modelagem exponencial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A rota /impacto simula o crescimento da comunidade com a função U(t) = U0 × (1 + r)^t. U0 representa os usuários iniciais, r é a taxa mensal em formato decimal e t é o período em meses.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Exemplo: com 100 usuários e crescimento de 12% ao mês, U(6) = 100 × 1,12^6 = 197,38. A interface arredonda a exibição para 197 usuários, mas cada ponto é calculado a partir da fórmula original, sem reutilizar valores já arredondados.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000"/>
      </w:tblGrid>
      <w:tr>
        <w:trPr>
          <w:tblHeader/>
        </w:trPr>
        <w:tc>
          <w:tcPr>
            <w:tcW w:type="dxa" w:w="12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Mês</w:t>
            </w:r>
          </w:p>
        </w:tc>
        <w:tc>
          <w:tcPr>
            <w:tcW w:type="dxa" w:w="48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30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Usuários exibidos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 × 1,12^0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 × 1,12^1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112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 × 1,12^2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125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 × 1,12^3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140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 × 1,12^4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157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 × 1,12^5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176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 × 1,12^6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197</w:t>
            </w:r>
          </w:p>
        </w:tc>
      </w:tr>
    </w:tbl>
    <w:p>
      <w:pPr>
        <w:spacing w:after="80" w:before="160"/>
        <w:jc w:val="center"/>
      </w:pPr>
      <w:r>
        <w:drawing>
          <wp:inline distT="0" distB="0" distL="0" distR="0">
            <wp:extent cx="5715000" cy="818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18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6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Figura 1 — Simulador exponencial: parâmetros, resultado, curva e tabela mensal.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Limitações: a taxa é constante e não considera abandono, sazonalidade, campanhas, limite de mercado ou eventos externos. Os números são cenários acadêmicos, não previsões garantidas.</w:t>
      </w:r>
    </w:p>
    <w:p>
      <w:pPr>
        <w:pStyle w:val="Heading1"/>
        <w:spacing w:after="140" w:before="320"/>
      </w:pPr>
      <w:r>
        <w:t xml:space="preserve">5. Auditoria de acessibilidade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A auditoria considerou WCAG 2.2 nos níveis A e AA. Foram testadas sete rotas em desktop e celular com Axe e Playwright. A linha de base encontrou problemas de contraste e as verificações de interação revelaram barreiras de foco e teclado.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rPr>
          <w:tblHeader/>
        </w:trPr>
        <w:tc>
          <w:tcPr>
            <w:tcW w:type="dxa" w:w="28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encontrado</w:t>
            </w:r>
          </w:p>
        </w:tc>
        <w:tc>
          <w:tcPr>
            <w:tcW w:type="dxa" w:w="32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 aplicada</w:t>
            </w:r>
          </w:p>
        </w:tc>
        <w:tc>
          <w:tcPr>
            <w:tcW w:type="dxa" w:w="3000"/>
            <w:shd w:fill="1718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para o usuário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Navegação repetida sem atalho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Link “Pular para o conteúdo principal”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Reduz o número de teclas para chegar ao conteúdo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Menu móvel sem Escape e restauração de foco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Fechamento por Escape e retorno ao acionador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Torna a navegação por teclado previsível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Erro do formulário sem foco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Foco no primeiro campo inválido e aria-errormessage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Facilita localizar e corrigir o erro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Textos e botões abaixo de 4,5:1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Cores alteradas para taxas entre 5,45:1 e 7,81:1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Melhora a leitura para pessoas com baixa visão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Movimento não respeitava preferência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prefers-reduced-motion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Evita movimento não essencial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Área rolável sem acesso por teclado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Região nomeada e focável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Permite operar a coluna lateral sem mouse</w:t>
            </w:r>
          </w:p>
        </w:tc>
      </w:tr>
    </w:tbl>
    <w:p>
      <w:pPr>
        <w:spacing w:after="80" w:before="160"/>
        <w:jc w:val="center"/>
      </w:pPr>
      <w:r>
        <w:drawing>
          <wp:inline distT="0" distB="0" distL="0" distR="0">
            <wp:extent cx="5905500" cy="51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6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Figura 2 — Formulário com mensagens específicas e foco direcionado ao primeiro erro.</w:t>
      </w:r>
    </w:p>
    <w:p>
      <w:pPr>
        <w:spacing w:after="80" w:before="160"/>
        <w:jc w:val="center"/>
      </w:pPr>
      <w:r>
        <w:drawing>
          <wp:inline distT="0" distB="0" distL="0" distR="0">
            <wp:extent cx="2476500" cy="536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6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Figura 3 — Menu do GameZone no viewport móvel.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Resultado final: 18 testes unitários e de interação e 28 testes de navegador foram aprovados. O Axe não encontrou violações sérias ou críticas nas rotas e estados verificados. Esse resultado descreve o escopo testado e não equivale a uma certificação integral de conformidade WCAG.</w:t>
      </w:r>
    </w:p>
    <w:p>
      <w:pPr>
        <w:pStyle w:val="Heading1"/>
        <w:spacing w:after="140" w:before="320"/>
      </w:pPr>
      <w:r>
        <w:t xml:space="preserve">6. Análise de code e low-code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A equipe optou por implementar a projeção no próprio código. A decisão evita dependência de contas externas e mantém a demonstração dentro do fluxo do GameZone. Next.js e React são adequados porque a fórmula, a validação e a interface precisam responder imediatamente aos parâmetros informados.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Uma ferramenta low-code, como Power BI ou Looker Studio, seria viável para acompanhar dados reais de aquisição e retenção. Nesta entrega, porém, não havia uma base histórica de usuários. Criar um dashboard externo adicionaria configuração e permissões sem melhorar a demonstração da função exponencial. O uso de low-code passa a fazer sentido quando o projeto tiver métricas reais e atualização recorrente.</w:t>
      </w:r>
    </w:p>
    <w:p>
      <w:pPr>
        <w:pStyle w:val="Heading1"/>
        <w:spacing w:after="140" w:before="320"/>
      </w:pPr>
      <w:r>
        <w:t xml:space="preserve">7. Arquitetura e trechos de código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A função matemática fica isolada em lib/projection.js. A rota app/impacto/page.jsx monta a página; GrowthProjection gerencia entradas e resultados; ProjectionChart desenha o SVG; ProjectionTable oferece a mesma série em formato tabular. A separação permite testar o cálculo sem renderizar a interface.</w:t>
      </w:r>
    </w:p>
    <w:p>
      <w:pPr>
        <w:spacing w:after="15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Trecho central do cálculo: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const rate = monthlyRatePercent / 100</w:t>
      </w:r>
    </w:p>
    <w:p>
      <w:pPr>
        <w:shd w:fill="F1F5F9" w:val="clear"/>
        <w:spacing w:after="180"/>
      </w:pPr>
      <w:r>
        <w:rPr>
          <w:rFonts w:ascii="Courier New" w:cs="Courier New" w:eastAsia="Courier New" w:hAnsi="Courier New"/>
          <w:sz w:val="19"/>
          <w:szCs w:val="19"/>
        </w:rPr>
        <w:t xml:space="preserve">const users = Math.round(initialUsers * (1 + rate) ** month)</w:t>
      </w:r>
    </w:p>
    <w:p>
      <w:pPr>
        <w:spacing w:after="15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Trecho de movimento reduzido: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@media (prefers-reduced-motion: reduce) {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  * { transition-duration: 0.01ms !important; }</w:t>
      </w:r>
    </w:p>
    <w:p>
      <w:pPr>
        <w:shd w:fill="F1F5F9" w:val="clear"/>
        <w:spacing w:after="18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Style w:val="Heading1"/>
        <w:spacing w:after="140" w:before="320"/>
      </w:pPr>
      <w:r>
        <w:t xml:space="preserve">8. Conclusão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A Fase 5 deixou o GameZone mais fácil de explicar, acompanhar e usar. A comunicação agora tem públicos, canais e critérios de sucesso definidos. As conversas do grupo sustentam a divisão de trabalho e a consulta ao professor. No produto, a projeção exponencial transforma um requisito matemático em uma demonstração ligada à comunidade, enquanto as correções de acessibilidade removem barreiras concretas de contraste, teclado e formulário.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Antes da entrega, resta publicar o vídeo como não listado e substituir o aviso de link pendente na capa e na apresentação.</w:t>
      </w:r>
    </w:p>
    <w:p>
      <w:pPr>
        <w:pStyle w:val="Heading1"/>
        <w:spacing w:after="140" w:before="320"/>
      </w:pPr>
      <w:r>
        <w:t xml:space="preserve">Apêndice A — Evidência sanitizada da comunicação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Trechos resumidos do WhatsApp, sem telefones, credenciais ou informações pessoais desnecessárias: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t xml:space="preserve">05/09, 13h15 — proposta de evolução funcional com dashboard de usuários e correções WCAG.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t xml:space="preserve">05/09, 13h16 — divisão inicial: Gustavo no código, Guilherme na documentação e vídeo, Gabriel no frontend; Enzo combina apoio e revezamento.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t xml:space="preserve">10/09, 23h05 — grupo decide consultar o professor sobre a Parte 1.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t xml:space="preserve">10/09, 23h14 — Guilherme assume o contato e informa que compartilhará a resposta.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t xml:space="preserve">11/09, 12h35 — resposta do professor é encaminhada ao grupo.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O arquivo original contém credenciais compartilhadas no grupo e não deve ser anexado à entrega. A senha ou token exposto deve ser substituído antes da publicação dos materiais.</w:t>
      </w:r>
    </w:p>
    <w:sectPr>
      <w:footerReference w:type="default" r:id="rId7"/>
      <w:pgSz w:w="11906" w:h="16838" w:orient="portrait"/>
      <w:pgMar w:top="90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GameZone · Fase 5  | 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color w:val="070713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C3AE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7071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463d57ed2e1078258bcdd597c16105c12b019f.png"/><Relationship Id="rId9" Type="http://schemas.openxmlformats.org/officeDocument/2006/relationships/image" Target="media/7e1e6d78b491576612519e05323466a640819807.png"/><Relationship Id="rId10" Type="http://schemas.openxmlformats.org/officeDocument/2006/relationships/image" Target="media/f9e1b79332198864f913aed377acfcbe2e8a52ee.png"/><Relationship Id="rId11" Type="http://schemas.openxmlformats.org/officeDocument/2006/relationships/image" Target="media/46240a9fbb03e8d1f9a69dd36269bc7038dd975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GameZone — Relatório da Fase 5</dc:title>
  <dc:creator>Grupo GameZone</dc:creator>
  <dc:description>Comunicação, modelagem exponencial e acessibilidade</dc:description>
  <cp:lastModifiedBy>Un-named</cp:lastModifiedBy>
  <cp:revision>1</cp:revision>
  <dcterms:created xsi:type="dcterms:W3CDTF">2026-09-11T22:22:38.763Z</dcterms:created>
  <dcterms:modified xsi:type="dcterms:W3CDTF">2026-09-11T22:22:38.764Z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