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rPr>
      </w:pPr>
      <w:bookmarkStart w:colFirst="0" w:colLast="0" w:name="_1wteg0gtxbch" w:id="0"/>
      <w:bookmarkEnd w:id="0"/>
      <w:r w:rsidDel="00000000" w:rsidR="00000000" w:rsidRPr="00000000">
        <w:rPr>
          <w:sz w:val="36"/>
          <w:szCs w:val="36"/>
          <w:rtl w:val="0"/>
        </w:rPr>
        <w:t xml:space="preserve">Viduslaiki eiropā, viduslaiki Latvijā</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Klosteri un mūki spēlēja būtisku lomu. Klosteri bija reliģiskie kopienu centri, kur dzīvoja mūki un mūķenes, kuri veltīja savu dzīvi dievam 5-15.gadsimts Latvijā.</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Kristietība Latvijā ieguva nozīmi jau agrīnajos viduslaikos, kad notika kristietības ieviešana šajā teriktorijā. Vēlāk, līdzz ar Latvijas kļūšanu par daļu no Vācijas Livonijas ordenis veicināja kristietības izplatību, kā arī uzcēla baznīcas un klasterus no 12.gadsimta.</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Latvijā Kristietības sadalīšanās izpaužās “Katoļi, Luterāņi, pareizticīgie”.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Viduslaiku cilvēka centrs bija “Reliģiska, Feodālisms dievs”.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Viduslaikos Latvijā māksla būtiski ietekmējās no viduslaiku Eiropā kultūras un mākslas tendencēm. Māksla bieži tika saistīta ar reliģiju, “viduslaiku baznīcas māksla, grāmatu māksla, rakovski un arhitektūra”.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Ar “Viduslaikiem” īstenībā apzīmē to laiku, kas atrodas starp dieviem laikmetiem. Nosaukums rodās renesanē. Toreiz likās, ka viduslaiki ir bijuši viena vienīgaa gara nakts “tūkstoš gadu garumā”, kura bija gūlusies pāri Eiropai starp antīko senatni un renesatni. Vēl arvien izteiciens “viduslaiki” tiek lidots negatīvā nozīmē, apzīmējot visu, kas ir autoritāts un nekustīgs. Bet ir arī tādi, kas viduslaikos uzlūko kā “tūkstoš gadu augšanas laiku”. Piemēram tieši viduslaikus izveidojās sistēma.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Tūkstoš gadu ir ļoti ilgs laiks.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Bet kristietība izmantoja laiku, lai iespiestos dziļi tautas.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sz w:val="36"/>
          <w:szCs w:val="36"/>
        </w:rPr>
      </w:pPr>
      <w:bookmarkStart w:colFirst="0" w:colLast="0" w:name="_daxmgijonsi5" w:id="1"/>
      <w:bookmarkEnd w:id="1"/>
      <w:r w:rsidDel="00000000" w:rsidR="00000000" w:rsidRPr="00000000">
        <w:rPr>
          <w:sz w:val="36"/>
          <w:szCs w:val="36"/>
          <w:rtl w:val="0"/>
        </w:rPr>
        <w:t xml:space="preserve">Vēsturiskais fons</w:t>
      </w:r>
    </w:p>
    <w:p w:rsidR="00000000" w:rsidDel="00000000" w:rsidP="00000000" w:rsidRDefault="00000000" w:rsidRPr="00000000" w14:paraId="0000000C">
      <w:pPr>
        <w:pStyle w:val="Heading2"/>
        <w:jc w:val="center"/>
        <w:rPr/>
      </w:pPr>
      <w:bookmarkStart w:colFirst="0" w:colLast="0" w:name="_vlci1b57ddb0" w:id="2"/>
      <w:bookmarkEnd w:id="2"/>
      <w:r w:rsidDel="00000000" w:rsidR="00000000" w:rsidRPr="00000000">
        <w:rPr>
          <w:rtl w:val="0"/>
        </w:rPr>
        <w:t xml:space="preserve">Europā</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Laiks no 5.gadsimta līdz 15.gadsimta sauca par viduslaikiem.</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Kristietības nostiprināšanās un dominence visās dzīves fērās.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Dievs ir viduslaiku cilvēka dzīves centrā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Feodālisma kā valsts iekārtas nostiprināšanās.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Dzimtbūšana [zemnieks piesaistīts zemei, kas pieder saimniekam, tāpēc maksā klaušas].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11.gadsimts Kausta kara sākums.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11.gadsimts - bruņniecības rašanās.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4.-5.gadsimtā pirmo klosteru rašanās.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Sakrālās mākslas uzplaukums (mūzikā, glezniecībā, arhitektūrā)</w:t>
      </w:r>
    </w:p>
    <w:p w:rsidR="00000000" w:rsidDel="00000000" w:rsidP="00000000" w:rsidRDefault="00000000" w:rsidRPr="00000000" w14:paraId="00000016">
      <w:pPr>
        <w:pStyle w:val="Heading2"/>
        <w:jc w:val="center"/>
        <w:rPr/>
      </w:pPr>
      <w:bookmarkStart w:colFirst="0" w:colLast="0" w:name="_7xm2pcpf2wr" w:id="3"/>
      <w:bookmarkEnd w:id="3"/>
      <w:r w:rsidDel="00000000" w:rsidR="00000000" w:rsidRPr="00000000">
        <w:rPr>
          <w:rtl w:val="0"/>
        </w:rPr>
        <w:t xml:space="preserve">Latvijā</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Laiku no 5. līdz 15.gadsimtam sauc par viduslaiku.</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Līdz 12.gadsimtam - dominē mītiskā pasaules izpratne.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Elkdievība.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8. līdz 11.gadsimtam pretošanās Skandivānu, Vikingu sirojumiem.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10. līdz 12.gadsimtam sadursmes ar krievzemes slāvu tautām.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12 līdz 13.gadsimtam vāca krustiešu ekspansija Baltijā zem “Kristietības izplatīšanas un pagānu Kristīšanas” karoga.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12 gadimstā - baltu cilšu pakļaušana, Livonijas valsts izveidošana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1494.gadā, vispirms Rīgā, tod visā Livonijas teriktorijā ievieš dzimtbūšanu.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