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BA0E" w14:textId="5E05A065" w:rsidR="001F169E" w:rsidRDefault="002C3AD5">
      <w:pPr>
        <w:rPr>
          <w:i/>
          <w:iCs/>
        </w:rPr>
      </w:pPr>
      <w:r>
        <w:rPr>
          <w:i/>
          <w:iCs/>
        </w:rPr>
        <w:t>Vārds , Uzvārds</w:t>
      </w:r>
      <w:r w:rsidRPr="002C3AD5">
        <w:t>___________________________</w:t>
      </w:r>
    </w:p>
    <w:p w14:paraId="79F888A1" w14:textId="25753435" w:rsidR="002C3AD5" w:rsidRDefault="002C3AD5">
      <w:r>
        <w:rPr>
          <w:i/>
          <w:iCs/>
        </w:rPr>
        <w:t>Grupa</w:t>
      </w:r>
      <w:r w:rsidRPr="002C3AD5">
        <w:t>__________________________________</w:t>
      </w:r>
    </w:p>
    <w:p w14:paraId="433E47FF" w14:textId="77777777" w:rsidR="002C3AD5" w:rsidRDefault="002C3AD5"/>
    <w:p w14:paraId="4F31B671" w14:textId="485C74E4" w:rsidR="002C3AD5" w:rsidRDefault="002C3AD5" w:rsidP="002C3AD5">
      <w:pPr>
        <w:jc w:val="center"/>
      </w:pPr>
      <w:r>
        <w:t>PĀRBAUDES DARBS</w:t>
      </w:r>
    </w:p>
    <w:p w14:paraId="43E820A6" w14:textId="0CC454A6" w:rsidR="002C3AD5" w:rsidRDefault="002C3AD5" w:rsidP="002C3AD5">
      <w:pPr>
        <w:jc w:val="center"/>
      </w:pPr>
      <w:r>
        <w:t>“Starptautiskās attiecības – ārpolitika un globalizācija”</w:t>
      </w:r>
    </w:p>
    <w:p w14:paraId="2F03EE62" w14:textId="22AFEE2F" w:rsidR="002C3AD5" w:rsidRDefault="002C3AD5" w:rsidP="002C3AD5">
      <w:r>
        <w:t>1.uzdevums. Norādi būtiskākos Latvijas ārpolitikas virzienus (4 punkti)</w:t>
      </w:r>
    </w:p>
    <w:p w14:paraId="6E6069EA" w14:textId="77777777" w:rsidR="002C3AD5" w:rsidRDefault="002C3AD5" w:rsidP="002C3AD5">
      <w:pPr>
        <w:pStyle w:val="ListParagraph"/>
        <w:numPr>
          <w:ilvl w:val="0"/>
          <w:numId w:val="2"/>
        </w:numPr>
      </w:pPr>
    </w:p>
    <w:p w14:paraId="10A49389" w14:textId="060E0C02" w:rsidR="002C3AD5" w:rsidRDefault="002C3AD5" w:rsidP="002C3AD5">
      <w:r>
        <w:t>2.uzdevums. Atbildi uz jautājumiem! (6 punkti)</w:t>
      </w:r>
    </w:p>
    <w:p w14:paraId="6F833624" w14:textId="2E34317C" w:rsidR="002C3AD5" w:rsidRDefault="002C3AD5" w:rsidP="002C3AD5">
      <w:r>
        <w:t>Lai labāk veidotu starptautiskās attiecības saskaņā ar vienotiem principiem, valstis apvienojas starptautiskās organizācijās.</w:t>
      </w:r>
    </w:p>
    <w:p w14:paraId="3DC5DF2D" w14:textId="719EA3E3" w:rsidR="002C3AD5" w:rsidRDefault="002C3AD5" w:rsidP="002C3AD5">
      <w:pPr>
        <w:pStyle w:val="ListParagraph"/>
        <w:numPr>
          <w:ilvl w:val="0"/>
          <w:numId w:val="2"/>
        </w:numPr>
      </w:pPr>
      <w:r>
        <w:t>Kura ir vislielākā valstu organizācija pasaulē?</w:t>
      </w:r>
    </w:p>
    <w:p w14:paraId="6502F486" w14:textId="5B350325" w:rsidR="002C3AD5" w:rsidRDefault="002C3AD5" w:rsidP="002C3AD5">
      <w:pPr>
        <w:pStyle w:val="ListParagraph"/>
        <w:numPr>
          <w:ilvl w:val="0"/>
          <w:numId w:val="2"/>
        </w:numPr>
      </w:pPr>
      <w:r>
        <w:t>Ko nozīmē NATO?</w:t>
      </w:r>
    </w:p>
    <w:p w14:paraId="284FEB31" w14:textId="51BFE178" w:rsidR="002C3AD5" w:rsidRDefault="002C3AD5" w:rsidP="002C3AD5">
      <w:pPr>
        <w:pStyle w:val="ListParagraph"/>
        <w:numPr>
          <w:ilvl w:val="0"/>
          <w:numId w:val="2"/>
        </w:numPr>
      </w:pPr>
      <w:r>
        <w:t>Kāds bija ES (Eiropas Savienības) veidotāju galvenais mērķis?</w:t>
      </w:r>
    </w:p>
    <w:p w14:paraId="0EE8BC4E" w14:textId="66957CD7" w:rsidR="002C3AD5" w:rsidRDefault="002C3AD5" w:rsidP="002C3AD5">
      <w:pPr>
        <w:pStyle w:val="ListParagraph"/>
        <w:numPr>
          <w:ilvl w:val="0"/>
          <w:numId w:val="2"/>
        </w:numPr>
      </w:pPr>
      <w:r>
        <w:t>Kādas ir ES (Eiropas Savienības) galvenās priekšrocības?</w:t>
      </w:r>
    </w:p>
    <w:p w14:paraId="1AD4D27D" w14:textId="38986006" w:rsidR="002C3AD5" w:rsidRDefault="002C3AD5" w:rsidP="002C3AD5">
      <w:pPr>
        <w:pStyle w:val="ListParagraph"/>
        <w:numPr>
          <w:ilvl w:val="0"/>
          <w:numId w:val="2"/>
        </w:numPr>
      </w:pPr>
      <w:r>
        <w:t>Ko paredz Šengenas līgums?</w:t>
      </w:r>
    </w:p>
    <w:p w14:paraId="09040680" w14:textId="7C568411" w:rsidR="002C3AD5" w:rsidRDefault="002C3AD5" w:rsidP="002C3AD5">
      <w:pPr>
        <w:pStyle w:val="ListParagraph"/>
        <w:numPr>
          <w:ilvl w:val="0"/>
          <w:numId w:val="2"/>
        </w:numPr>
      </w:pPr>
      <w:r>
        <w:t>Cik valstu pašreiz ir ES (Eiropas Savienībā)?</w:t>
      </w:r>
    </w:p>
    <w:p w14:paraId="3AB9D1AD" w14:textId="3AD0D4B2" w:rsidR="002C3AD5" w:rsidRDefault="002C3AD5" w:rsidP="002C3AD5">
      <w:r>
        <w:t>3.uzdevums. Izpildi norādītos uzdevumus! (5 punkti)</w:t>
      </w:r>
    </w:p>
    <w:p w14:paraId="5AE8FEE8" w14:textId="49D45101" w:rsidR="002C3AD5" w:rsidRDefault="002C3AD5" w:rsidP="002C3AD5">
      <w:r>
        <w:t>Lielākā daļā valstu cilvēkiem ir tiesības balsot, bet nav pienākuma to darīt. Tas nozīmē, ka ne visi ES (Eiropas Savienības) pilsoņi balso Eiropas Parlamenta vēlēšanās. Viņi var nolemt vēlēšanas nepiedalīties.</w:t>
      </w:r>
    </w:p>
    <w:p w14:paraId="0AF1D347" w14:textId="7BE16E0A" w:rsidR="00C63F63" w:rsidRDefault="002C3AD5" w:rsidP="00C63F63">
      <w:r>
        <w:t xml:space="preserve">3.1. Apskati grafiku, kurā parādīta vēlētāju aktivitāte Eiropas Parlamenta vēlēšanās kops </w:t>
      </w:r>
      <w:r w:rsidR="00C63F63">
        <w:t>1979.gada:</w:t>
      </w:r>
    </w:p>
    <w:p w14:paraId="5A7D84B1" w14:textId="40DAE9CB" w:rsidR="00C63F63" w:rsidRDefault="00C63F63" w:rsidP="00C63F63">
      <w:r>
        <w:tab/>
        <w:t>- Cik daudz procentu ES (Eiropas Savienības) pilsoņu balsoja 2014.gada vēlēšanās?</w:t>
      </w:r>
    </w:p>
    <w:p w14:paraId="469D9E06" w14:textId="2A6AC087" w:rsidR="00C63F63" w:rsidRDefault="00C63F63" w:rsidP="00C63F63">
      <w:r>
        <w:tab/>
        <w:t>- Kā vēlētāju aktivitāte ir mainījusies pa gadiem?</w:t>
      </w:r>
    </w:p>
    <w:p w14:paraId="5FC2C59A" w14:textId="77777777" w:rsidR="000550CC" w:rsidRDefault="000550CC" w:rsidP="00C63F63"/>
    <w:p w14:paraId="442826A8" w14:textId="037D4EB3" w:rsidR="000550CC" w:rsidRDefault="000550CC" w:rsidP="00C63F63">
      <w:r>
        <w:rPr>
          <w:noProof/>
        </w:rPr>
        <w:lastRenderedPageBreak/>
        <w:drawing>
          <wp:inline distT="0" distB="0" distL="0" distR="0" wp14:anchorId="7940E3EB" wp14:editId="0569ECBF">
            <wp:extent cx="5676900" cy="31527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E4C13A" w14:textId="138DDAAC" w:rsidR="004145B7" w:rsidRDefault="004145B7" w:rsidP="00C63F63">
      <w:r>
        <w:t>3.2. Apraksti grafiku, kurā parādīta vēlētāju aktivitāte 2014.gada 22.-25. maija Eiropas Parlamenta vēlēšanas 28 dalībvalstīs:</w:t>
      </w:r>
    </w:p>
    <w:p w14:paraId="68CFC9E6" w14:textId="39C2FF5C" w:rsidR="004145B7" w:rsidRDefault="004145B7" w:rsidP="00C63F63">
      <w:r>
        <w:tab/>
        <w:t>- ES (Eiropas Savienības) vidējais līmenis neparāda dažas būtiskas atšķirības starp dalībvalstīm. Cik liela atšķirība starp valsti ar visaugstāko un valsti ar viszemāko novēlējušo skaiti (procentpunktos)?</w:t>
      </w:r>
    </w:p>
    <w:p w14:paraId="7722C33A" w14:textId="00A99517" w:rsidR="004145B7" w:rsidRDefault="004145B7" w:rsidP="00C63F63">
      <w:r>
        <w:t>__________________%</w:t>
      </w:r>
    </w:p>
    <w:p w14:paraId="48FCA99F" w14:textId="07B9C061" w:rsidR="004145B7" w:rsidRDefault="004145B7" w:rsidP="004145B7">
      <w:r>
        <w:tab/>
        <w:t>- Cik procentu pilsoņu devās uz vēlēšanām Latvijas valstī? _________________%.</w:t>
      </w:r>
    </w:p>
    <w:p w14:paraId="4C21468F" w14:textId="05CCDDA1" w:rsidR="004145B7" w:rsidRDefault="004145B7" w:rsidP="004145B7">
      <w:r>
        <w:tab/>
        <w:t>Tas ir virs vai zem ES (Eiropas Savienības) vidējā rādītāja? ___________________</w:t>
      </w:r>
    </w:p>
    <w:p w14:paraId="71001BFF" w14:textId="300A7E65" w:rsidR="004145B7" w:rsidRDefault="004145B7" w:rsidP="004145B7">
      <w:r>
        <w:rPr>
          <w:noProof/>
        </w:rPr>
        <w:drawing>
          <wp:inline distT="0" distB="0" distL="0" distR="0" wp14:anchorId="1D9FC874" wp14:editId="3A46183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9EAC7F4" w14:textId="77777777" w:rsidR="00EB1A71" w:rsidRDefault="00EB1A71" w:rsidP="004145B7"/>
    <w:p w14:paraId="2AC8572D" w14:textId="146E6BA5" w:rsidR="00EB1A71" w:rsidRPr="00EB1A71" w:rsidRDefault="00EB1A71" w:rsidP="00EB1A71">
      <w:r w:rsidRPr="00EB1A71">
        <w:t xml:space="preserve">4.uzdevums. Izlasi E. </w:t>
      </w:r>
      <w:proofErr w:type="spellStart"/>
      <w:r w:rsidRPr="00EB1A71">
        <w:t>Krivcovas</w:t>
      </w:r>
      <w:proofErr w:type="spellEnd"/>
      <w:r w:rsidRPr="00EB1A71">
        <w:t xml:space="preserve"> raksta fragmentu un atbildi uz jautājumiem! (4 punkti) </w:t>
      </w:r>
    </w:p>
    <w:p w14:paraId="62C534E9" w14:textId="4E121BCA" w:rsidR="00EB1A71" w:rsidRPr="00EB1A71" w:rsidRDefault="00EB1A71" w:rsidP="00EB1A71">
      <w:r>
        <w:t xml:space="preserve">(..) </w:t>
      </w:r>
      <w:r w:rsidRPr="00EB1A71">
        <w:t xml:space="preserve">laiki un to izaicinājumi </w:t>
      </w:r>
    </w:p>
    <w:p w14:paraId="428BA723" w14:textId="62952B54" w:rsidR="00EB1A71" w:rsidRPr="00EB1A71" w:rsidRDefault="00EB1A71" w:rsidP="00EB1A71">
      <w:r>
        <w:lastRenderedPageBreak/>
        <w:t>(..)</w:t>
      </w:r>
      <w:r w:rsidRPr="00EB1A71">
        <w:t xml:space="preserve">, kad iepriekš nospraustie Latvijas mērķi ir sasniegti (iestāšanās NATO, ES), atkal ir jārunā </w:t>
      </w:r>
      <w:r>
        <w:t>(..)</w:t>
      </w:r>
      <w:r w:rsidR="009D05A6">
        <w:t xml:space="preserve"> </w:t>
      </w:r>
      <w:r w:rsidRPr="00EB1A71">
        <w:t xml:space="preserve">un stratēģisko nākotnes tēlu. Jautājums ir par Latvijas valstiskuma nākotni, </w:t>
      </w:r>
      <w:r>
        <w:t xml:space="preserve">(..) </w:t>
      </w:r>
      <w:r w:rsidRPr="00EB1A71">
        <w:t xml:space="preserve">nozīmē Latvijas neatkarība un Latvijas nacionālā valsts jaunajā globalizācijas un politiskās </w:t>
      </w:r>
      <w:r>
        <w:t xml:space="preserve">(..) </w:t>
      </w:r>
      <w:r w:rsidRPr="00EB1A71">
        <w:t xml:space="preserve">situācijā? </w:t>
      </w:r>
    </w:p>
    <w:p w14:paraId="0297B10D" w14:textId="77777777" w:rsidR="00EB1A71" w:rsidRPr="00EB1A71" w:rsidRDefault="00EB1A71" w:rsidP="00EB1A71">
      <w:r w:rsidRPr="00EB1A71">
        <w:t xml:space="preserve">Raugoties uz pasauli, kurā Latvijas valsts meklē savu vietu, pirmām kārtām nākas secināt, ka valsts </w:t>
      </w:r>
      <w:proofErr w:type="spellStart"/>
      <w:r w:rsidRPr="00EB1A71">
        <w:t>toma</w:t>
      </w:r>
      <w:proofErr w:type="spellEnd"/>
      <w:r w:rsidRPr="00EB1A71">
        <w:t xml:space="preserve"> un ietekmes iespējas ir mainījušās. Globalizācija pārmainīja vecos starptautiskos noteikumus un pamatjēdzienus. Nostiprinoties pasaules tirgum un transnacionāliem koncerniem, viena pati valsts vairs nevar pārvaldīt ekonomiku. Finanšu plūsmas, nodokļi, konkurenci deformējošās vienošanās un uzņēmumu saplūšana kontroles. tie ir procesi, kas vairs nenotiek vienas valsts ietvaros un iziet ārpus valsts varas </w:t>
      </w:r>
    </w:p>
    <w:p w14:paraId="106FF034" w14:textId="65F2F219" w:rsidR="00EB1A71" w:rsidRPr="00EB1A71" w:rsidRDefault="00EB1A71" w:rsidP="00EB1A71">
      <w:r w:rsidRPr="00EB1A71">
        <w:t xml:space="preserve">Sakarā ar uzņēmumu spēju mainīt ražošanas vietu, rodas konkurence starp </w:t>
      </w:r>
      <w:r w:rsidR="009D05A6">
        <w:t>valsts</w:t>
      </w:r>
      <w:r w:rsidRPr="00EB1A71">
        <w:t xml:space="preserve"> investīciju jomā. Tas ir līdzeklis, kā lielas kompānijas ietekmē valsti. Atrodoties situācijā, kad kompānijas var izvēlēties valsti vai pamest to, atstājot cilvēkus bez darba un vājinot tautsaimniecību, valstis ir spiestas piešķirt īpašus atvieglojumus un uzturēt liberālu režīmu, kas ir raksturīgs visām jaunajām Austrumeiropas valstīm. </w:t>
      </w:r>
      <w:r w:rsidR="009D05A6" w:rsidRPr="00EB1A71">
        <w:t>Ārvalstu</w:t>
      </w:r>
      <w:r w:rsidRPr="00EB1A71">
        <w:t xml:space="preserve"> investoriem nerūp valsts uzplaukums, bet viņu pašu labklājība. Un, ja valstij nav efektīvu pretlīdzekļu, tad tā vienmēr paliek zaudētāja, nespējot darboties visas sabiedrības labā. Šāda situācija liek apšaubīt demokrātiju, vēlēšanu nozīme mazinās, jo valstī par līdzvērtīgu spēlētāju kļūst transnacionālas kompānijas un citas pasaules ekonomikas struktūras. (..) </w:t>
      </w:r>
    </w:p>
    <w:p w14:paraId="4DB96DEE" w14:textId="6BA36BB9" w:rsidR="00EB1A71" w:rsidRDefault="00EB1A71" w:rsidP="00EB1A71">
      <w:r w:rsidRPr="00EB1A71">
        <w:t xml:space="preserve">Norādītās tendences, kā globālās problēmas (drošība, ekoloģija, starptautiskā noziedzība) spiež valstis mainīties, lai atbilstu laika garam un spētu turpmāk pildīt savas funkcijas. Īpaša loma ir starpvalstu sadarbībai. Latvijas iestāšanās ES būtiski maina valsts stāvokli, jo daļa </w:t>
      </w:r>
      <w:r w:rsidR="009D05A6" w:rsidRPr="00EB1A71">
        <w:t>suverenitātes</w:t>
      </w:r>
      <w:r w:rsidRPr="00EB1A71">
        <w:t xml:space="preserve"> tiek nodota pārnacionālai organizācijai. Ar </w:t>
      </w:r>
      <w:r w:rsidR="009D05A6" w:rsidRPr="00EB1A71">
        <w:t>suverenitātes</w:t>
      </w:r>
      <w:r w:rsidRPr="00EB1A71">
        <w:t xml:space="preserve"> samazināšanos rēķinās visas dalībvalstis, arī lielākās valstis maksā šādu cena, tā Vācijā un Francijā ap 60% likumu ir Eiropas direktīvu pieņemšana, nevis sava likumdošana, jo vienu no svarīgākajām jomām - ekonomiku arvien vairāk aptver Eiropas regulējums. (..) Līdz ar to Latvijas neatkarīgā nacionālā valsts, kas līdz šim bija valdošais priekšstats par tagadni un nākotni, kļūst par mītu, skaistu pagātnes ideju. Taču laiki mainās, bet vērtības paliek. Ir pienācis laiks</w:t>
      </w:r>
    </w:p>
    <w:p w14:paraId="5E04E01C" w14:textId="77777777" w:rsidR="00EB1A71" w:rsidRDefault="00EB1A71" w:rsidP="00EB1A71"/>
    <w:p w14:paraId="0329418B" w14:textId="3A06AA86" w:rsidR="00EB1A71" w:rsidRDefault="00EB1A71" w:rsidP="00EB1A71">
      <w:r w:rsidRPr="00EB1A71">
        <w:t xml:space="preserve">paskatīties uz vērtībām un pamatiem, kas virzīja Latvijas sabiedrību un noteica tās attīstību, ir jānodala būtiskākais no </w:t>
      </w:r>
      <w:r w:rsidR="00CD5095">
        <w:t>(..)</w:t>
      </w:r>
      <w:r w:rsidRPr="00EB1A71">
        <w:t xml:space="preserve"> un no jauna </w:t>
      </w:r>
      <w:r w:rsidR="00CD5095">
        <w:t>(..)</w:t>
      </w:r>
      <w:r w:rsidRPr="00EB1A71">
        <w:t xml:space="preserve"> valsts.</w:t>
      </w:r>
    </w:p>
    <w:p w14:paraId="3B1B8E91" w14:textId="77777777" w:rsidR="00EB1A71" w:rsidRDefault="00EB1A71" w:rsidP="00EB1A71"/>
    <w:p w14:paraId="48523BF5" w14:textId="087C0DD5" w:rsidR="00EB1A71" w:rsidRDefault="00EB1A71" w:rsidP="00EB1A71">
      <w:r w:rsidRPr="00EB1A71">
        <w:t>4.1. Kā raksta autore izskaidro nacionālās valsts nozīmes samazināšanos?</w:t>
      </w:r>
    </w:p>
    <w:p w14:paraId="4AB0AC9B" w14:textId="77777777" w:rsidR="00EB1A71" w:rsidRDefault="00EB1A71" w:rsidP="00EB1A71"/>
    <w:p w14:paraId="3B572247" w14:textId="732BD785" w:rsidR="00EB1A71" w:rsidRDefault="00EB1A71" w:rsidP="00EB1A71">
      <w:r w:rsidRPr="00EB1A71">
        <w:t>4.2. Kādā veidā globalizācija un Eiropas Savienība ietekmē valsts pamatiezīmes?</w:t>
      </w:r>
    </w:p>
    <w:p w14:paraId="3D84F83A" w14:textId="77777777" w:rsidR="00EB1A71" w:rsidRDefault="00EB1A71" w:rsidP="00EB1A71"/>
    <w:p w14:paraId="22517519" w14:textId="4B20AC0C" w:rsidR="00EB1A71" w:rsidRPr="002C3AD5" w:rsidRDefault="00EB1A71" w:rsidP="00EB1A71">
      <w:r w:rsidRPr="00EB1A71">
        <w:t>5. uzdevums. Uzraksti savas pārdomas par tematu "Kāpēc valstis mūsdienās drīkst (vai nedrīkst) ar bruņotu spēku iejaukties citu valstu iekšējās lietās". Izvēlies vienu no pieļāvumiem! Pamato savu atbildi ar konkrētiem vēstures piemēriem! (6 punkti)</w:t>
      </w:r>
    </w:p>
    <w:sectPr w:rsidR="00EB1A71" w:rsidRPr="002C3AD5" w:rsidSect="004145B7">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C4F"/>
    <w:multiLevelType w:val="hybridMultilevel"/>
    <w:tmpl w:val="924C11C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066581F"/>
    <w:multiLevelType w:val="hybridMultilevel"/>
    <w:tmpl w:val="330CC4C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58C36929"/>
    <w:multiLevelType w:val="hybridMultilevel"/>
    <w:tmpl w:val="961E69CA"/>
    <w:lvl w:ilvl="0" w:tplc="37D431CA">
      <w:start w:val="3"/>
      <w:numFmt w:val="bullet"/>
      <w:lvlText w:val="-"/>
      <w:lvlJc w:val="left"/>
      <w:pPr>
        <w:ind w:left="1080" w:hanging="360"/>
      </w:pPr>
      <w:rPr>
        <w:rFonts w:ascii="Aptos" w:eastAsiaTheme="minorHAnsi" w:hAnsi="Aptos" w:cstheme="minorBidi"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 w15:restartNumberingAfterBreak="0">
    <w:nsid w:val="72E459B2"/>
    <w:multiLevelType w:val="hybridMultilevel"/>
    <w:tmpl w:val="E71A876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7EF433BF"/>
    <w:multiLevelType w:val="hybridMultilevel"/>
    <w:tmpl w:val="EDC412A2"/>
    <w:lvl w:ilvl="0" w:tplc="777A175E">
      <w:start w:val="3"/>
      <w:numFmt w:val="bullet"/>
      <w:lvlText w:val="-"/>
      <w:lvlJc w:val="left"/>
      <w:pPr>
        <w:ind w:left="1080" w:hanging="360"/>
      </w:pPr>
      <w:rPr>
        <w:rFonts w:ascii="Aptos" w:eastAsiaTheme="minorHAnsi" w:hAnsi="Aptos" w:cstheme="minorBidi"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num w:numId="1" w16cid:durableId="2052411751">
    <w:abstractNumId w:val="1"/>
  </w:num>
  <w:num w:numId="2" w16cid:durableId="235164997">
    <w:abstractNumId w:val="3"/>
  </w:num>
  <w:num w:numId="3" w16cid:durableId="1342583233">
    <w:abstractNumId w:val="0"/>
  </w:num>
  <w:num w:numId="4" w16cid:durableId="761998305">
    <w:abstractNumId w:val="2"/>
  </w:num>
  <w:num w:numId="5" w16cid:durableId="957758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9E"/>
    <w:rsid w:val="000550CC"/>
    <w:rsid w:val="00117D78"/>
    <w:rsid w:val="001B0DDD"/>
    <w:rsid w:val="001F169E"/>
    <w:rsid w:val="002C3AD5"/>
    <w:rsid w:val="003A4B81"/>
    <w:rsid w:val="003C4DA7"/>
    <w:rsid w:val="004145B7"/>
    <w:rsid w:val="00647883"/>
    <w:rsid w:val="00691114"/>
    <w:rsid w:val="00775C4C"/>
    <w:rsid w:val="00805EBB"/>
    <w:rsid w:val="00992C91"/>
    <w:rsid w:val="009D05A6"/>
    <w:rsid w:val="00B312D8"/>
    <w:rsid w:val="00B4177C"/>
    <w:rsid w:val="00C63F63"/>
    <w:rsid w:val="00CD5095"/>
    <w:rsid w:val="00EB1A71"/>
    <w:rsid w:val="00F1079B"/>
    <w:rsid w:val="00FF72D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1787"/>
  <w15:chartTrackingRefBased/>
  <w15:docId w15:val="{CA1F76F1-3764-436D-9240-C6468908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69E"/>
    <w:rPr>
      <w:rFonts w:eastAsiaTheme="majorEastAsia" w:cstheme="majorBidi"/>
      <w:color w:val="272727" w:themeColor="text1" w:themeTint="D8"/>
    </w:rPr>
  </w:style>
  <w:style w:type="paragraph" w:styleId="Title">
    <w:name w:val="Title"/>
    <w:basedOn w:val="Normal"/>
    <w:next w:val="Normal"/>
    <w:link w:val="TitleChar"/>
    <w:uiPriority w:val="10"/>
    <w:qFormat/>
    <w:rsid w:val="001F1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69E"/>
    <w:pPr>
      <w:spacing w:before="160"/>
      <w:jc w:val="center"/>
    </w:pPr>
    <w:rPr>
      <w:i/>
      <w:iCs/>
      <w:color w:val="404040" w:themeColor="text1" w:themeTint="BF"/>
    </w:rPr>
  </w:style>
  <w:style w:type="character" w:customStyle="1" w:styleId="QuoteChar">
    <w:name w:val="Quote Char"/>
    <w:basedOn w:val="DefaultParagraphFont"/>
    <w:link w:val="Quote"/>
    <w:uiPriority w:val="29"/>
    <w:rsid w:val="001F169E"/>
    <w:rPr>
      <w:i/>
      <w:iCs/>
      <w:color w:val="404040" w:themeColor="text1" w:themeTint="BF"/>
    </w:rPr>
  </w:style>
  <w:style w:type="paragraph" w:styleId="ListParagraph">
    <w:name w:val="List Paragraph"/>
    <w:basedOn w:val="Normal"/>
    <w:uiPriority w:val="34"/>
    <w:qFormat/>
    <w:rsid w:val="001F169E"/>
    <w:pPr>
      <w:ind w:left="720"/>
      <w:contextualSpacing/>
    </w:pPr>
  </w:style>
  <w:style w:type="character" w:styleId="IntenseEmphasis">
    <w:name w:val="Intense Emphasis"/>
    <w:basedOn w:val="DefaultParagraphFont"/>
    <w:uiPriority w:val="21"/>
    <w:qFormat/>
    <w:rsid w:val="001F169E"/>
    <w:rPr>
      <w:i/>
      <w:iCs/>
      <w:color w:val="0F4761" w:themeColor="accent1" w:themeShade="BF"/>
    </w:rPr>
  </w:style>
  <w:style w:type="paragraph" w:styleId="IntenseQuote">
    <w:name w:val="Intense Quote"/>
    <w:basedOn w:val="Normal"/>
    <w:next w:val="Normal"/>
    <w:link w:val="IntenseQuoteChar"/>
    <w:uiPriority w:val="30"/>
    <w:qFormat/>
    <w:rsid w:val="001F1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69E"/>
    <w:rPr>
      <w:i/>
      <w:iCs/>
      <w:color w:val="0F4761" w:themeColor="accent1" w:themeShade="BF"/>
    </w:rPr>
  </w:style>
  <w:style w:type="character" w:styleId="IntenseReference">
    <w:name w:val="Intense Reference"/>
    <w:basedOn w:val="DefaultParagraphFont"/>
    <w:uiPriority w:val="32"/>
    <w:qFormat/>
    <w:rsid w:val="001F16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9989">
      <w:bodyDiv w:val="1"/>
      <w:marLeft w:val="0"/>
      <w:marRight w:val="0"/>
      <w:marTop w:val="0"/>
      <w:marBottom w:val="0"/>
      <w:divBdr>
        <w:top w:val="none" w:sz="0" w:space="0" w:color="auto"/>
        <w:left w:val="none" w:sz="0" w:space="0" w:color="auto"/>
        <w:bottom w:val="none" w:sz="0" w:space="0" w:color="auto"/>
        <w:right w:val="none" w:sz="0" w:space="0" w:color="auto"/>
      </w:divBdr>
    </w:div>
    <w:div w:id="6004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v-LV"/>
        </a:p>
      </c:txPr>
    </c:title>
    <c:autoTitleDeleted val="0"/>
    <c:plotArea>
      <c:layout/>
      <c:barChart>
        <c:barDir val="col"/>
        <c:grouping val="clustered"/>
        <c:varyColors val="0"/>
        <c:ser>
          <c:idx val="0"/>
          <c:order val="0"/>
          <c:tx>
            <c:strRef>
              <c:f>Sheet1!$B$1</c:f>
              <c:strCache>
                <c:ptCount val="1"/>
                <c:pt idx="0">
                  <c:v>Procenti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v-LV"/>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1979 EU9</c:v>
                </c:pt>
                <c:pt idx="1">
                  <c:v>1984 EU10</c:v>
                </c:pt>
                <c:pt idx="2">
                  <c:v>1989 EU12</c:v>
                </c:pt>
                <c:pt idx="3">
                  <c:v>1994 EU12</c:v>
                </c:pt>
                <c:pt idx="4">
                  <c:v>1999 EU15</c:v>
                </c:pt>
                <c:pt idx="5">
                  <c:v>2004 EU25</c:v>
                </c:pt>
                <c:pt idx="6">
                  <c:v>2009 EU27</c:v>
                </c:pt>
                <c:pt idx="7">
                  <c:v>2014 EU28</c:v>
                </c:pt>
              </c:strCache>
            </c:strRef>
          </c:cat>
          <c:val>
            <c:numRef>
              <c:f>Sheet1!$B$2:$B$9</c:f>
              <c:numCache>
                <c:formatCode>General</c:formatCode>
                <c:ptCount val="8"/>
                <c:pt idx="0">
                  <c:v>61.99</c:v>
                </c:pt>
                <c:pt idx="1">
                  <c:v>58.98</c:v>
                </c:pt>
                <c:pt idx="2">
                  <c:v>58.41</c:v>
                </c:pt>
                <c:pt idx="3">
                  <c:v>56.67</c:v>
                </c:pt>
                <c:pt idx="4">
                  <c:v>49.51</c:v>
                </c:pt>
                <c:pt idx="5">
                  <c:v>45.57</c:v>
                </c:pt>
                <c:pt idx="6">
                  <c:v>42.97</c:v>
                </c:pt>
                <c:pt idx="7">
                  <c:v>42.61</c:v>
                </c:pt>
              </c:numCache>
            </c:numRef>
          </c:val>
          <c:extLst>
            <c:ext xmlns:c16="http://schemas.microsoft.com/office/drawing/2014/chart" uri="{C3380CC4-5D6E-409C-BE32-E72D297353CC}">
              <c16:uniqueId val="{00000000-FFFA-4189-A12C-165D14D7834F}"/>
            </c:ext>
          </c:extLst>
        </c:ser>
        <c:dLbls>
          <c:dLblPos val="outEnd"/>
          <c:showLegendKey val="0"/>
          <c:showVal val="1"/>
          <c:showCatName val="0"/>
          <c:showSerName val="0"/>
          <c:showPercent val="0"/>
          <c:showBubbleSize val="0"/>
        </c:dLbls>
        <c:gapWidth val="219"/>
        <c:overlap val="-27"/>
        <c:axId val="635599280"/>
        <c:axId val="635598320"/>
      </c:barChart>
      <c:catAx>
        <c:axId val="63559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635598320"/>
        <c:crosses val="autoZero"/>
        <c:auto val="1"/>
        <c:lblAlgn val="ctr"/>
        <c:lblOffset val="100"/>
        <c:noMultiLvlLbl val="0"/>
      </c:catAx>
      <c:valAx>
        <c:axId val="635598320"/>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0&quot;%&quot;\ "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635599280"/>
        <c:crosses val="autoZero"/>
        <c:crossBetween val="between"/>
        <c:majorUnit val="20"/>
        <c:minorUnit val="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lv-LV"/>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v-LV"/>
        </a:p>
      </c:txPr>
    </c:title>
    <c:autoTitleDeleted val="0"/>
    <c:plotArea>
      <c:layout/>
      <c:barChart>
        <c:barDir val="col"/>
        <c:grouping val="clustered"/>
        <c:varyColors val="0"/>
        <c:ser>
          <c:idx val="0"/>
          <c:order val="0"/>
          <c:tx>
            <c:strRef>
              <c:f>Sheet1!$B$1</c:f>
              <c:strCache>
                <c:ptCount val="1"/>
                <c:pt idx="0">
                  <c:v>Procenti</c:v>
                </c:pt>
              </c:strCache>
            </c:strRef>
          </c:tx>
          <c:spPr>
            <a:solidFill>
              <a:schemeClr val="accent1"/>
            </a:solidFill>
            <a:ln>
              <a:solidFill>
                <a:schemeClr val="tx1">
                  <a:lumMod val="15000"/>
                  <a:lumOff val="85000"/>
                </a:schemeClr>
              </a:solidFill>
              <a:round/>
            </a:ln>
            <a:effectLst/>
          </c:spPr>
          <c:invertIfNegative val="0"/>
          <c:cat>
            <c:strRef>
              <c:f>Sheet1!$A$2:$A$28</c:f>
              <c:strCache>
                <c:ptCount val="27"/>
                <c:pt idx="0">
                  <c:v>BE</c:v>
                </c:pt>
                <c:pt idx="1">
                  <c:v>LU</c:v>
                </c:pt>
                <c:pt idx="2">
                  <c:v>TU</c:v>
                </c:pt>
                <c:pt idx="3">
                  <c:v>ET</c:v>
                </c:pt>
                <c:pt idx="4">
                  <c:v>IT</c:v>
                </c:pt>
                <c:pt idx="5">
                  <c:v>DK</c:v>
                </c:pt>
                <c:pt idx="6">
                  <c:v>IE</c:v>
                </c:pt>
                <c:pt idx="7">
                  <c:v>DE</c:v>
                </c:pt>
                <c:pt idx="8">
                  <c:v>LT</c:v>
                </c:pt>
                <c:pt idx="9">
                  <c:v>AT</c:v>
                </c:pt>
                <c:pt idx="10">
                  <c:v>CH</c:v>
                </c:pt>
                <c:pt idx="11">
                  <c:v>ES</c:v>
                </c:pt>
                <c:pt idx="12">
                  <c:v>FR</c:v>
                </c:pt>
                <c:pt idx="13">
                  <c:v>FI</c:v>
                </c:pt>
                <c:pt idx="14">
                  <c:v>NG</c:v>
                </c:pt>
                <c:pt idx="15">
                  <c:v>FE</c:v>
                </c:pt>
                <c:pt idx="16">
                  <c:v>BG</c:v>
                </c:pt>
                <c:pt idx="17">
                  <c:v>UK</c:v>
                </c:pt>
                <c:pt idx="18">
                  <c:v>PT</c:v>
                </c:pt>
                <c:pt idx="19">
                  <c:v>RO</c:v>
                </c:pt>
                <c:pt idx="20">
                  <c:v>LV</c:v>
                </c:pt>
                <c:pt idx="21">
                  <c:v>HU</c:v>
                </c:pt>
                <c:pt idx="22">
                  <c:v>HA</c:v>
                </c:pt>
                <c:pt idx="23">
                  <c:v>SI</c:v>
                </c:pt>
                <c:pt idx="24">
                  <c:v>PL</c:v>
                </c:pt>
                <c:pt idx="25">
                  <c:v>CZ</c:v>
                </c:pt>
                <c:pt idx="26">
                  <c:v>SK</c:v>
                </c:pt>
              </c:strCache>
            </c:strRef>
          </c:cat>
          <c:val>
            <c:numRef>
              <c:f>Sheet1!$B$2:$B$28</c:f>
              <c:numCache>
                <c:formatCode>0.00%</c:formatCode>
                <c:ptCount val="27"/>
                <c:pt idx="0">
                  <c:v>0.89639999999999997</c:v>
                </c:pt>
                <c:pt idx="1">
                  <c:v>0.85550000000000004</c:v>
                </c:pt>
                <c:pt idx="2">
                  <c:v>0.748</c:v>
                </c:pt>
                <c:pt idx="3">
                  <c:v>0.59970000000000001</c:v>
                </c:pt>
                <c:pt idx="4">
                  <c:v>0.57220000000000004</c:v>
                </c:pt>
                <c:pt idx="5">
                  <c:v>0.56299999999999994</c:v>
                </c:pt>
                <c:pt idx="6">
                  <c:v>0.52439999999999998</c:v>
                </c:pt>
                <c:pt idx="7">
                  <c:v>0.51670000000000005</c:v>
                </c:pt>
                <c:pt idx="8">
                  <c:v>0.48199999999999998</c:v>
                </c:pt>
                <c:pt idx="9">
                  <c:v>0.43990000000000001</c:v>
                </c:pt>
                <c:pt idx="10">
                  <c:v>0.43969999999999998</c:v>
                </c:pt>
                <c:pt idx="11">
                  <c:v>0.43809999999999999</c:v>
                </c:pt>
                <c:pt idx="12">
                  <c:v>0.42430000000000001</c:v>
                </c:pt>
                <c:pt idx="13" formatCode="0%">
                  <c:v>0.42</c:v>
                </c:pt>
                <c:pt idx="14">
                  <c:v>0.37319999999999998</c:v>
                </c:pt>
                <c:pt idx="15">
                  <c:v>0.36530000000000001</c:v>
                </c:pt>
                <c:pt idx="16">
                  <c:v>0.35849999999999999</c:v>
                </c:pt>
                <c:pt idx="17">
                  <c:v>0.35399999999999998</c:v>
                </c:pt>
                <c:pt idx="18">
                  <c:v>0.3367</c:v>
                </c:pt>
                <c:pt idx="19">
                  <c:v>0.32440000000000002</c:v>
                </c:pt>
                <c:pt idx="20">
                  <c:v>0.3024</c:v>
                </c:pt>
                <c:pt idx="21">
                  <c:v>0.28970000000000001</c:v>
                </c:pt>
                <c:pt idx="22">
                  <c:v>0.25240000000000001</c:v>
                </c:pt>
                <c:pt idx="23">
                  <c:v>0.24590000000000001</c:v>
                </c:pt>
                <c:pt idx="24">
                  <c:v>0.23849999999999999</c:v>
                </c:pt>
                <c:pt idx="25">
                  <c:v>0.182</c:v>
                </c:pt>
                <c:pt idx="26">
                  <c:v>0.15049999999999999</c:v>
                </c:pt>
              </c:numCache>
            </c:numRef>
          </c:val>
          <c:extLst>
            <c:ext xmlns:c16="http://schemas.microsoft.com/office/drawing/2014/chart" uri="{C3380CC4-5D6E-409C-BE32-E72D297353CC}">
              <c16:uniqueId val="{00000000-FCC4-434D-AA59-7067811880F1}"/>
            </c:ext>
          </c:extLst>
        </c:ser>
        <c:dLbls>
          <c:showLegendKey val="0"/>
          <c:showVal val="0"/>
          <c:showCatName val="0"/>
          <c:showSerName val="0"/>
          <c:showPercent val="0"/>
          <c:showBubbleSize val="0"/>
        </c:dLbls>
        <c:gapWidth val="219"/>
        <c:overlap val="-12"/>
        <c:axId val="2120198927"/>
        <c:axId val="2120199407"/>
      </c:barChart>
      <c:catAx>
        <c:axId val="2120198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2120199407"/>
        <c:crosses val="autoZero"/>
        <c:auto val="1"/>
        <c:lblAlgn val="ctr"/>
        <c:lblOffset val="100"/>
        <c:noMultiLvlLbl val="0"/>
      </c:catAx>
      <c:valAx>
        <c:axId val="21201994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low"/>
        <c:spPr>
          <a:noFill/>
          <a:ln>
            <a:noFill/>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lv-LV"/>
          </a:p>
        </c:txPr>
        <c:crossAx val="2120198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3043</Words>
  <Characters>1736</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Zunos Lv</dc:creator>
  <cp:keywords/>
  <dc:description/>
  <cp:lastModifiedBy>Zunos Lv</cp:lastModifiedBy>
  <cp:revision>12</cp:revision>
  <dcterms:created xsi:type="dcterms:W3CDTF">2025-01-15T16:10:00Z</dcterms:created>
  <dcterms:modified xsi:type="dcterms:W3CDTF">2025-02-10T19:22:00Z</dcterms:modified>
</cp:coreProperties>
</file>