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0"/>
          <w:szCs w:val="60"/>
        </w:rPr>
        <w:t xml:space="preserve">BUSINESS STATISTICS</w:t>
      </w:r>
    </w:p>
    <w:p>
      <w:pPr>
        <w:spacing w:after="100" w:before="200"/>
        <w:jc w:val="center"/>
      </w:pPr>
      <w:r>
        <w:rPr>
          <w:b/>
          <w:bCs/>
          <w:color w:val="0F766E"/>
          <w:sz w:val="32"/>
          <w:szCs w:val="32"/>
        </w:rPr>
        <w:t xml:space="preserve">Statistics 101 — Complete Foundational Notes</w:t>
      </w:r>
    </w:p>
    <w:p>
      <w:pPr>
        <w:spacing w:after="500"/>
        <w:jc w:val="center"/>
      </w:pPr>
      <w:r>
        <w:rPr>
          <w:i/>
          <w:iCs/>
          <w:color w:val="5A5A5A"/>
          <w:sz w:val="21"/>
          <w:szCs w:val="21"/>
        </w:rPr>
        <w:t xml:space="preserve">From first principles to exam-ready mastery — definitions, theory, formulas, and
fully worked examples, built to international statistical standards and mapped to your PGDM syllabus.</w:t>
      </w:r>
    </w:p>
    <w:tbl>
      <w:tblPr>
        <w:tblW w:type="pct" w:w="78%"/>
        <w:jc w:val="center"/>
        <w:tblBorders>
          <w:top w:val="single" w:color="B8860B" w:sz="8"/>
          <w:left w:val="single" w:color="B8860B" w:sz="8"/>
          <w:bottom w:val="single" w:color="B8860B" w:sz="8"/>
          <w:right w:val="single" w:color="B8860B" w:sz="8"/>
          <w:insideH w:val="none" w:color="FFFFFF" w:sz="0"/>
          <w:insideV w:val="none" w:color="FFFFFF" w:sz="0"/>
        </w:tblBorders>
      </w:tblPr>
      <w:tblGrid>
        <w:gridCol w:w="100"/>
      </w:tblGrid>
      <w:tr>
        <w:tc>
          <w:tcPr>
            <w:shd w:fill="F2F5F7" w:color="auto" w:val="clear"/>
            <w:tcMar>
              <w:top w:type="dxa" w:w="220"/>
              <w:left w:type="dxa" w:w="320"/>
              <w:bottom w:type="dxa" w:w="220"/>
              <w:right w:type="dxa" w:w="320"/>
            </w:tcMar>
          </w:tcPr>
          <w:p>
            <w:pPr>
              <w:spacing w:after="100"/>
              <w:jc w:val="center"/>
            </w:pPr>
            <w:r>
              <w:rPr>
                <w:b/>
                <w:bCs/>
                <w:color w:val="1F3864"/>
                <w:sz w:val="20"/>
                <w:szCs w:val="20"/>
              </w:rPr>
              <w:t xml:space="preserve">TABLE OF CONTENTS</w:t>
            </w:r>
          </w:p>
          <w:p>
            <w:pPr>
              <w:jc w:val="center"/>
            </w:pPr>
            <w:r>
              <w:rPr>
                <w:sz w:val="19"/>
                <w:szCs w:val="19"/>
              </w:rPr>
              <w:t xml:space="preserve">Part I  —  Statistics 101: Foundations (Ch. 1–3)</w:t>
            </w:r>
          </w:p>
          <w:p>
            <w:pPr>
              <w:jc w:val="center"/>
            </w:pPr>
            <w:r>
              <w:rPr>
                <w:sz w:val="19"/>
                <w:szCs w:val="19"/>
              </w:rPr>
              <w:t xml:space="preserve">Part II —  Measures of Central Tendency (Ch. 4)</w:t>
            </w:r>
          </w:p>
          <w:p>
            <w:pPr>
              <w:jc w:val="center"/>
            </w:pPr>
            <w:r>
              <w:rPr>
                <w:sz w:val="19"/>
                <w:szCs w:val="19"/>
              </w:rPr>
              <w:t xml:space="preserve">Part III—  Measures of Dispersion &amp; Shape (Ch. 5)</w:t>
            </w:r>
          </w:p>
          <w:p>
            <w:pPr>
              <w:jc w:val="center"/>
            </w:pPr>
            <w:r>
              <w:rPr>
                <w:sz w:val="19"/>
                <w:szCs w:val="19"/>
              </w:rPr>
              <w:t xml:space="preserve">Part IV —  Skewness, Correlation &amp; Probability (Ch. 6–8)</w:t>
            </w:r>
          </w:p>
          <w:p>
            <w:pPr>
              <w:jc w:val="center"/>
            </w:pPr>
            <w:r>
              <w:rPr>
                <w:sz w:val="19"/>
                <w:szCs w:val="19"/>
              </w:rPr>
              <w:t xml:space="preserve">Part V  —  Business Data Collection &amp; Sampling (Ch. 9–10)</w:t>
            </w:r>
          </w:p>
          <w:p>
            <w:pPr>
              <w:jc w:val="center"/>
            </w:pPr>
            <w:r>
              <w:rPr>
                <w:sz w:val="19"/>
                <w:szCs w:val="19"/>
              </w:rPr>
              <w:t xml:space="preserve">Part VI —  Your PGDM Statistics Roadmap</w:t>
            </w:r>
          </w:p>
        </w:tc>
      </w:tr>
    </w:tbl>
    <w:p>
      <w:pPr>
        <w:spacing w:before="1200"/>
        <w:jc w:val="center"/>
      </w:pPr>
      <w:r>
        <w:rPr>
          <w:color w:val="5A5A5A"/>
          <w:sz w:val="18"/>
          <w:szCs w:val="18"/>
        </w:rPr>
        <w:t xml:space="preserve">Course: GC-105 Business Statistics  |  PGDM Trimester I</w:t>
      </w:r>
    </w:p>
    <w:p>
      <w:pPr>
        <w:jc w:val="center"/>
      </w:pPr>
      <w:r>
        <w:rPr>
          <w:color w:val="5A5A5A"/>
          <w:sz w:val="16"/>
          <w:szCs w:val="16"/>
        </w:rPr>
        <w:t xml:space="preserve">Reference texts: N.G. Das — Statistical Methods | S.P. Gupta — Statistical Methods | S.C. Gupta &amp; V.K. Kapoor — Fundamentals of Applied Statistics | McClave, Benson &amp; Sincich — Statistics for Business and Economics</w:t>
      </w:r>
    </w:p>
    <w:p>
      <w:r>
        <w:br w:type="page"/>
      </w:r>
    </w:p>
    <w:p>
      <w:pPr>
        <w:pStyle w:val="Heading1"/>
        <w:pBdr>
          <w:bottom w:val="single" w:color="1F3864" w:sz="12" w:space="4"/>
        </w:pBdr>
        <w:spacing w:after="200" w:before="200"/>
      </w:pPr>
      <w:r>
        <w:rPr>
          <w:b/>
          <w:bCs/>
          <w:color w:val="1F3864"/>
          <w:sz w:val="32"/>
          <w:szCs w:val="32"/>
        </w:rPr>
        <w:t xml:space="preserve">How To Use These Notes</w:t>
      </w:r>
    </w:p>
    <w:p>
      <w:pPr>
        <w:spacing w:after="140"/>
      </w:pPr>
      <w:r>
        <w:rPr>
          <w:color w:val="222222"/>
          <w:sz w:val="21"/>
          <w:szCs w:val="21"/>
        </w:rPr>
        <w:t xml:space="preserve">Every chapter in this guide is self-contained and follows one consistent, internationally recognized structure:</w:t>
      </w:r>
    </w:p>
    <w:p>
      <w:pPr>
        <w:pStyle w:val="ListParagraph"/>
        <w:numPr>
          <w:ilvl w:val="0"/>
          <w:numId w:val="2"/>
        </w:numPr>
        <w:spacing w:after="60"/>
      </w:pPr>
      <w:r>
        <w:rPr>
          <w:color w:val="222222"/>
          <w:sz w:val="21"/>
          <w:szCs w:val="21"/>
        </w:rPr>
        <w:t xml:space="preserve">Definition &amp; Theory — explained in plain language, cross-checked against how leading statisticians define each concept.</w:t>
      </w:r>
    </w:p>
    <w:p>
      <w:pPr>
        <w:pStyle w:val="ListParagraph"/>
        <w:numPr>
          <w:ilvl w:val="0"/>
          <w:numId w:val="2"/>
        </w:numPr>
        <w:spacing w:after="60"/>
      </w:pPr>
      <w:r>
        <w:rPr>
          <w:color w:val="222222"/>
          <w:sz w:val="21"/>
          <w:szCs w:val="21"/>
        </w:rPr>
        <w:t xml:space="preserve">Formula — boxed and colour-highlighted for fast recall before exams.</w:t>
      </w:r>
    </w:p>
    <w:p>
      <w:pPr>
        <w:pStyle w:val="ListParagraph"/>
        <w:numPr>
          <w:ilvl w:val="0"/>
          <w:numId w:val="2"/>
        </w:numPr>
        <w:spacing w:after="60"/>
      </w:pPr>
      <w:r>
        <w:rPr>
          <w:color w:val="222222"/>
          <w:sz w:val="21"/>
          <w:szCs w:val="21"/>
        </w:rPr>
        <w:t xml:space="preserve">Worked Example — solved step-by-step on a small, realistic business dataset.</w:t>
      </w:r>
    </w:p>
    <w:p>
      <w:pPr>
        <w:pStyle w:val="ListParagraph"/>
        <w:numPr>
          <w:ilvl w:val="0"/>
          <w:numId w:val="2"/>
        </w:numPr>
        <w:spacing w:after="60"/>
      </w:pPr>
      <w:r>
        <w:rPr>
          <w:color w:val="222222"/>
          <w:sz w:val="21"/>
          <w:szCs w:val="21"/>
        </w:rPr>
        <w:t xml:space="preserve">Looking Ahead in your PGDM — shows exactly where this concept resurfaces in later subjects.</w:t>
      </w:r>
    </w:p>
    <w:p>
      <w:pPr>
        <w:spacing w:after="120"/>
      </w:pPr>
    </w:p>
    <w:p>
      <w:pPr>
        <w:spacing w:after="100" w:before="200"/>
      </w:pPr>
      <w:r>
        <w:rPr>
          <w:b/>
          <w:bCs/>
          <w:color w:val="B8860B"/>
          <w:sz w:val="22"/>
          <w:szCs w:val="22"/>
        </w:rPr>
        <w:t xml:space="preserve">Notation used throughout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900"/>
        <w:gridCol w:w="6450"/>
      </w:tblGrid>
      <w:tr>
        <w:trPr>
          <w:tblHeader/>
        </w:trPr>
        <w:tc>
          <w:tcPr>
            <w:tcW w:type="dxa" w:w="2900"/>
            <w:shd w:fill="1F3864" w:color="auto" w:val="clear"/>
            <w:tcMar>
              <w:top w:type="dxa" w:w="80"/>
              <w:left w:type="dxa" w:w="100"/>
              <w:bottom w:type="dxa" w:w="80"/>
              <w:right w:type="dxa" w:w="100"/>
            </w:tcMar>
            <w:vAlign w:val="center"/>
          </w:tcPr>
          <w:p>
            <w:pPr>
              <w:jc w:val="center"/>
            </w:pPr>
            <w:r>
              <w:rPr>
                <w:b/>
                <w:bCs/>
                <w:color w:val="FFFFFF"/>
                <w:sz w:val="19"/>
                <w:szCs w:val="19"/>
              </w:rPr>
              <w:t xml:space="preserve">Symbol</w:t>
            </w:r>
          </w:p>
        </w:tc>
        <w:tc>
          <w:tcPr>
            <w:tcW w:type="dxa" w:w="6450"/>
            <w:shd w:fill="1F3864" w:color="auto" w:val="clear"/>
            <w:tcMar>
              <w:top w:type="dxa" w:w="80"/>
              <w:left w:type="dxa" w:w="100"/>
              <w:bottom w:type="dxa" w:w="80"/>
              <w:right w:type="dxa" w:w="100"/>
            </w:tcMar>
            <w:vAlign w:val="center"/>
          </w:tcPr>
          <w:p>
            <w:pPr>
              <w:jc w:val="center"/>
            </w:pPr>
            <w:r>
              <w:rPr>
                <w:b/>
                <w:bCs/>
                <w:color w:val="FFFFFF"/>
                <w:sz w:val="19"/>
                <w:szCs w:val="19"/>
              </w:rPr>
              <w:t xml:space="preserve">Meaning</w:t>
            </w:r>
          </w:p>
        </w:tc>
      </w:tr>
      <w:tr>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n / N</w:t>
            </w:r>
          </w:p>
        </w:tc>
        <w:tc>
          <w:tcPr>
            <w:tcW w:type="dxa" w:w="6450"/>
            <w:shd w:fill="FFFFFF" w:color="auto" w:val="clear"/>
            <w:tcMar>
              <w:top w:type="dxa" w:w="70"/>
              <w:left w:type="dxa" w:w="100"/>
              <w:bottom w:type="dxa" w:w="70"/>
              <w:right w:type="dxa" w:w="100"/>
            </w:tcMar>
            <w:vAlign w:val="center"/>
          </w:tcPr>
          <w:p>
            <w:pPr>
              <w:jc w:val="center"/>
            </w:pPr>
            <w:r>
              <w:rPr>
                <w:color w:val="222222"/>
                <w:sz w:val="19"/>
                <w:szCs w:val="19"/>
              </w:rPr>
              <w:t xml:space="preserve">Number of observations / population size</w:t>
            </w:r>
          </w:p>
        </w:tc>
      </w:tr>
      <w:tr>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xᵢ</w:t>
            </w:r>
          </w:p>
        </w:tc>
        <w:tc>
          <w:tcPr>
            <w:tcW w:type="dxa" w:w="6450"/>
            <w:shd w:fill="F2F5F7" w:color="auto" w:val="clear"/>
            <w:tcMar>
              <w:top w:type="dxa" w:w="70"/>
              <w:left w:type="dxa" w:w="100"/>
              <w:bottom w:type="dxa" w:w="70"/>
              <w:right w:type="dxa" w:w="100"/>
            </w:tcMar>
            <w:vAlign w:val="center"/>
          </w:tcPr>
          <w:p>
            <w:pPr>
              <w:jc w:val="center"/>
            </w:pPr>
            <w:r>
              <w:rPr>
                <w:color w:val="222222"/>
                <w:sz w:val="19"/>
                <w:szCs w:val="19"/>
              </w:rPr>
              <w:t xml:space="preserve">Individual data value</w:t>
            </w:r>
          </w:p>
        </w:tc>
      </w:tr>
      <w:tr>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x̄ (x-bar)</w:t>
            </w:r>
          </w:p>
        </w:tc>
        <w:tc>
          <w:tcPr>
            <w:tcW w:type="dxa" w:w="6450"/>
            <w:shd w:fill="FFFFFF" w:color="auto" w:val="clear"/>
            <w:tcMar>
              <w:top w:type="dxa" w:w="70"/>
              <w:left w:type="dxa" w:w="100"/>
              <w:bottom w:type="dxa" w:w="70"/>
              <w:right w:type="dxa" w:w="100"/>
            </w:tcMar>
            <w:vAlign w:val="center"/>
          </w:tcPr>
          <w:p>
            <w:pPr>
              <w:jc w:val="center"/>
            </w:pPr>
            <w:r>
              <w:rPr>
                <w:color w:val="222222"/>
                <w:sz w:val="19"/>
                <w:szCs w:val="19"/>
              </w:rPr>
              <w:t xml:space="preserve">Sample (Arithmetic) mean</w:t>
            </w:r>
          </w:p>
        </w:tc>
      </w:tr>
      <w:tr>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μ (mu), σ (sigma)</w:t>
            </w:r>
          </w:p>
        </w:tc>
        <w:tc>
          <w:tcPr>
            <w:tcW w:type="dxa" w:w="6450"/>
            <w:shd w:fill="F2F5F7" w:color="auto" w:val="clear"/>
            <w:tcMar>
              <w:top w:type="dxa" w:w="70"/>
              <w:left w:type="dxa" w:w="100"/>
              <w:bottom w:type="dxa" w:w="70"/>
              <w:right w:type="dxa" w:w="100"/>
            </w:tcMar>
            <w:vAlign w:val="center"/>
          </w:tcPr>
          <w:p>
            <w:pPr>
              <w:jc w:val="center"/>
            </w:pPr>
            <w:r>
              <w:rPr>
                <w:color w:val="222222"/>
                <w:sz w:val="19"/>
                <w:szCs w:val="19"/>
              </w:rPr>
              <w:t xml:space="preserve">Population mean, population standard deviation</w:t>
            </w:r>
          </w:p>
        </w:tc>
      </w:tr>
      <w:tr>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f</w:t>
            </w:r>
          </w:p>
        </w:tc>
        <w:tc>
          <w:tcPr>
            <w:tcW w:type="dxa" w:w="6450"/>
            <w:shd w:fill="FFFFFF" w:color="auto" w:val="clear"/>
            <w:tcMar>
              <w:top w:type="dxa" w:w="70"/>
              <w:left w:type="dxa" w:w="100"/>
              <w:bottom w:type="dxa" w:w="70"/>
              <w:right w:type="dxa" w:w="100"/>
            </w:tcMar>
            <w:vAlign w:val="center"/>
          </w:tcPr>
          <w:p>
            <w:pPr>
              <w:jc w:val="center"/>
            </w:pPr>
            <w:r>
              <w:rPr>
                <w:color w:val="222222"/>
                <w:sz w:val="19"/>
                <w:szCs w:val="19"/>
              </w:rPr>
              <w:t xml:space="preserve">Frequency of a class or value</w:t>
            </w:r>
          </w:p>
        </w:tc>
      </w:tr>
      <w:tr>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Σ (sigma, capital)</w:t>
            </w:r>
          </w:p>
        </w:tc>
        <w:tc>
          <w:tcPr>
            <w:tcW w:type="dxa" w:w="6450"/>
            <w:shd w:fill="F2F5F7" w:color="auto" w:val="clear"/>
            <w:tcMar>
              <w:top w:type="dxa" w:w="70"/>
              <w:left w:type="dxa" w:w="100"/>
              <w:bottom w:type="dxa" w:w="70"/>
              <w:right w:type="dxa" w:w="100"/>
            </w:tcMar>
            <w:vAlign w:val="center"/>
          </w:tcPr>
          <w:p>
            <w:pPr>
              <w:jc w:val="center"/>
            </w:pPr>
            <w:r>
              <w:rPr>
                <w:color w:val="222222"/>
                <w:sz w:val="19"/>
                <w:szCs w:val="19"/>
              </w:rPr>
              <w:t xml:space="preserve">“Sum of”</w:t>
            </w:r>
          </w:p>
        </w:tc>
      </w:tr>
      <w:tr>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L, h, cf</w:t>
            </w:r>
          </w:p>
        </w:tc>
        <w:tc>
          <w:tcPr>
            <w:tcW w:type="dxa" w:w="6450"/>
            <w:shd w:fill="FFFFFF" w:color="auto" w:val="clear"/>
            <w:tcMar>
              <w:top w:type="dxa" w:w="70"/>
              <w:left w:type="dxa" w:w="100"/>
              <w:bottom w:type="dxa" w:w="70"/>
              <w:right w:type="dxa" w:w="100"/>
            </w:tcMar>
            <w:vAlign w:val="center"/>
          </w:tcPr>
          <w:p>
            <w:pPr>
              <w:jc w:val="center"/>
            </w:pPr>
            <w:r>
              <w:rPr>
                <w:color w:val="222222"/>
                <w:sz w:val="19"/>
                <w:szCs w:val="19"/>
              </w:rPr>
              <w:t xml:space="preserve">Lower boundary of a class, class width, cumulative frequency before that class</w:t>
            </w:r>
          </w:p>
        </w:tc>
      </w:tr>
      <w:tr>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A</w:t>
            </w:r>
          </w:p>
        </w:tc>
        <w:tc>
          <w:tcPr>
            <w:tcW w:type="dxa" w:w="6450"/>
            <w:shd w:fill="F2F5F7" w:color="auto" w:val="clear"/>
            <w:tcMar>
              <w:top w:type="dxa" w:w="70"/>
              <w:left w:type="dxa" w:w="100"/>
              <w:bottom w:type="dxa" w:w="70"/>
              <w:right w:type="dxa" w:w="100"/>
            </w:tcMar>
            <w:vAlign w:val="center"/>
          </w:tcPr>
          <w:p>
            <w:pPr>
              <w:jc w:val="center"/>
            </w:pPr>
            <w:r>
              <w:rPr>
                <w:color w:val="222222"/>
                <w:sz w:val="19"/>
                <w:szCs w:val="19"/>
              </w:rPr>
              <w:t xml:space="preserve">Assumed mean (used in the step-deviation shortcut)</w:t>
            </w:r>
          </w:p>
        </w:tc>
      </w:tr>
    </w:tbl>
    <w:p>
      <w:r>
        <w:br w:type="page"/>
      </w:r>
    </w:p>
    <w:p>
      <w:pPr>
        <w:spacing w:after="40" w:before="200"/>
      </w:pPr>
      <w:r>
        <w:rPr>
          <w:b/>
          <w:bCs/>
          <w:color w:val="B8860B"/>
          <w:spacing w:val="20"/>
          <w:sz w:val="18"/>
          <w:szCs w:val="18"/>
        </w:rPr>
        <w:t xml:space="preserve">PART I — STATISTICS 101: FOUNDATIONS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1   </w:t>
            </w:r>
            <w:r>
              <w:rPr>
                <w:b/>
                <w:bCs/>
                <w:color w:val="FFFFFF"/>
                <w:sz w:val="30"/>
                <w:szCs w:val="30"/>
              </w:rPr>
              <w:t xml:space="preserve">INTRODUCTION TO STATISTICS</w:t>
            </w:r>
          </w:p>
        </w:tc>
      </w:tr>
    </w:tbl>
    <w:p>
      <w:pPr>
        <w:spacing w:after="200"/>
      </w:pPr>
    </w:p>
    <w:p>
      <w:pPr>
        <w:pStyle w:val="Heading2"/>
        <w:spacing w:after="140" w:before="320"/>
      </w:pPr>
      <w:r>
        <w:rPr>
          <w:b/>
          <w:bCs/>
          <w:color w:val="0F766E"/>
          <w:sz w:val="25"/>
          <w:szCs w:val="25"/>
        </w:rPr>
        <w:t xml:space="preserve">1.1 Origin of the Word ‘Statistics’</w:t>
      </w:r>
    </w:p>
    <w:p>
      <w:pPr>
        <w:spacing w:after="140"/>
      </w:pPr>
      <w:r>
        <w:rPr>
          <w:color w:val="222222"/>
          <w:sz w:val="21"/>
          <w:szCs w:val="21"/>
        </w:rPr>
        <w:t xml:space="preserve">The word ‘Statistics’ traces back to the Latin ‘Status’, the Italian ‘Statista’, and the German ‘Statistik’ — all referring to a political State. Historically, statistics meant the facts and figures a state needed about its population, births, deaths, income, and territory in order to govern effectively.</w:t>
      </w:r>
    </w:p>
    <w:p>
      <w:pPr>
        <w:pStyle w:val="Heading2"/>
        <w:spacing w:after="140" w:before="320"/>
      </w:pPr>
      <w:r>
        <w:rPr>
          <w:b/>
          <w:bCs/>
          <w:color w:val="0F766E"/>
          <w:sz w:val="25"/>
          <w:szCs w:val="25"/>
        </w:rPr>
        <w:t xml:space="preserve">1.2 What Is Statistics? — Definitions Across Authorities</w:t>
      </w:r>
    </w:p>
    <w:tbl>
      <w:tblPr>
        <w:tblW w:type="pct" w:w="100%"/>
        <w:tblBorders>
          <w:top w:val="single" w:color="9C8FC7" w:sz="6"/>
          <w:left w:val="single" w:color="9C8FC7" w:sz="6"/>
          <w:bottom w:val="single" w:color="9C8FC7" w:sz="6"/>
          <w:right w:val="single" w:color="9C8FC7" w:sz="6"/>
          <w:insideH w:val="none" w:color="FFFFFF" w:sz="0"/>
          <w:insideV w:val="none" w:color="FFFFFF" w:sz="0"/>
        </w:tblBorders>
      </w:tblPr>
      <w:tblGrid>
        <w:gridCol w:w="100"/>
      </w:tblGrid>
      <w:tr>
        <w:tc>
          <w:tcPr>
            <w:shd w:fill="EFEDF7" w:color="auto" w:val="clear"/>
            <w:tcMar>
              <w:top w:type="dxa" w:w="160"/>
              <w:left w:type="dxa" w:w="220"/>
              <w:bottom w:type="dxa" w:w="160"/>
              <w:right w:type="dxa" w:w="220"/>
            </w:tcMar>
          </w:tcPr>
          <w:p>
            <w:pPr>
              <w:spacing w:after="90"/>
            </w:pPr>
            <w:r>
              <w:rPr>
                <w:b/>
                <w:bCs/>
                <w:color w:val="554A82"/>
                <w:sz w:val="21"/>
                <w:szCs w:val="21"/>
              </w:rPr>
              <w:t xml:space="preserve">📖  DEFINITIONS ACROSS AUTHORITIES</w:t>
            </w:r>
          </w:p>
          <w:p>
            <w:pPr>
              <w:spacing w:after="90"/>
            </w:pPr>
            <w:r>
              <w:rPr>
                <w:i/>
                <w:iCs/>
                <w:color w:val="2B2440"/>
                <w:sz w:val="20"/>
                <w:szCs w:val="20"/>
              </w:rPr>
              <w:t xml:space="preserve">“Statistics is numerical statement of facts in any department of enquiry placed in relation to each other.”</w:t>
            </w:r>
            <w:r>
              <w:rPr>
                <w:b/>
                <w:bCs/>
                <w:color w:val="554A82"/>
                <w:sz w:val="18"/>
                <w:szCs w:val="18"/>
              </w:rPr>
              <w:t xml:space="preserve">  — A. L. Bowley</w:t>
            </w:r>
          </w:p>
          <w:p>
            <w:pPr>
              <w:spacing w:after="90"/>
            </w:pPr>
            <w:r>
              <w:rPr>
                <w:i/>
                <w:iCs/>
                <w:color w:val="2B2440"/>
                <w:sz w:val="20"/>
                <w:szCs w:val="20"/>
              </w:rPr>
              <w:t xml:space="preserve">“Statistics may be defined as the science of collection, presentation, analysis and interpretation of numerical data.”</w:t>
            </w:r>
            <w:r>
              <w:rPr>
                <w:b/>
                <w:bCs/>
                <w:color w:val="554A82"/>
                <w:sz w:val="18"/>
                <w:szCs w:val="18"/>
              </w:rPr>
              <w:t xml:space="preserve">  — Croxton &amp; Cowden</w:t>
            </w:r>
          </w:p>
          <w:p>
            <w:pPr>
              <w:spacing w:after="90"/>
            </w:pPr>
            <w:r>
              <w:rPr>
                <w:i/>
                <w:iCs/>
                <w:color w:val="2B2440"/>
                <w:sz w:val="20"/>
                <w:szCs w:val="20"/>
              </w:rPr>
              <w:t xml:space="preserve">“Statistics are collections of noteworthy facts concerning state, both historical and descriptive.”</w:t>
            </w:r>
            <w:r>
              <w:rPr>
                <w:b/>
                <w:bCs/>
                <w:color w:val="554A82"/>
                <w:sz w:val="18"/>
                <w:szCs w:val="18"/>
              </w:rPr>
              <w:t xml:space="preserve">  — Gottfried Achenwall</w:t>
            </w:r>
          </w:p>
          <w:p>
            <w:pPr>
              <w:spacing w:after="90"/>
            </w:pPr>
            <w:r>
              <w:rPr>
                <w:i/>
                <w:iCs/>
                <w:color w:val="2B2440"/>
                <w:sz w:val="20"/>
                <w:szCs w:val="20"/>
              </w:rPr>
              <w:t xml:space="preserve">“Statistics means quantitative data affected to a marked extent by multiplicity of causes.”</w:t>
            </w:r>
            <w:r>
              <w:rPr>
                <w:b/>
                <w:bCs/>
                <w:color w:val="554A82"/>
                <w:sz w:val="18"/>
                <w:szCs w:val="18"/>
              </w:rPr>
              <w:t xml:space="preserve">  — Yule &amp; Kendall</w:t>
            </w:r>
          </w:p>
          <w:p>
            <w:pPr>
              <w:spacing w:after="90"/>
            </w:pPr>
            <w:r>
              <w:rPr>
                <w:i/>
                <w:iCs/>
                <w:color w:val="2B2440"/>
                <w:sz w:val="20"/>
                <w:szCs w:val="20"/>
              </w:rPr>
              <w:t xml:space="preserve">“Statistics is the science of learning from data, and of measuring, controlling, and communicating uncertainty.”</w:t>
            </w:r>
            <w:r>
              <w:rPr>
                <w:b/>
                <w:bCs/>
                <w:color w:val="554A82"/>
                <w:sz w:val="18"/>
                <w:szCs w:val="18"/>
              </w:rPr>
              <w:t xml:space="preserve">  — American Statistical Association (ASA)</w:t>
            </w:r>
          </w:p>
        </w:tc>
      </w:tr>
    </w:tbl>
    <w:p>
      <w:pPr>
        <w:spacing w:after="120"/>
      </w:pPr>
    </w:p>
    <w:p>
      <w:pPr>
        <w:spacing w:after="140"/>
      </w:pPr>
      <w:r>
        <w:rPr>
          <w:color w:val="222222"/>
          <w:sz w:val="21"/>
          <w:szCs w:val="21"/>
        </w:rPr>
        <w:t xml:space="preserve">Taken together, these definitions converge on one idea: Statistics is the discipline of collecting, organizing, analyzing, interpreting, and presenting numerical data to support sound decision-making under uncertainty.</w:t>
      </w:r>
    </w:p>
    <w:p>
      <w:pPr>
        <w:pStyle w:val="Heading2"/>
        <w:spacing w:after="140" w:before="320"/>
      </w:pPr>
      <w:r>
        <w:rPr>
          <w:b/>
          <w:bCs/>
          <w:color w:val="0F766E"/>
          <w:sz w:val="25"/>
          <w:szCs w:val="25"/>
        </w:rPr>
        <w:t xml:space="preserve">1.3 Statistics: Singular vs. Plural Sense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6950"/>
      </w:tblGrid>
      <w:tr>
        <w:trPr>
          <w:tblHeader/>
        </w:trPr>
        <w:tc>
          <w:tcPr>
            <w:tcW w:type="dxa" w:w="2400"/>
            <w:shd w:fill="1F3864" w:color="auto" w:val="clear"/>
            <w:tcMar>
              <w:top w:type="dxa" w:w="80"/>
              <w:left w:type="dxa" w:w="100"/>
              <w:bottom w:type="dxa" w:w="80"/>
              <w:right w:type="dxa" w:w="100"/>
            </w:tcMar>
            <w:vAlign w:val="center"/>
          </w:tcPr>
          <w:p>
            <w:pPr>
              <w:jc w:val="center"/>
            </w:pPr>
            <w:r>
              <w:rPr>
                <w:b/>
                <w:bCs/>
                <w:color w:val="FFFFFF"/>
                <w:sz w:val="19"/>
                <w:szCs w:val="19"/>
              </w:rPr>
              <w:t xml:space="preserve">Sense</w:t>
            </w:r>
          </w:p>
        </w:tc>
        <w:tc>
          <w:tcPr>
            <w:tcW w:type="dxa" w:w="6950"/>
            <w:shd w:fill="1F3864" w:color="auto" w:val="clear"/>
            <w:tcMar>
              <w:top w:type="dxa" w:w="80"/>
              <w:left w:type="dxa" w:w="100"/>
              <w:bottom w:type="dxa" w:w="80"/>
              <w:right w:type="dxa" w:w="100"/>
            </w:tcMar>
            <w:vAlign w:val="center"/>
          </w:tcPr>
          <w:p>
            <w:pPr>
              <w:jc w:val="center"/>
            </w:pPr>
            <w:r>
              <w:rPr>
                <w:b/>
                <w:bCs/>
                <w:color w:val="FFFFFF"/>
                <w:sz w:val="19"/>
                <w:szCs w:val="19"/>
              </w:rPr>
              <w:t xml:space="preserve">Meaning</w:t>
            </w:r>
          </w:p>
        </w:tc>
      </w:tr>
      <w:tr>
        <w:tc>
          <w:tcPr>
            <w:tcW w:type="dxa" w:w="2400"/>
            <w:shd w:fill="FFFFFF" w:color="auto" w:val="clear"/>
            <w:tcMar>
              <w:top w:type="dxa" w:w="70"/>
              <w:left w:type="dxa" w:w="100"/>
              <w:bottom w:type="dxa" w:w="70"/>
              <w:right w:type="dxa" w:w="100"/>
            </w:tcMar>
            <w:vAlign w:val="center"/>
          </w:tcPr>
          <w:p>
            <w:pPr>
              <w:jc w:val="center"/>
            </w:pPr>
            <w:r>
              <w:rPr>
                <w:color w:val="222222"/>
                <w:sz w:val="19"/>
                <w:szCs w:val="19"/>
              </w:rPr>
              <w:t xml:space="preserve">Plural sense</w:t>
            </w:r>
          </w:p>
        </w:tc>
        <w:tc>
          <w:tcPr>
            <w:tcW w:type="dxa" w:w="6950"/>
            <w:shd w:fill="FFFFFF" w:color="auto" w:val="clear"/>
            <w:tcMar>
              <w:top w:type="dxa" w:w="70"/>
              <w:left w:type="dxa" w:w="100"/>
              <w:bottom w:type="dxa" w:w="70"/>
              <w:right w:type="dxa" w:w="100"/>
            </w:tcMar>
            <w:vAlign w:val="center"/>
          </w:tcPr>
          <w:p>
            <w:pPr>
              <w:jc w:val="center"/>
            </w:pPr>
            <w:r>
              <w:rPr>
                <w:color w:val="222222"/>
                <w:sz w:val="19"/>
                <w:szCs w:val="19"/>
              </w:rPr>
              <w:t xml:space="preserve">Statistics = numerical facts/figures collected systematically for a specific purpose (e.g., ‘sales statistics’).</w:t>
            </w:r>
          </w:p>
        </w:tc>
      </w:tr>
      <w:tr>
        <w:tc>
          <w:tcPr>
            <w:tcW w:type="dxa" w:w="2400"/>
            <w:shd w:fill="F2F5F7" w:color="auto" w:val="clear"/>
            <w:tcMar>
              <w:top w:type="dxa" w:w="70"/>
              <w:left w:type="dxa" w:w="100"/>
              <w:bottom w:type="dxa" w:w="70"/>
              <w:right w:type="dxa" w:w="100"/>
            </w:tcMar>
            <w:vAlign w:val="center"/>
          </w:tcPr>
          <w:p>
            <w:pPr>
              <w:jc w:val="center"/>
            </w:pPr>
            <w:r>
              <w:rPr>
                <w:color w:val="222222"/>
                <w:sz w:val="19"/>
                <w:szCs w:val="19"/>
              </w:rPr>
              <w:t xml:space="preserve">Singular sense</w:t>
            </w:r>
          </w:p>
        </w:tc>
        <w:tc>
          <w:tcPr>
            <w:tcW w:type="dxa" w:w="6950"/>
            <w:shd w:fill="F2F5F7" w:color="auto" w:val="clear"/>
            <w:tcMar>
              <w:top w:type="dxa" w:w="70"/>
              <w:left w:type="dxa" w:w="100"/>
              <w:bottom w:type="dxa" w:w="70"/>
              <w:right w:type="dxa" w:w="100"/>
            </w:tcMar>
            <w:vAlign w:val="center"/>
          </w:tcPr>
          <w:p>
            <w:pPr>
              <w:jc w:val="center"/>
            </w:pPr>
            <w:r>
              <w:rPr>
                <w:color w:val="222222"/>
                <w:sz w:val="19"/>
                <w:szCs w:val="19"/>
              </w:rPr>
              <w:t xml:space="preserve">Statistics = the science/method used to collect, analyze, interpret and present numerical data to draw conclusions about a population.</w:t>
            </w:r>
          </w:p>
        </w:tc>
      </w:tr>
    </w:tbl>
    <w:p>
      <w:pPr>
        <w:pStyle w:val="Heading2"/>
        <w:spacing w:after="140" w:before="320"/>
      </w:pPr>
      <w:r>
        <w:rPr>
          <w:b/>
          <w:bCs/>
          <w:color w:val="0F766E"/>
          <w:sz w:val="25"/>
          <w:szCs w:val="25"/>
        </w:rPr>
        <w:t xml:space="preserve">1.4 Nature of Statistics</w:t>
      </w:r>
    </w:p>
    <w:p>
      <w:pPr>
        <w:pStyle w:val="ListParagraph"/>
        <w:numPr>
          <w:ilvl w:val="0"/>
          <w:numId w:val="3"/>
        </w:numPr>
        <w:spacing w:after="60"/>
      </w:pPr>
      <w:r>
        <w:rPr>
          <w:color w:val="222222"/>
          <w:sz w:val="21"/>
          <w:szCs w:val="21"/>
        </w:rPr>
        <w:t xml:space="preserve">Statistics is both a Science and an Art.</w:t>
      </w:r>
    </w:p>
    <w:p>
      <w:pPr>
        <w:pStyle w:val="ListParagraph"/>
        <w:numPr>
          <w:ilvl w:val="0"/>
          <w:numId w:val="3"/>
        </w:numPr>
        <w:spacing w:after="60"/>
      </w:pPr>
      <w:r>
        <w:rPr>
          <w:color w:val="222222"/>
          <w:sz w:val="21"/>
          <w:szCs w:val="21"/>
        </w:rPr>
        <w:t xml:space="preserve">As a Science — its methods are systematic and based on established principles and processes.</w:t>
      </w:r>
    </w:p>
    <w:p>
      <w:pPr>
        <w:pStyle w:val="ListParagraph"/>
        <w:numPr>
          <w:ilvl w:val="0"/>
          <w:numId w:val="3"/>
        </w:numPr>
        <w:spacing w:after="60"/>
      </w:pPr>
      <w:r>
        <w:rPr>
          <w:color w:val="222222"/>
          <w:sz w:val="21"/>
          <w:szCs w:val="21"/>
        </w:rPr>
        <w:t xml:space="preserve">It serves as a foundation for nearly every other applied science (economics, medicine, engineering, management).</w:t>
      </w:r>
    </w:p>
    <w:p>
      <w:pPr>
        <w:pStyle w:val="ListParagraph"/>
        <w:numPr>
          <w:ilvl w:val="0"/>
          <w:numId w:val="3"/>
        </w:numPr>
        <w:spacing w:after="60"/>
      </w:pPr>
      <w:r>
        <w:rPr>
          <w:color w:val="222222"/>
          <w:sz w:val="21"/>
          <w:szCs w:val="21"/>
        </w:rPr>
        <w:t xml:space="preserve">As an Art — it involves judgment: choosing the right method, interpreting results, and guiding action toward an objective.</w:t>
      </w:r>
    </w:p>
    <w:p>
      <w:pPr>
        <w:pStyle w:val="Heading2"/>
        <w:spacing w:after="140" w:before="320"/>
      </w:pPr>
      <w:r>
        <w:rPr>
          <w:b/>
          <w:bCs/>
          <w:color w:val="0F766E"/>
          <w:sz w:val="25"/>
          <w:szCs w:val="25"/>
        </w:rPr>
        <w:t xml:space="preserve">1.5 Characteristics of Statistics</w:t>
      </w:r>
    </w:p>
    <w:p>
      <w:pPr>
        <w:pStyle w:val="ListParagraph"/>
        <w:numPr>
          <w:ilvl w:val="0"/>
          <w:numId w:val="2"/>
        </w:numPr>
        <w:spacing w:after="60"/>
      </w:pPr>
      <w:r>
        <w:rPr>
          <w:color w:val="222222"/>
          <w:sz w:val="21"/>
          <w:szCs w:val="21"/>
        </w:rPr>
        <w:t xml:space="preserve">Statistics are aggregates of facts — a single figure is not ‘statistics’.</w:t>
      </w:r>
    </w:p>
    <w:p>
      <w:pPr>
        <w:pStyle w:val="ListParagraph"/>
        <w:numPr>
          <w:ilvl w:val="0"/>
          <w:numId w:val="2"/>
        </w:numPr>
        <w:spacing w:after="60"/>
      </w:pPr>
      <w:r>
        <w:rPr>
          <w:color w:val="222222"/>
          <w:sz w:val="21"/>
          <w:szCs w:val="21"/>
        </w:rPr>
        <w:t xml:space="preserve">They are numerically expressed, not merely qualitative impressions.</w:t>
      </w:r>
    </w:p>
    <w:p>
      <w:pPr>
        <w:pStyle w:val="ListParagraph"/>
        <w:numPr>
          <w:ilvl w:val="0"/>
          <w:numId w:val="2"/>
        </w:numPr>
        <w:spacing w:after="60"/>
      </w:pPr>
      <w:r>
        <w:rPr>
          <w:color w:val="222222"/>
          <w:sz w:val="21"/>
          <w:szCs w:val="21"/>
        </w:rPr>
        <w:t xml:space="preserve">They are affected by a multiplicity of causes (many factors act together, e.g., sales are affected by price, season, competition, etc.).</w:t>
      </w:r>
    </w:p>
    <w:p>
      <w:pPr>
        <w:pStyle w:val="ListParagraph"/>
        <w:numPr>
          <w:ilvl w:val="0"/>
          <w:numId w:val="2"/>
        </w:numPr>
        <w:spacing w:after="60"/>
      </w:pPr>
      <w:r>
        <w:rPr>
          <w:color w:val="222222"/>
          <w:sz w:val="21"/>
          <w:szCs w:val="21"/>
        </w:rPr>
        <w:t xml:space="preserve">They are enumerated or estimated with a reasonable standard of accuracy.</w:t>
      </w:r>
    </w:p>
    <w:p>
      <w:pPr>
        <w:pStyle w:val="ListParagraph"/>
        <w:numPr>
          <w:ilvl w:val="0"/>
          <w:numId w:val="2"/>
        </w:numPr>
        <w:spacing w:after="60"/>
      </w:pPr>
      <w:r>
        <w:rPr>
          <w:color w:val="222222"/>
          <w:sz w:val="21"/>
          <w:szCs w:val="21"/>
        </w:rPr>
        <w:t xml:space="preserve">They are collected in a systematic manner, not haphazardly.</w:t>
      </w:r>
    </w:p>
    <w:p>
      <w:pPr>
        <w:pStyle w:val="ListParagraph"/>
        <w:numPr>
          <w:ilvl w:val="0"/>
          <w:numId w:val="2"/>
        </w:numPr>
        <w:spacing w:after="60"/>
      </w:pPr>
      <w:r>
        <w:rPr>
          <w:color w:val="222222"/>
          <w:sz w:val="21"/>
          <w:szCs w:val="21"/>
        </w:rPr>
        <w:t xml:space="preserve">They are collected for a pre-determined purpose.</w:t>
      </w:r>
    </w:p>
    <w:p>
      <w:pPr>
        <w:pStyle w:val="ListParagraph"/>
        <w:numPr>
          <w:ilvl w:val="0"/>
          <w:numId w:val="2"/>
        </w:numPr>
        <w:spacing w:after="60"/>
      </w:pPr>
      <w:r>
        <w:rPr>
          <w:color w:val="222222"/>
          <w:sz w:val="21"/>
          <w:szCs w:val="21"/>
        </w:rPr>
        <w:t xml:space="preserve">They are placed in relation to each other so comparisons are possible.</w:t>
      </w:r>
    </w:p>
    <w:p>
      <w:pPr>
        <w:pStyle w:val="Heading2"/>
        <w:spacing w:after="140" w:before="320"/>
      </w:pPr>
      <w:r>
        <w:rPr>
          <w:b/>
          <w:bCs/>
          <w:color w:val="0F766E"/>
          <w:sz w:val="25"/>
          <w:szCs w:val="25"/>
        </w:rPr>
        <w:t xml:space="preserve">1.6 Scope of Statistics</w:t>
      </w:r>
    </w:p>
    <w:p>
      <w:pPr>
        <w:spacing w:after="140"/>
      </w:pPr>
      <w:r>
        <w:rPr>
          <w:color w:val="222222"/>
          <w:sz w:val="21"/>
          <w:szCs w:val="21"/>
        </w:rPr>
        <w:t xml:space="preserve">Statistics is a mathematical science concerned with the collection, analysis, interpretation, and presentation of data. It provides tools for predicting and forecasting economic activity, and is used across academia, government, and business.</w:t>
      </w:r>
    </w:p>
    <w:p>
      <w:pPr>
        <w:pStyle w:val="Heading2"/>
        <w:spacing w:after="140" w:before="320"/>
      </w:pPr>
      <w:r>
        <w:rPr>
          <w:b/>
          <w:bCs/>
          <w:color w:val="0F766E"/>
          <w:sz w:val="25"/>
          <w:szCs w:val="25"/>
        </w:rPr>
        <w:t xml:space="preserve">1.7 Uses of Statistics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Domain</w:t>
            </w:r>
          </w:p>
        </w:tc>
        <w:tc>
          <w:tcPr>
            <w:tcW w:type="dxa" w:w="6750"/>
            <w:shd w:fill="1F3864" w:color="auto" w:val="clear"/>
            <w:tcMar>
              <w:top w:type="dxa" w:w="80"/>
              <w:left w:type="dxa" w:w="100"/>
              <w:bottom w:type="dxa" w:w="80"/>
              <w:right w:type="dxa" w:w="100"/>
            </w:tcMar>
            <w:vAlign w:val="center"/>
          </w:tcPr>
          <w:p>
            <w:pPr>
              <w:jc w:val="center"/>
            </w:pPr>
            <w:r>
              <w:rPr>
                <w:b/>
                <w:bCs/>
                <w:color w:val="FFFFFF"/>
                <w:sz w:val="19"/>
                <w:szCs w:val="19"/>
              </w:rPr>
              <w:t xml:space="preserve">Typical Use</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Business Forecasting</w:t>
            </w:r>
          </w:p>
        </w:tc>
        <w:tc>
          <w:tcPr>
            <w:tcW w:type="dxa" w:w="6750"/>
            <w:shd w:fill="FFFFFF" w:color="auto" w:val="clear"/>
            <w:tcMar>
              <w:top w:type="dxa" w:w="70"/>
              <w:left w:type="dxa" w:w="100"/>
              <w:bottom w:type="dxa" w:w="70"/>
              <w:right w:type="dxa" w:w="100"/>
            </w:tcMar>
            <w:vAlign w:val="center"/>
          </w:tcPr>
          <w:p>
            <w:pPr>
              <w:jc w:val="center"/>
            </w:pPr>
            <w:r>
              <w:rPr>
                <w:color w:val="222222"/>
                <w:sz w:val="19"/>
                <w:szCs w:val="19"/>
              </w:rPr>
              <w:t xml:space="preserve">Predicting future sales, demand, and costs from historical data</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Decision Making</w:t>
            </w:r>
          </w:p>
        </w:tc>
        <w:tc>
          <w:tcPr>
            <w:tcW w:type="dxa" w:w="6750"/>
            <w:shd w:fill="F2F5F7" w:color="auto" w:val="clear"/>
            <w:tcMar>
              <w:top w:type="dxa" w:w="70"/>
              <w:left w:type="dxa" w:w="100"/>
              <w:bottom w:type="dxa" w:w="70"/>
              <w:right w:type="dxa" w:w="100"/>
            </w:tcMar>
            <w:vAlign w:val="center"/>
          </w:tcPr>
          <w:p>
            <w:pPr>
              <w:jc w:val="center"/>
            </w:pPr>
            <w:r>
              <w:rPr>
                <w:color w:val="222222"/>
                <w:sz w:val="19"/>
                <w:szCs w:val="19"/>
              </w:rPr>
              <w:t xml:space="preserve">Comparing options quantitatively rather than on gut feel</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Quality Control</w:t>
            </w:r>
          </w:p>
        </w:tc>
        <w:tc>
          <w:tcPr>
            <w:tcW w:type="dxa" w:w="6750"/>
            <w:shd w:fill="FFFFFF" w:color="auto" w:val="clear"/>
            <w:tcMar>
              <w:top w:type="dxa" w:w="70"/>
              <w:left w:type="dxa" w:w="100"/>
              <w:bottom w:type="dxa" w:w="70"/>
              <w:right w:type="dxa" w:w="100"/>
            </w:tcMar>
            <w:vAlign w:val="center"/>
          </w:tcPr>
          <w:p>
            <w:pPr>
              <w:jc w:val="center"/>
            </w:pPr>
            <w:r>
              <w:rPr>
                <w:color w:val="222222"/>
                <w:sz w:val="19"/>
                <w:szCs w:val="19"/>
              </w:rPr>
              <w:t xml:space="preserve">Monitoring production processes (e.g., Six Sigma control charts)</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Market Study</w:t>
            </w:r>
          </w:p>
        </w:tc>
        <w:tc>
          <w:tcPr>
            <w:tcW w:type="dxa" w:w="6750"/>
            <w:shd w:fill="F2F5F7" w:color="auto" w:val="clear"/>
            <w:tcMar>
              <w:top w:type="dxa" w:w="70"/>
              <w:left w:type="dxa" w:w="100"/>
              <w:bottom w:type="dxa" w:w="70"/>
              <w:right w:type="dxa" w:w="100"/>
            </w:tcMar>
            <w:vAlign w:val="center"/>
          </w:tcPr>
          <w:p>
            <w:pPr>
              <w:jc w:val="center"/>
            </w:pPr>
            <w:r>
              <w:rPr>
                <w:color w:val="222222"/>
                <w:sz w:val="19"/>
                <w:szCs w:val="19"/>
              </w:rPr>
              <w:t xml:space="preserve">Understanding customer segments, preferences, price sensitivity</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Business Cycles</w:t>
            </w:r>
          </w:p>
        </w:tc>
        <w:tc>
          <w:tcPr>
            <w:tcW w:type="dxa" w:w="6750"/>
            <w:shd w:fill="FFFFFF" w:color="auto" w:val="clear"/>
            <w:tcMar>
              <w:top w:type="dxa" w:w="70"/>
              <w:left w:type="dxa" w:w="100"/>
              <w:bottom w:type="dxa" w:w="70"/>
              <w:right w:type="dxa" w:w="100"/>
            </w:tcMar>
            <w:vAlign w:val="center"/>
          </w:tcPr>
          <w:p>
            <w:pPr>
              <w:jc w:val="center"/>
            </w:pPr>
            <w:r>
              <w:rPr>
                <w:color w:val="222222"/>
                <w:sz w:val="19"/>
                <w:szCs w:val="19"/>
              </w:rPr>
              <w:t xml:space="preserve">Studying booms, recessions, and seasonal patterns</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Planning</w:t>
            </w:r>
          </w:p>
        </w:tc>
        <w:tc>
          <w:tcPr>
            <w:tcW w:type="dxa" w:w="6750"/>
            <w:shd w:fill="F2F5F7" w:color="auto" w:val="clear"/>
            <w:tcMar>
              <w:top w:type="dxa" w:w="70"/>
              <w:left w:type="dxa" w:w="100"/>
              <w:bottom w:type="dxa" w:w="70"/>
              <w:right w:type="dxa" w:w="100"/>
            </w:tcMar>
            <w:vAlign w:val="center"/>
          </w:tcPr>
          <w:p>
            <w:pPr>
              <w:jc w:val="center"/>
            </w:pPr>
            <w:r>
              <w:rPr>
                <w:color w:val="222222"/>
                <w:sz w:val="19"/>
                <w:szCs w:val="19"/>
              </w:rPr>
              <w:t xml:space="preserve">Government and corporate resource allocation</w:t>
            </w:r>
          </w:p>
        </w:tc>
      </w:tr>
    </w:tbl>
    <w:p>
      <w:pPr>
        <w:pStyle w:val="Heading2"/>
        <w:spacing w:after="140" w:before="320"/>
      </w:pPr>
      <w:r>
        <w:rPr>
          <w:b/>
          <w:bCs/>
          <w:color w:val="0F766E"/>
          <w:sz w:val="25"/>
          <w:szCs w:val="25"/>
        </w:rPr>
        <w:t xml:space="preserve">1.8 Limitations of Statistics</w:t>
      </w:r>
    </w:p>
    <w:p>
      <w:pPr>
        <w:pStyle w:val="ListParagraph"/>
        <w:numPr>
          <w:ilvl w:val="0"/>
          <w:numId w:val="2"/>
        </w:numPr>
        <w:spacing w:after="60"/>
      </w:pPr>
      <w:r>
        <w:rPr>
          <w:color w:val="222222"/>
          <w:sz w:val="21"/>
          <w:szCs w:val="21"/>
        </w:rPr>
        <w:t xml:space="preserve">It is not useful for studying individual cases — it deals with aggregates and averages.</w:t>
      </w:r>
    </w:p>
    <w:p>
      <w:pPr>
        <w:pStyle w:val="ListParagraph"/>
        <w:numPr>
          <w:ilvl w:val="0"/>
          <w:numId w:val="2"/>
        </w:numPr>
        <w:spacing w:after="60"/>
      </w:pPr>
      <w:r>
        <w:rPr>
          <w:color w:val="222222"/>
          <w:sz w:val="21"/>
          <w:szCs w:val="21"/>
        </w:rPr>
        <w:t xml:space="preserve">It ignores qualitative aspects (honesty, beauty, intelligence) unless converted to a numerical scale.</w:t>
      </w:r>
    </w:p>
    <w:p>
      <w:pPr>
        <w:pStyle w:val="ListParagraph"/>
        <w:numPr>
          <w:ilvl w:val="0"/>
          <w:numId w:val="2"/>
        </w:numPr>
        <w:spacing w:after="60"/>
      </w:pPr>
      <w:r>
        <w:rPr>
          <w:color w:val="222222"/>
          <w:sz w:val="21"/>
          <w:szCs w:val="21"/>
        </w:rPr>
        <w:t xml:space="preserve">Its results are only true on average and in the long run, not for every case.</w:t>
      </w:r>
    </w:p>
    <w:p>
      <w:pPr>
        <w:pStyle w:val="ListParagraph"/>
        <w:numPr>
          <w:ilvl w:val="0"/>
          <w:numId w:val="2"/>
        </w:numPr>
        <w:spacing w:after="60"/>
      </w:pPr>
      <w:r>
        <w:rPr>
          <w:color w:val="222222"/>
          <w:sz w:val="21"/>
          <w:szCs w:val="21"/>
        </w:rPr>
        <w:t xml:space="preserve">Improper or careless use of statistics can be misleading (“Statistics can lie”).</w:t>
      </w:r>
    </w:p>
    <w:p>
      <w:pPr>
        <w:pStyle w:val="ListParagraph"/>
        <w:numPr>
          <w:ilvl w:val="0"/>
          <w:numId w:val="2"/>
        </w:numPr>
        <w:spacing w:after="60"/>
      </w:pPr>
      <w:r>
        <w:rPr>
          <w:color w:val="222222"/>
          <w:sz w:val="21"/>
          <w:szCs w:val="21"/>
        </w:rPr>
        <w:t xml:space="preserve">It is only a means to understanding, not an end in itself.</w:t>
      </w:r>
    </w:p>
    <w:p>
      <w:pPr>
        <w:pStyle w:val="ListParagraph"/>
        <w:numPr>
          <w:ilvl w:val="0"/>
          <w:numId w:val="2"/>
        </w:numPr>
        <w:spacing w:after="60"/>
      </w:pPr>
      <w:r>
        <w:rPr>
          <w:color w:val="222222"/>
          <w:sz w:val="21"/>
          <w:szCs w:val="21"/>
        </w:rPr>
        <w:t xml:space="preserve">It does not, by itself, distinguish between cause and effect — correlation is not causation.</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last limitation — correlation ⥠ causation — becomes one of the most-repeated warnings across every applied subject in your PGDM, from Marketing Research to Business Analytics.</w:t>
            </w:r>
          </w:p>
        </w:tc>
      </w:tr>
    </w:tbl>
    <w:p>
      <w:pPr>
        <w:pStyle w:val="Heading2"/>
        <w:spacing w:after="140" w:before="320"/>
      </w:pPr>
      <w:r>
        <w:rPr>
          <w:b/>
          <w:bCs/>
          <w:color w:val="0F766E"/>
          <w:sz w:val="25"/>
          <w:szCs w:val="25"/>
        </w:rPr>
        <w:t xml:space="preserve">1.9 Types of Statistics — the Two Branches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4300"/>
        <w:gridCol w:w="2450"/>
      </w:tblGrid>
      <w:tr>
        <w:trPr>
          <w:tblHeader/>
        </w:trPr>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Branch</w:t>
            </w:r>
          </w:p>
        </w:tc>
        <w:tc>
          <w:tcPr>
            <w:tcW w:type="dxa" w:w="4300"/>
            <w:shd w:fill="1F3864" w:color="auto" w:val="clear"/>
            <w:tcMar>
              <w:top w:type="dxa" w:w="80"/>
              <w:left w:type="dxa" w:w="100"/>
              <w:bottom w:type="dxa" w:w="80"/>
              <w:right w:type="dxa" w:w="100"/>
            </w:tcMar>
            <w:vAlign w:val="center"/>
          </w:tcPr>
          <w:p>
            <w:pPr>
              <w:jc w:val="center"/>
            </w:pPr>
            <w:r>
              <w:rPr>
                <w:b/>
                <w:bCs/>
                <w:color w:val="FFFFFF"/>
                <w:sz w:val="19"/>
                <w:szCs w:val="19"/>
              </w:rPr>
              <w:t xml:space="preserve">What It Does</w:t>
            </w:r>
          </w:p>
        </w:tc>
        <w:tc>
          <w:tcPr>
            <w:tcW w:type="dxa" w:w="2450"/>
            <w:shd w:fill="1F3864" w:color="auto" w:val="clear"/>
            <w:tcMar>
              <w:top w:type="dxa" w:w="80"/>
              <w:left w:type="dxa" w:w="100"/>
              <w:bottom w:type="dxa" w:w="80"/>
              <w:right w:type="dxa" w:w="100"/>
            </w:tcMar>
            <w:vAlign w:val="center"/>
          </w:tcPr>
          <w:p>
            <w:pPr>
              <w:jc w:val="center"/>
            </w:pPr>
            <w:r>
              <w:rPr>
                <w:b/>
                <w:bCs/>
                <w:color w:val="FFFFFF"/>
                <w:sz w:val="19"/>
                <w:szCs w:val="19"/>
              </w:rPr>
              <w:t xml:space="preserve">Business Example</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Descriptive Statistics</w:t>
            </w:r>
          </w:p>
        </w:tc>
        <w:tc>
          <w:tcPr>
            <w:tcW w:type="dxa" w:w="4300"/>
            <w:shd w:fill="FFFFFF" w:color="auto" w:val="clear"/>
            <w:tcMar>
              <w:top w:type="dxa" w:w="70"/>
              <w:left w:type="dxa" w:w="100"/>
              <w:bottom w:type="dxa" w:w="70"/>
              <w:right w:type="dxa" w:w="100"/>
            </w:tcMar>
            <w:vAlign w:val="center"/>
          </w:tcPr>
          <w:p>
            <w:pPr>
              <w:jc w:val="center"/>
            </w:pPr>
            <w:r>
              <w:rPr>
                <w:color w:val="222222"/>
                <w:sz w:val="19"/>
                <w:szCs w:val="19"/>
              </w:rPr>
              <w:t xml:space="preserve">Organizes, summarizes, and presents data as-is (charts, averages, spread)</w:t>
            </w:r>
          </w:p>
        </w:tc>
        <w:tc>
          <w:tcPr>
            <w:tcW w:type="dxa" w:w="2450"/>
            <w:shd w:fill="FFFFFF" w:color="auto" w:val="clear"/>
            <w:tcMar>
              <w:top w:type="dxa" w:w="70"/>
              <w:left w:type="dxa" w:w="100"/>
              <w:bottom w:type="dxa" w:w="70"/>
              <w:right w:type="dxa" w:w="100"/>
            </w:tcMar>
            <w:vAlign w:val="center"/>
          </w:tcPr>
          <w:p>
            <w:pPr>
              <w:jc w:val="center"/>
            </w:pPr>
            <w:r>
              <w:rPr>
                <w:color w:val="222222"/>
                <w:sz w:val="19"/>
                <w:szCs w:val="19"/>
              </w:rPr>
              <w:t xml:space="preserve">“Average monthly sales were ₹12.4 lakh”</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Inferential Statistics</w:t>
            </w:r>
          </w:p>
        </w:tc>
        <w:tc>
          <w:tcPr>
            <w:tcW w:type="dxa" w:w="4300"/>
            <w:shd w:fill="F2F5F7" w:color="auto" w:val="clear"/>
            <w:tcMar>
              <w:top w:type="dxa" w:w="70"/>
              <w:left w:type="dxa" w:w="100"/>
              <w:bottom w:type="dxa" w:w="70"/>
              <w:right w:type="dxa" w:w="100"/>
            </w:tcMar>
            <w:vAlign w:val="center"/>
          </w:tcPr>
          <w:p>
            <w:pPr>
              <w:jc w:val="center"/>
            </w:pPr>
            <w:r>
              <w:rPr>
                <w:color w:val="222222"/>
                <w:sz w:val="19"/>
                <w:szCs w:val="19"/>
              </w:rPr>
              <w:t xml:space="preserve">Uses a sample to draw conclusions about a larger population, with a stated confidence level</w:t>
            </w:r>
          </w:p>
        </w:tc>
        <w:tc>
          <w:tcPr>
            <w:tcW w:type="dxa" w:w="2450"/>
            <w:shd w:fill="F2F5F7" w:color="auto" w:val="clear"/>
            <w:tcMar>
              <w:top w:type="dxa" w:w="70"/>
              <w:left w:type="dxa" w:w="100"/>
              <w:bottom w:type="dxa" w:w="70"/>
              <w:right w:type="dxa" w:w="100"/>
            </w:tcMar>
            <w:vAlign w:val="center"/>
          </w:tcPr>
          <w:p>
            <w:pPr>
              <w:jc w:val="center"/>
            </w:pPr>
            <w:r>
              <w:rPr>
                <w:color w:val="222222"/>
                <w:sz w:val="19"/>
                <w:szCs w:val="19"/>
              </w:rPr>
              <w:t xml:space="preserve">“We are 95% confident the new ad increases sales”</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Descriptive statistics is what you compute in every dashboard or report. Inferential statistics — hypothesis testing, confidence intervals, regression — is the backbone of Marketing Research, Econometrics, and Business Analytics later in your program.</w:t>
            </w:r>
          </w:p>
        </w:tc>
      </w:tr>
    </w:tbl>
    <w:p>
      <w:pPr>
        <w:pStyle w:val="Heading2"/>
        <w:spacing w:after="140" w:before="320"/>
      </w:pPr>
      <w:r>
        <w:rPr>
          <w:b/>
          <w:bCs/>
          <w:color w:val="0F766E"/>
          <w:sz w:val="25"/>
          <w:szCs w:val="25"/>
        </w:rPr>
        <w:t xml:space="preserve">1.10 Applications of Statistics in Business</w:t>
      </w:r>
    </w:p>
    <w:p>
      <w:pPr>
        <w:pStyle w:val="ListParagraph"/>
        <w:numPr>
          <w:ilvl w:val="0"/>
          <w:numId w:val="2"/>
        </w:numPr>
        <w:spacing w:after="60"/>
      </w:pPr>
      <w:r>
        <w:rPr>
          <w:color w:val="222222"/>
          <w:sz w:val="21"/>
          <w:szCs w:val="21"/>
        </w:rPr>
        <w:t xml:space="preserve">Marketing — customer segmentation, A/B testing, brand tracking</w:t>
      </w:r>
    </w:p>
    <w:p>
      <w:pPr>
        <w:pStyle w:val="ListParagraph"/>
        <w:numPr>
          <w:ilvl w:val="0"/>
          <w:numId w:val="2"/>
        </w:numPr>
        <w:spacing w:after="60"/>
      </w:pPr>
      <w:r>
        <w:rPr>
          <w:color w:val="222222"/>
          <w:sz w:val="21"/>
          <w:szCs w:val="21"/>
        </w:rPr>
        <w:t xml:space="preserve">Finance — risk measurement, portfolio variance, forecasting</w:t>
      </w:r>
    </w:p>
    <w:p>
      <w:pPr>
        <w:pStyle w:val="ListParagraph"/>
        <w:numPr>
          <w:ilvl w:val="0"/>
          <w:numId w:val="2"/>
        </w:numPr>
        <w:spacing w:after="60"/>
      </w:pPr>
      <w:r>
        <w:rPr>
          <w:color w:val="222222"/>
          <w:sz w:val="21"/>
          <w:szCs w:val="21"/>
        </w:rPr>
        <w:t xml:space="preserve">Operations — quality control (Six Sigma), inventory &amp; demand forecasting</w:t>
      </w:r>
    </w:p>
    <w:p>
      <w:pPr>
        <w:pStyle w:val="ListParagraph"/>
        <w:numPr>
          <w:ilvl w:val="0"/>
          <w:numId w:val="2"/>
        </w:numPr>
        <w:spacing w:after="60"/>
      </w:pPr>
      <w:r>
        <w:rPr>
          <w:color w:val="222222"/>
          <w:sz w:val="21"/>
          <w:szCs w:val="21"/>
        </w:rPr>
        <w:t xml:space="preserve">Human Resources — attrition analysis, compensation benchmarking</w:t>
      </w:r>
    </w:p>
    <w:p>
      <w:pPr>
        <w:pStyle w:val="ListParagraph"/>
        <w:numPr>
          <w:ilvl w:val="0"/>
          <w:numId w:val="2"/>
        </w:numPr>
        <w:spacing w:after="60"/>
      </w:pPr>
      <w:r>
        <w:rPr>
          <w:color w:val="222222"/>
          <w:sz w:val="21"/>
          <w:szCs w:val="21"/>
        </w:rPr>
        <w:t xml:space="preserve">Strategy — market sizing, competitive benchmarking</w:t>
      </w:r>
    </w:p>
    <w:p>
      <w:r>
        <w:br w:type="page"/>
      </w:r>
    </w:p>
    <w:p>
      <w:pPr>
        <w:spacing w:after="40" w:before="200"/>
      </w:pPr>
      <w:r>
        <w:rPr>
          <w:b/>
          <w:bCs/>
          <w:color w:val="B8860B"/>
          <w:spacing w:val="20"/>
          <w:sz w:val="18"/>
          <w:szCs w:val="18"/>
        </w:rPr>
        <w:t xml:space="preserve">PART I — STATISTICS 101: FOUNDATIONS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2   </w:t>
            </w:r>
            <w:r>
              <w:rPr>
                <w:b/>
                <w:bCs/>
                <w:color w:val="FFFFFF"/>
                <w:sz w:val="30"/>
                <w:szCs w:val="30"/>
              </w:rPr>
              <w:t xml:space="preserve">DATA &amp; ITS TYPES</w:t>
            </w:r>
          </w:p>
        </w:tc>
      </w:tr>
    </w:tbl>
    <w:p>
      <w:pPr>
        <w:spacing w:after="200"/>
      </w:pPr>
    </w:p>
    <w:p>
      <w:pPr>
        <w:pStyle w:val="Heading2"/>
        <w:spacing w:after="140" w:before="320"/>
      </w:pPr>
      <w:r>
        <w:rPr>
          <w:b/>
          <w:bCs/>
          <w:color w:val="0F766E"/>
          <w:sz w:val="25"/>
          <w:szCs w:val="25"/>
        </w:rPr>
        <w:t xml:space="preserve">2.1 Qualitative (Categorical) Data</w:t>
      </w:r>
    </w:p>
    <w:p>
      <w:pPr>
        <w:spacing w:after="140"/>
      </w:pPr>
      <w:r>
        <w:rPr>
          <w:color w:val="222222"/>
          <w:sz w:val="21"/>
          <w:szCs w:val="21"/>
        </w:rPr>
        <w:t xml:space="preserve">Qualitative data describes attributes, characteristics, or qualities that cannot be measured with numbers.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4150"/>
        <w:gridCol w:w="3000"/>
      </w:tblGrid>
      <w:tr>
        <w:trPr>
          <w:tblHeader/>
        </w:trPr>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Sub-type</w:t>
            </w:r>
          </w:p>
        </w:tc>
        <w:tc>
          <w:tcPr>
            <w:tcW w:type="dxa" w:w="4150"/>
            <w:shd w:fill="1F3864" w:color="auto" w:val="clear"/>
            <w:tcMar>
              <w:top w:type="dxa" w:w="80"/>
              <w:left w:type="dxa" w:w="100"/>
              <w:bottom w:type="dxa" w:w="80"/>
              <w:right w:type="dxa" w:w="100"/>
            </w:tcMar>
            <w:vAlign w:val="center"/>
          </w:tcPr>
          <w:p>
            <w:pPr>
              <w:jc w:val="center"/>
            </w:pPr>
            <w:r>
              <w:rPr>
                <w:b/>
                <w:bCs/>
                <w:color w:val="FFFFFF"/>
                <w:sz w:val="19"/>
                <w:szCs w:val="19"/>
              </w:rPr>
              <w:t xml:space="preserve">Definition</w:t>
            </w:r>
          </w:p>
        </w:tc>
        <w:tc>
          <w:tcPr>
            <w:tcW w:type="dxa" w:w="30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200"/>
            <w:shd w:fill="FFFFFF" w:color="auto" w:val="clear"/>
            <w:tcMar>
              <w:top w:type="dxa" w:w="70"/>
              <w:left w:type="dxa" w:w="100"/>
              <w:bottom w:type="dxa" w:w="70"/>
              <w:right w:type="dxa" w:w="100"/>
            </w:tcMar>
            <w:vAlign w:val="center"/>
          </w:tcPr>
          <w:p>
            <w:pPr>
              <w:jc w:val="center"/>
            </w:pPr>
            <w:r>
              <w:rPr>
                <w:color w:val="222222"/>
                <w:sz w:val="19"/>
                <w:szCs w:val="19"/>
              </w:rPr>
              <w:t xml:space="preserve">Nominal Data</w:t>
            </w:r>
          </w:p>
        </w:tc>
        <w:tc>
          <w:tcPr>
            <w:tcW w:type="dxa" w:w="4150"/>
            <w:shd w:fill="FFFFFF" w:color="auto" w:val="clear"/>
            <w:tcMar>
              <w:top w:type="dxa" w:w="70"/>
              <w:left w:type="dxa" w:w="100"/>
              <w:bottom w:type="dxa" w:w="70"/>
              <w:right w:type="dxa" w:w="100"/>
            </w:tcMar>
            <w:vAlign w:val="center"/>
          </w:tcPr>
          <w:p>
            <w:pPr>
              <w:jc w:val="center"/>
            </w:pPr>
            <w:r>
              <w:rPr>
                <w:color w:val="222222"/>
                <w:sz w:val="19"/>
                <w:szCs w:val="19"/>
              </w:rPr>
              <w:t xml:space="preserve">Categories with no natural order or ranking</w:t>
            </w:r>
          </w:p>
        </w:tc>
        <w:tc>
          <w:tcPr>
            <w:tcW w:type="dxa" w:w="3000"/>
            <w:shd w:fill="FFFFFF" w:color="auto" w:val="clear"/>
            <w:tcMar>
              <w:top w:type="dxa" w:w="70"/>
              <w:left w:type="dxa" w:w="100"/>
              <w:bottom w:type="dxa" w:w="70"/>
              <w:right w:type="dxa" w:w="100"/>
            </w:tcMar>
            <w:vAlign w:val="center"/>
          </w:tcPr>
          <w:p>
            <w:pPr>
              <w:jc w:val="center"/>
            </w:pPr>
            <w:r>
              <w:rPr>
                <w:color w:val="222222"/>
                <w:sz w:val="19"/>
                <w:szCs w:val="19"/>
              </w:rPr>
              <w:t xml:space="preserve">Eye colour, gender, blood type, country of residence</w:t>
            </w:r>
          </w:p>
        </w:tc>
      </w:tr>
      <w:tr>
        <w:tc>
          <w:tcPr>
            <w:tcW w:type="dxa" w:w="2200"/>
            <w:shd w:fill="F2F5F7" w:color="auto" w:val="clear"/>
            <w:tcMar>
              <w:top w:type="dxa" w:w="70"/>
              <w:left w:type="dxa" w:w="100"/>
              <w:bottom w:type="dxa" w:w="70"/>
              <w:right w:type="dxa" w:w="100"/>
            </w:tcMar>
            <w:vAlign w:val="center"/>
          </w:tcPr>
          <w:p>
            <w:pPr>
              <w:jc w:val="center"/>
            </w:pPr>
            <w:r>
              <w:rPr>
                <w:color w:val="222222"/>
                <w:sz w:val="19"/>
                <w:szCs w:val="19"/>
              </w:rPr>
              <w:t xml:space="preserve">Ordinal Data</w:t>
            </w:r>
          </w:p>
        </w:tc>
        <w:tc>
          <w:tcPr>
            <w:tcW w:type="dxa" w:w="4150"/>
            <w:shd w:fill="F2F5F7" w:color="auto" w:val="clear"/>
            <w:tcMar>
              <w:top w:type="dxa" w:w="70"/>
              <w:left w:type="dxa" w:w="100"/>
              <w:bottom w:type="dxa" w:w="70"/>
              <w:right w:type="dxa" w:w="100"/>
            </w:tcMar>
            <w:vAlign w:val="center"/>
          </w:tcPr>
          <w:p>
            <w:pPr>
              <w:jc w:val="center"/>
            </w:pPr>
            <w:r>
              <w:rPr>
                <w:color w:val="222222"/>
                <w:sz w:val="19"/>
                <w:szCs w:val="19"/>
              </w:rPr>
              <w:t xml:space="preserve">Categories with a distinct, meaningful order, but unequal gaps</w:t>
            </w:r>
          </w:p>
        </w:tc>
        <w:tc>
          <w:tcPr>
            <w:tcW w:type="dxa" w:w="3000"/>
            <w:shd w:fill="F2F5F7" w:color="auto" w:val="clear"/>
            <w:tcMar>
              <w:top w:type="dxa" w:w="70"/>
              <w:left w:type="dxa" w:w="100"/>
              <w:bottom w:type="dxa" w:w="70"/>
              <w:right w:type="dxa" w:w="100"/>
            </w:tcMar>
            <w:vAlign w:val="center"/>
          </w:tcPr>
          <w:p>
            <w:pPr>
              <w:jc w:val="center"/>
            </w:pPr>
            <w:r>
              <w:rPr>
                <w:color w:val="222222"/>
                <w:sz w:val="19"/>
                <w:szCs w:val="19"/>
              </w:rPr>
              <w:t xml:space="preserve">Customer satisfaction (Poor/Fair/Good), exam grades (A/B/C)</w:t>
            </w:r>
          </w:p>
        </w:tc>
      </w:tr>
    </w:tbl>
    <w:p>
      <w:pPr>
        <w:pStyle w:val="Heading2"/>
        <w:spacing w:after="140" w:before="320"/>
      </w:pPr>
      <w:r>
        <w:rPr>
          <w:b/>
          <w:bCs/>
          <w:color w:val="0F766E"/>
          <w:sz w:val="25"/>
          <w:szCs w:val="25"/>
        </w:rPr>
        <w:t xml:space="preserve">2.2 Quantitative (Numerical) Data</w:t>
      </w:r>
    </w:p>
    <w:p>
      <w:pPr>
        <w:spacing w:after="140"/>
      </w:pPr>
      <w:r>
        <w:rPr>
          <w:color w:val="222222"/>
          <w:sz w:val="21"/>
          <w:szCs w:val="21"/>
        </w:rPr>
        <w:t xml:space="preserve">Quantitative data deals with measurable quantities and counts expressed in numerical values.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4650"/>
        <w:gridCol w:w="2500"/>
      </w:tblGrid>
      <w:tr>
        <w:trPr>
          <w:tblHeader/>
        </w:trPr>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Sub-type</w:t>
            </w:r>
          </w:p>
        </w:tc>
        <w:tc>
          <w:tcPr>
            <w:tcW w:type="dxa" w:w="4650"/>
            <w:shd w:fill="1F3864" w:color="auto" w:val="clear"/>
            <w:tcMar>
              <w:top w:type="dxa" w:w="80"/>
              <w:left w:type="dxa" w:w="100"/>
              <w:bottom w:type="dxa" w:w="80"/>
              <w:right w:type="dxa" w:w="100"/>
            </w:tcMar>
            <w:vAlign w:val="center"/>
          </w:tcPr>
          <w:p>
            <w:pPr>
              <w:jc w:val="center"/>
            </w:pPr>
            <w:r>
              <w:rPr>
                <w:b/>
                <w:bCs/>
                <w:color w:val="FFFFFF"/>
                <w:sz w:val="19"/>
                <w:szCs w:val="19"/>
              </w:rPr>
              <w:t xml:space="preserve">Definition</w:t>
            </w:r>
          </w:p>
        </w:tc>
        <w:tc>
          <w:tcPr>
            <w:tcW w:type="dxa" w:w="25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200"/>
            <w:shd w:fill="FFFFFF" w:color="auto" w:val="clear"/>
            <w:tcMar>
              <w:top w:type="dxa" w:w="70"/>
              <w:left w:type="dxa" w:w="100"/>
              <w:bottom w:type="dxa" w:w="70"/>
              <w:right w:type="dxa" w:w="100"/>
            </w:tcMar>
            <w:vAlign w:val="center"/>
          </w:tcPr>
          <w:p>
            <w:pPr>
              <w:jc w:val="center"/>
            </w:pPr>
            <w:r>
              <w:rPr>
                <w:color w:val="222222"/>
                <w:sz w:val="19"/>
                <w:szCs w:val="19"/>
              </w:rPr>
              <w:t xml:space="preserve">Discrete Data</w:t>
            </w:r>
          </w:p>
        </w:tc>
        <w:tc>
          <w:tcPr>
            <w:tcW w:type="dxa" w:w="4650"/>
            <w:shd w:fill="FFFFFF" w:color="auto" w:val="clear"/>
            <w:tcMar>
              <w:top w:type="dxa" w:w="70"/>
              <w:left w:type="dxa" w:w="100"/>
              <w:bottom w:type="dxa" w:w="70"/>
              <w:right w:type="dxa" w:w="100"/>
            </w:tcMar>
            <w:vAlign w:val="center"/>
          </w:tcPr>
          <w:p>
            <w:pPr>
              <w:jc w:val="center"/>
            </w:pPr>
            <w:r>
              <w:rPr>
                <w:color w:val="222222"/>
                <w:sz w:val="19"/>
                <w:szCs w:val="19"/>
              </w:rPr>
              <w:t xml:space="preserve">Countable values that take only specific, distinct numbers (usually integers)</w:t>
            </w:r>
          </w:p>
        </w:tc>
        <w:tc>
          <w:tcPr>
            <w:tcW w:type="dxa" w:w="2500"/>
            <w:shd w:fill="FFFFFF" w:color="auto" w:val="clear"/>
            <w:tcMar>
              <w:top w:type="dxa" w:w="70"/>
              <w:left w:type="dxa" w:w="100"/>
              <w:bottom w:type="dxa" w:w="70"/>
              <w:right w:type="dxa" w:w="100"/>
            </w:tcMar>
            <w:vAlign w:val="center"/>
          </w:tcPr>
          <w:p>
            <w:pPr>
              <w:jc w:val="center"/>
            </w:pPr>
            <w:r>
              <w:rPr>
                <w:color w:val="222222"/>
                <w:sz w:val="19"/>
                <w:szCs w:val="19"/>
              </w:rPr>
              <w:t xml:space="preserve">Number of branches, number of products</w:t>
            </w:r>
          </w:p>
        </w:tc>
      </w:tr>
      <w:tr>
        <w:tc>
          <w:tcPr>
            <w:tcW w:type="dxa" w:w="2200"/>
            <w:shd w:fill="F2F5F7" w:color="auto" w:val="clear"/>
            <w:tcMar>
              <w:top w:type="dxa" w:w="70"/>
              <w:left w:type="dxa" w:w="100"/>
              <w:bottom w:type="dxa" w:w="70"/>
              <w:right w:type="dxa" w:w="100"/>
            </w:tcMar>
            <w:vAlign w:val="center"/>
          </w:tcPr>
          <w:p>
            <w:pPr>
              <w:jc w:val="center"/>
            </w:pPr>
            <w:r>
              <w:rPr>
                <w:color w:val="222222"/>
                <w:sz w:val="19"/>
                <w:szCs w:val="19"/>
              </w:rPr>
              <w:t xml:space="preserve">Continuous Data</w:t>
            </w:r>
          </w:p>
        </w:tc>
        <w:tc>
          <w:tcPr>
            <w:tcW w:type="dxa" w:w="4650"/>
            <w:shd w:fill="F2F5F7" w:color="auto" w:val="clear"/>
            <w:tcMar>
              <w:top w:type="dxa" w:w="70"/>
              <w:left w:type="dxa" w:w="100"/>
              <w:bottom w:type="dxa" w:w="70"/>
              <w:right w:type="dxa" w:w="100"/>
            </w:tcMar>
            <w:vAlign w:val="center"/>
          </w:tcPr>
          <w:p>
            <w:pPr>
              <w:jc w:val="center"/>
            </w:pPr>
            <w:r>
              <w:rPr>
                <w:color w:val="222222"/>
                <w:sz w:val="19"/>
                <w:szCs w:val="19"/>
              </w:rPr>
              <w:t xml:space="preserve">Measurable values that can take any value within a range, including decimals</w:t>
            </w:r>
          </w:p>
        </w:tc>
        <w:tc>
          <w:tcPr>
            <w:tcW w:type="dxa" w:w="2500"/>
            <w:shd w:fill="F2F5F7" w:color="auto" w:val="clear"/>
            <w:tcMar>
              <w:top w:type="dxa" w:w="70"/>
              <w:left w:type="dxa" w:w="100"/>
              <w:bottom w:type="dxa" w:w="70"/>
              <w:right w:type="dxa" w:w="100"/>
            </w:tcMar>
            <w:vAlign w:val="center"/>
          </w:tcPr>
          <w:p>
            <w:pPr>
              <w:jc w:val="center"/>
            </w:pPr>
            <w:r>
              <w:rPr>
                <w:color w:val="222222"/>
                <w:sz w:val="19"/>
                <w:szCs w:val="19"/>
              </w:rPr>
              <w:t xml:space="preserve">Amount of sales, price range of a product</w:t>
            </w:r>
          </w:p>
        </w:tc>
      </w:tr>
    </w:tbl>
    <w:p>
      <w:pPr>
        <w:pStyle w:val="Heading2"/>
        <w:spacing w:after="140" w:before="320"/>
      </w:pPr>
      <w:r>
        <w:rPr>
          <w:b/>
          <w:bCs/>
          <w:color w:val="0F766E"/>
          <w:sz w:val="25"/>
          <w:szCs w:val="25"/>
        </w:rPr>
        <w:t xml:space="preserve">2.3 Levels of Measurement (Stevens’ Scale — the International Standard)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600"/>
        <w:gridCol w:w="2300"/>
        <w:gridCol w:w="2900"/>
        <w:gridCol w:w="2550"/>
      </w:tblGrid>
      <w:tr>
        <w:trPr>
          <w:tblHeader/>
        </w:trPr>
        <w:tc>
          <w:tcPr>
            <w:tcW w:type="dxa" w:w="1600"/>
            <w:shd w:fill="1F3864" w:color="auto" w:val="clear"/>
            <w:tcMar>
              <w:top w:type="dxa" w:w="80"/>
              <w:left w:type="dxa" w:w="100"/>
              <w:bottom w:type="dxa" w:w="80"/>
              <w:right w:type="dxa" w:w="100"/>
            </w:tcMar>
            <w:vAlign w:val="center"/>
          </w:tcPr>
          <w:p>
            <w:pPr>
              <w:jc w:val="center"/>
            </w:pPr>
            <w:r>
              <w:rPr>
                <w:b/>
                <w:bCs/>
                <w:color w:val="FFFFFF"/>
                <w:sz w:val="19"/>
                <w:szCs w:val="19"/>
              </w:rPr>
              <w:t xml:space="preserve">Scale</w:t>
            </w:r>
          </w:p>
        </w:tc>
        <w:tc>
          <w:tcPr>
            <w:tcW w:type="dxa" w:w="2300"/>
            <w:shd w:fill="1F3864" w:color="auto" w:val="clear"/>
            <w:tcMar>
              <w:top w:type="dxa" w:w="80"/>
              <w:left w:type="dxa" w:w="100"/>
              <w:bottom w:type="dxa" w:w="80"/>
              <w:right w:type="dxa" w:w="100"/>
            </w:tcMar>
            <w:vAlign w:val="center"/>
          </w:tcPr>
          <w:p>
            <w:pPr>
              <w:jc w:val="center"/>
            </w:pPr>
            <w:r>
              <w:rPr>
                <w:b/>
                <w:bCs/>
                <w:color w:val="FFFFFF"/>
                <w:sz w:val="19"/>
                <w:szCs w:val="19"/>
              </w:rPr>
              <w:t xml:space="preserve">Property</w:t>
            </w:r>
          </w:p>
        </w:tc>
        <w:tc>
          <w:tcPr>
            <w:tcW w:type="dxa" w:w="29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c>
          <w:tcPr>
            <w:tcW w:type="dxa" w:w="2550"/>
            <w:shd w:fill="1F3864" w:color="auto" w:val="clear"/>
            <w:tcMar>
              <w:top w:type="dxa" w:w="80"/>
              <w:left w:type="dxa" w:w="100"/>
              <w:bottom w:type="dxa" w:w="80"/>
              <w:right w:type="dxa" w:w="100"/>
            </w:tcMar>
            <w:vAlign w:val="center"/>
          </w:tcPr>
          <w:p>
            <w:pPr>
              <w:jc w:val="center"/>
            </w:pPr>
            <w:r>
              <w:rPr>
                <w:b/>
                <w:bCs/>
                <w:color w:val="FFFFFF"/>
                <w:sz w:val="19"/>
                <w:szCs w:val="19"/>
              </w:rPr>
              <w:t xml:space="preserve">Valid Operations</w:t>
            </w:r>
          </w:p>
        </w:tc>
      </w:tr>
      <w:tr>
        <w:tc>
          <w:tcPr>
            <w:tcW w:type="dxa" w:w="1600"/>
            <w:shd w:fill="FFFFFF" w:color="auto" w:val="clear"/>
            <w:tcMar>
              <w:top w:type="dxa" w:w="70"/>
              <w:left w:type="dxa" w:w="100"/>
              <w:bottom w:type="dxa" w:w="70"/>
              <w:right w:type="dxa" w:w="100"/>
            </w:tcMar>
            <w:vAlign w:val="center"/>
          </w:tcPr>
          <w:p>
            <w:pPr>
              <w:jc w:val="center"/>
            </w:pPr>
            <w:r>
              <w:rPr>
                <w:color w:val="222222"/>
                <w:sz w:val="19"/>
                <w:szCs w:val="19"/>
              </w:rPr>
              <w:t xml:space="preserve">Nominal</w:t>
            </w:r>
          </w:p>
        </w:tc>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Labels only, no order</w:t>
            </w:r>
          </w:p>
        </w:tc>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Blood group, brand name</w:t>
            </w:r>
          </w:p>
        </w:tc>
        <w:tc>
          <w:tcPr>
            <w:tcW w:type="dxa" w:w="2550"/>
            <w:shd w:fill="FFFFFF" w:color="auto" w:val="clear"/>
            <w:tcMar>
              <w:top w:type="dxa" w:w="70"/>
              <w:left w:type="dxa" w:w="100"/>
              <w:bottom w:type="dxa" w:w="70"/>
              <w:right w:type="dxa" w:w="100"/>
            </w:tcMar>
            <w:vAlign w:val="center"/>
          </w:tcPr>
          <w:p>
            <w:pPr>
              <w:jc w:val="center"/>
            </w:pPr>
            <w:r>
              <w:rPr>
                <w:color w:val="222222"/>
                <w:sz w:val="19"/>
                <w:szCs w:val="19"/>
              </w:rPr>
              <w:t xml:space="preserve">Count, Mode</w:t>
            </w:r>
          </w:p>
        </w:tc>
      </w:tr>
      <w:tr>
        <w:tc>
          <w:tcPr>
            <w:tcW w:type="dxa" w:w="1600"/>
            <w:shd w:fill="F2F5F7" w:color="auto" w:val="clear"/>
            <w:tcMar>
              <w:top w:type="dxa" w:w="70"/>
              <w:left w:type="dxa" w:w="100"/>
              <w:bottom w:type="dxa" w:w="70"/>
              <w:right w:type="dxa" w:w="100"/>
            </w:tcMar>
            <w:vAlign w:val="center"/>
          </w:tcPr>
          <w:p>
            <w:pPr>
              <w:jc w:val="center"/>
            </w:pPr>
            <w:r>
              <w:rPr>
                <w:color w:val="222222"/>
                <w:sz w:val="19"/>
                <w:szCs w:val="19"/>
              </w:rPr>
              <w:t xml:space="preserve">Ordinal</w:t>
            </w:r>
          </w:p>
        </w:tc>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Ordered, unequal gaps</w:t>
            </w:r>
          </w:p>
        </w:tc>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Satisfaction rating (Low/Med/High)</w:t>
            </w:r>
          </w:p>
        </w:tc>
        <w:tc>
          <w:tcPr>
            <w:tcW w:type="dxa" w:w="2550"/>
            <w:shd w:fill="F2F5F7" w:color="auto" w:val="clear"/>
            <w:tcMar>
              <w:top w:type="dxa" w:w="70"/>
              <w:left w:type="dxa" w:w="100"/>
              <w:bottom w:type="dxa" w:w="70"/>
              <w:right w:type="dxa" w:w="100"/>
            </w:tcMar>
            <w:vAlign w:val="center"/>
          </w:tcPr>
          <w:p>
            <w:pPr>
              <w:jc w:val="center"/>
            </w:pPr>
            <w:r>
              <w:rPr>
                <w:color w:val="222222"/>
                <w:sz w:val="19"/>
                <w:szCs w:val="19"/>
              </w:rPr>
              <w:t xml:space="preserve">Median, Mode, ranking</w:t>
            </w:r>
          </w:p>
        </w:tc>
      </w:tr>
      <w:tr>
        <w:tc>
          <w:tcPr>
            <w:tcW w:type="dxa" w:w="1600"/>
            <w:shd w:fill="FFFFFF" w:color="auto" w:val="clear"/>
            <w:tcMar>
              <w:top w:type="dxa" w:w="70"/>
              <w:left w:type="dxa" w:w="100"/>
              <w:bottom w:type="dxa" w:w="70"/>
              <w:right w:type="dxa" w:w="100"/>
            </w:tcMar>
            <w:vAlign w:val="center"/>
          </w:tcPr>
          <w:p>
            <w:pPr>
              <w:jc w:val="center"/>
            </w:pPr>
            <w:r>
              <w:rPr>
                <w:color w:val="222222"/>
                <w:sz w:val="19"/>
                <w:szCs w:val="19"/>
              </w:rPr>
              <w:t xml:space="preserve">Interval</w:t>
            </w:r>
          </w:p>
        </w:tc>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Ordered, equal gaps, no true zero</w:t>
            </w:r>
          </w:p>
        </w:tc>
        <w:tc>
          <w:tcPr>
            <w:tcW w:type="dxa" w:w="2900"/>
            <w:shd w:fill="FFFFFF" w:color="auto" w:val="clear"/>
            <w:tcMar>
              <w:top w:type="dxa" w:w="70"/>
              <w:left w:type="dxa" w:w="100"/>
              <w:bottom w:type="dxa" w:w="70"/>
              <w:right w:type="dxa" w:w="100"/>
            </w:tcMar>
            <w:vAlign w:val="center"/>
          </w:tcPr>
          <w:p>
            <w:pPr>
              <w:jc w:val="center"/>
            </w:pPr>
            <w:r>
              <w:rPr>
                <w:color w:val="222222"/>
                <w:sz w:val="19"/>
                <w:szCs w:val="19"/>
              </w:rPr>
              <w:t xml:space="preserve">Temperature (°C), calendar year</w:t>
            </w:r>
          </w:p>
        </w:tc>
        <w:tc>
          <w:tcPr>
            <w:tcW w:type="dxa" w:w="2550"/>
            <w:shd w:fill="FFFFFF" w:color="auto" w:val="clear"/>
            <w:tcMar>
              <w:top w:type="dxa" w:w="70"/>
              <w:left w:type="dxa" w:w="100"/>
              <w:bottom w:type="dxa" w:w="70"/>
              <w:right w:type="dxa" w:w="100"/>
            </w:tcMar>
            <w:vAlign w:val="center"/>
          </w:tcPr>
          <w:p>
            <w:pPr>
              <w:jc w:val="center"/>
            </w:pPr>
            <w:r>
              <w:rPr>
                <w:color w:val="222222"/>
                <w:sz w:val="19"/>
                <w:szCs w:val="19"/>
              </w:rPr>
              <w:t xml:space="preserve">Mean, addition/subtraction</w:t>
            </w:r>
          </w:p>
        </w:tc>
      </w:tr>
      <w:tr>
        <w:tc>
          <w:tcPr>
            <w:tcW w:type="dxa" w:w="1600"/>
            <w:shd w:fill="F2F5F7" w:color="auto" w:val="clear"/>
            <w:tcMar>
              <w:top w:type="dxa" w:w="70"/>
              <w:left w:type="dxa" w:w="100"/>
              <w:bottom w:type="dxa" w:w="70"/>
              <w:right w:type="dxa" w:w="100"/>
            </w:tcMar>
            <w:vAlign w:val="center"/>
          </w:tcPr>
          <w:p>
            <w:pPr>
              <w:jc w:val="center"/>
            </w:pPr>
            <w:r>
              <w:rPr>
                <w:color w:val="222222"/>
                <w:sz w:val="19"/>
                <w:szCs w:val="19"/>
              </w:rPr>
              <w:t xml:space="preserve">Ratio</w:t>
            </w:r>
          </w:p>
        </w:tc>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Ordered, equal gaps, true zero</w:t>
            </w:r>
          </w:p>
        </w:tc>
        <w:tc>
          <w:tcPr>
            <w:tcW w:type="dxa" w:w="2900"/>
            <w:shd w:fill="F2F5F7" w:color="auto" w:val="clear"/>
            <w:tcMar>
              <w:top w:type="dxa" w:w="70"/>
              <w:left w:type="dxa" w:w="100"/>
              <w:bottom w:type="dxa" w:w="70"/>
              <w:right w:type="dxa" w:w="100"/>
            </w:tcMar>
            <w:vAlign w:val="center"/>
          </w:tcPr>
          <w:p>
            <w:pPr>
              <w:jc w:val="center"/>
            </w:pPr>
            <w:r>
              <w:rPr>
                <w:color w:val="222222"/>
                <w:sz w:val="19"/>
                <w:szCs w:val="19"/>
              </w:rPr>
              <w:t xml:space="preserve">Sales revenue, age, weight</w:t>
            </w:r>
          </w:p>
        </w:tc>
        <w:tc>
          <w:tcPr>
            <w:tcW w:type="dxa" w:w="2550"/>
            <w:shd w:fill="F2F5F7" w:color="auto" w:val="clear"/>
            <w:tcMar>
              <w:top w:type="dxa" w:w="70"/>
              <w:left w:type="dxa" w:w="100"/>
              <w:bottom w:type="dxa" w:w="70"/>
              <w:right w:type="dxa" w:w="100"/>
            </w:tcMar>
            <w:vAlign w:val="center"/>
          </w:tcPr>
          <w:p>
            <w:pPr>
              <w:jc w:val="center"/>
            </w:pPr>
            <w:r>
              <w:rPr>
                <w:color w:val="222222"/>
                <w:sz w:val="19"/>
                <w:szCs w:val="19"/>
              </w:rPr>
              <w:t xml:space="preserve">Mean, ratios, all operations</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The scale of measurement decides which statistical test is even valid — you cannot average a ‘brand name’, but you can average revenue. This exact rule resurfaces when choosing between a Chi-square test, ANOVA, or regression in Research Methodology.</w:t>
            </w:r>
          </w:p>
        </w:tc>
      </w:tr>
    </w:tbl>
    <w:p>
      <w:pPr>
        <w:pStyle w:val="Heading2"/>
        <w:spacing w:after="140" w:before="320"/>
      </w:pPr>
      <w:r>
        <w:rPr>
          <w:b/>
          <w:bCs/>
          <w:color w:val="0F766E"/>
          <w:sz w:val="25"/>
          <w:szCs w:val="25"/>
        </w:rPr>
        <w:t xml:space="preserve">2.4 Classification of Data by Number of Variables</w:t>
      </w:r>
    </w:p>
    <w:p>
      <w:pPr>
        <w:spacing w:after="140"/>
      </w:pPr>
      <w:r>
        <w:rPr>
          <w:color w:val="222222"/>
          <w:sz w:val="21"/>
          <w:szCs w:val="21"/>
        </w:rPr>
        <w:t xml:space="preserve">This refers to how many characteristics (variables) are being analyzed at the same time.</w:t>
      </w:r>
    </w:p>
    <w:p>
      <w:pPr>
        <w:spacing w:after="100" w:before="200"/>
      </w:pPr>
      <w:r>
        <w:rPr>
          <w:b/>
          <w:bCs/>
          <w:color w:val="B8860B"/>
          <w:sz w:val="22"/>
          <w:szCs w:val="22"/>
        </w:rPr>
        <w:t xml:space="preserve">Univariate Data</w:t>
      </w:r>
    </w:p>
    <w:p>
      <w:pPr>
        <w:spacing w:after="140"/>
      </w:pPr>
      <w:r>
        <w:rPr>
          <w:color w:val="222222"/>
          <w:sz w:val="21"/>
          <w:szCs w:val="21"/>
        </w:rPr>
        <w:t xml:space="preserve">Univariate data involves observations of only one variable. It is the simplest form of statistical analysis since there is no relationship to explore.</w:t>
      </w:r>
    </w:p>
    <w:p>
      <w:pPr>
        <w:pStyle w:val="ListParagraph"/>
        <w:numPr>
          <w:ilvl w:val="0"/>
          <w:numId w:val="2"/>
        </w:numPr>
        <w:spacing w:after="60"/>
      </w:pPr>
      <w:r>
        <w:rPr>
          <w:color w:val="222222"/>
          <w:sz w:val="21"/>
          <w:szCs w:val="21"/>
        </w:rPr>
        <w:t xml:space="preserve">Uses measures of central tendency (mean, median, mode) to find the typical value.</w:t>
      </w:r>
    </w:p>
    <w:p>
      <w:pPr>
        <w:pStyle w:val="ListParagraph"/>
        <w:numPr>
          <w:ilvl w:val="0"/>
          <w:numId w:val="2"/>
        </w:numPr>
        <w:spacing w:after="60"/>
      </w:pPr>
      <w:r>
        <w:rPr>
          <w:color w:val="222222"/>
          <w:sz w:val="21"/>
          <w:szCs w:val="21"/>
        </w:rPr>
        <w:t xml:space="preserve">Uses measures of dispersion (range, variance, standard deviation) to see how data spreads.</w:t>
      </w:r>
    </w:p>
    <w:p>
      <w:pPr>
        <w:spacing w:after="140"/>
      </w:pPr>
      <w:r>
        <w:rPr>
          <w:i/>
          <w:iCs/>
          <w:color w:val="222222"/>
          <w:sz w:val="21"/>
          <w:szCs w:val="21"/>
        </w:rPr>
        <w:t xml:space="preserve">Example: Profit for the year — here the only variable is Profit; no relationship with any other variable is considered.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c>
          <w:tcPr>
            <w:tcW w:type="dxa" w:w="4675"/>
            <w:shd w:fill="F2F5F7" w:color="auto" w:val="clear"/>
            <w:tcMar>
              <w:top w:type="dxa" w:w="140"/>
              <w:left w:type="dxa" w:w="180"/>
              <w:bottom w:type="dxa" w:w="140"/>
              <w:right w:type="dxa" w:w="180"/>
            </w:tcMar>
          </w:tcPr>
          <w:p>
            <w:pPr>
              <w:spacing w:after="80"/>
            </w:pPr>
            <w:r>
              <w:rPr>
                <w:b/>
                <w:bCs/>
                <w:color w:val="1F5C2E"/>
                <w:sz w:val="20"/>
                <w:szCs w:val="20"/>
              </w:rPr>
              <w:t xml:space="preserve">MERITS</w:t>
            </w:r>
          </w:p>
          <w:p>
            <w:pPr>
              <w:spacing w:after="50"/>
            </w:pPr>
            <w:r>
              <w:rPr>
                <w:sz w:val="19"/>
                <w:szCs w:val="19"/>
              </w:rPr>
              <w:t xml:space="preserve">1. Simple and fast to compute</w:t>
            </w:r>
          </w:p>
          <w:p>
            <w:pPr>
              <w:spacing w:after="50"/>
            </w:pPr>
            <w:r>
              <w:rPr>
                <w:sz w:val="19"/>
                <w:szCs w:val="19"/>
              </w:rPr>
              <w:t xml:space="preserve">2. Provides clear summaries and visual representation</w:t>
            </w:r>
          </w:p>
          <w:p>
            <w:pPr>
              <w:spacing w:after="50"/>
            </w:pPr>
            <w:r>
              <w:rPr>
                <w:sz w:val="19"/>
                <w:szCs w:val="19"/>
              </w:rPr>
              <w:t xml:space="preserve">3. Easy for quick decision-making</w:t>
            </w:r>
          </w:p>
        </w:tc>
        <w:tc>
          <w:tcPr>
            <w:tcW w:type="dxa" w:w="4675"/>
            <w:shd w:fill="F2F5F7" w:color="auto" w:val="clear"/>
            <w:tcMar>
              <w:top w:type="dxa" w:w="140"/>
              <w:left w:type="dxa" w:w="180"/>
              <w:bottom w:type="dxa" w:w="140"/>
              <w:right w:type="dxa" w:w="180"/>
            </w:tcMar>
          </w:tcPr>
          <w:p>
            <w:pPr>
              <w:spacing w:after="80"/>
            </w:pPr>
            <w:r>
              <w:rPr>
                <w:b/>
                <w:bCs/>
                <w:color w:val="7A2E2E"/>
                <w:sz w:val="20"/>
                <w:szCs w:val="20"/>
              </w:rPr>
              <w:t xml:space="preserve">DEMERITS</w:t>
            </w:r>
          </w:p>
          <w:p>
            <w:pPr>
              <w:spacing w:after="50"/>
            </w:pPr>
            <w:r>
              <w:rPr>
                <w:sz w:val="19"/>
                <w:szCs w:val="19"/>
              </w:rPr>
              <w:t xml:space="preserve">1. Doesn’t reveal cause-and-effect relationships</w:t>
            </w:r>
          </w:p>
        </w:tc>
      </w:tr>
    </w:tbl>
    <w:p>
      <w:pPr>
        <w:spacing w:after="120"/>
      </w:pPr>
    </w:p>
    <w:p>
      <w:pPr>
        <w:spacing w:after="100" w:before="200"/>
      </w:pPr>
      <w:r>
        <w:rPr>
          <w:b/>
          <w:bCs/>
          <w:color w:val="B8860B"/>
          <w:sz w:val="22"/>
          <w:szCs w:val="22"/>
        </w:rPr>
        <w:t xml:space="preserve">Bivariate Data</w:t>
      </w:r>
    </w:p>
    <w:p>
      <w:pPr>
        <w:spacing w:after="140"/>
      </w:pPr>
      <w:r>
        <w:rPr>
          <w:color w:val="222222"/>
          <w:sz w:val="21"/>
          <w:szCs w:val="21"/>
        </w:rPr>
        <w:t xml:space="preserve">Bivariate data refers to a dataset where each observation is associated with two different variables. The goal is to understand the relationship or association between them.</w:t>
      </w:r>
    </w:p>
    <w:p>
      <w:pPr>
        <w:pStyle w:val="ListParagraph"/>
        <w:numPr>
          <w:ilvl w:val="0"/>
          <w:numId w:val="2"/>
        </w:numPr>
        <w:spacing w:after="60"/>
      </w:pPr>
      <w:r>
        <w:rPr>
          <w:color w:val="222222"/>
          <w:sz w:val="21"/>
          <w:szCs w:val="21"/>
        </w:rPr>
        <w:t xml:space="preserve">Detects whether the relationship is positive, negative, or non-existent.</w:t>
      </w:r>
    </w:p>
    <w:p>
      <w:pPr>
        <w:pStyle w:val="ListParagraph"/>
        <w:numPr>
          <w:ilvl w:val="0"/>
          <w:numId w:val="2"/>
        </w:numPr>
        <w:spacing w:after="60"/>
      </w:pPr>
      <w:r>
        <w:rPr>
          <w:color w:val="222222"/>
          <w:sz w:val="21"/>
          <w:szCs w:val="21"/>
        </w:rPr>
        <w:t xml:space="preserve">Correlation measures the strength and direction of the relationship (range: −1 to +1).</w:t>
      </w:r>
    </w:p>
    <w:p>
      <w:pPr>
        <w:pStyle w:val="ListParagraph"/>
        <w:numPr>
          <w:ilvl w:val="0"/>
          <w:numId w:val="2"/>
        </w:numPr>
        <w:spacing w:after="60"/>
      </w:pPr>
      <w:r>
        <w:rPr>
          <w:color w:val="222222"/>
          <w:sz w:val="21"/>
          <w:szCs w:val="21"/>
        </w:rPr>
        <w:t xml:space="preserve">Scatter plots and regression lines visualize the pattern of change.</w:t>
      </w:r>
    </w:p>
    <w:p>
      <w:pPr>
        <w:pStyle w:val="ListParagraph"/>
        <w:numPr>
          <w:ilvl w:val="0"/>
          <w:numId w:val="2"/>
        </w:numPr>
        <w:spacing w:after="60"/>
      </w:pPr>
      <w:r>
        <w:rPr>
          <w:color w:val="222222"/>
          <w:sz w:val="21"/>
          <w:szCs w:val="21"/>
        </w:rPr>
        <w:t xml:space="preserve">Often used as the foundation before moving to multivariate models.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4675"/>
        <w:gridCol w:w="4675"/>
      </w:tblGrid>
      <w:tr>
        <w:trPr>
          <w:tblHeader/>
        </w:trPr>
        <w:tc>
          <w:tcPr>
            <w:tcW w:type="dxa" w:w="4675"/>
            <w:shd w:fill="1F3864" w:color="auto" w:val="clear"/>
            <w:tcMar>
              <w:top w:type="dxa" w:w="80"/>
              <w:left w:type="dxa" w:w="100"/>
              <w:bottom w:type="dxa" w:w="80"/>
              <w:right w:type="dxa" w:w="100"/>
            </w:tcMar>
            <w:vAlign w:val="center"/>
          </w:tcPr>
          <w:p>
            <w:pPr>
              <w:jc w:val="center"/>
            </w:pPr>
            <w:r>
              <w:rPr>
                <w:b/>
                <w:bCs/>
                <w:color w:val="FFFFFF"/>
                <w:sz w:val="19"/>
                <w:szCs w:val="19"/>
              </w:rPr>
              <w:t xml:space="preserve">Temperature (°C)</w:t>
            </w:r>
          </w:p>
        </w:tc>
        <w:tc>
          <w:tcPr>
            <w:tcW w:type="dxa" w:w="4675"/>
            <w:shd w:fill="1F3864" w:color="auto" w:val="clear"/>
            <w:tcMar>
              <w:top w:type="dxa" w:w="80"/>
              <w:left w:type="dxa" w:w="100"/>
              <w:bottom w:type="dxa" w:w="80"/>
              <w:right w:type="dxa" w:w="100"/>
            </w:tcMar>
            <w:vAlign w:val="center"/>
          </w:tcPr>
          <w:p>
            <w:pPr>
              <w:jc w:val="center"/>
            </w:pPr>
            <w:r>
              <w:rPr>
                <w:b/>
                <w:bCs/>
                <w:color w:val="FFFFFF"/>
                <w:sz w:val="19"/>
                <w:szCs w:val="19"/>
              </w:rPr>
              <w:t xml:space="preserve">Ice-Cream Sales (₹)</w:t>
            </w:r>
          </w:p>
        </w:tc>
      </w:tr>
      <w:tr>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20</w:t>
            </w:r>
          </w:p>
        </w:tc>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2000</w:t>
            </w:r>
          </w:p>
        </w:tc>
      </w:tr>
      <w:tr>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25</w:t>
            </w:r>
          </w:p>
        </w:tc>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2500</w:t>
            </w:r>
          </w:p>
        </w:tc>
      </w:tr>
      <w:tr>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30</w:t>
            </w:r>
          </w:p>
        </w:tc>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4000</w:t>
            </w:r>
          </w:p>
        </w:tc>
      </w:tr>
      <w:tr>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35</w:t>
            </w:r>
          </w:p>
        </w:tc>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5000</w:t>
            </w:r>
          </w:p>
        </w:tc>
      </w:tr>
    </w:tbl>
    <w:p>
      <w:pPr>
        <w:spacing w:after="200" w:before="60"/>
      </w:pPr>
      <w:r>
        <w:rPr>
          <w:i/>
          <w:iCs/>
          <w:color w:val="5A5A5A"/>
          <w:sz w:val="18"/>
          <w:szCs w:val="18"/>
        </w:rPr>
        <w:t xml:space="preserve">As temperature rises, sales rise too — a positive relationship between the two variables.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c>
          <w:tcPr>
            <w:tcW w:type="dxa" w:w="4675"/>
            <w:shd w:fill="F2F5F7" w:color="auto" w:val="clear"/>
            <w:tcMar>
              <w:top w:type="dxa" w:w="140"/>
              <w:left w:type="dxa" w:w="180"/>
              <w:bottom w:type="dxa" w:w="140"/>
              <w:right w:type="dxa" w:w="180"/>
            </w:tcMar>
          </w:tcPr>
          <w:p>
            <w:pPr>
              <w:spacing w:after="80"/>
            </w:pPr>
            <w:r>
              <w:rPr>
                <w:b/>
                <w:bCs/>
                <w:color w:val="1F5C2E"/>
                <w:sz w:val="20"/>
                <w:szCs w:val="20"/>
              </w:rPr>
              <w:t xml:space="preserve">MERITS</w:t>
            </w:r>
          </w:p>
          <w:p>
            <w:pPr>
              <w:spacing w:after="50"/>
            </w:pPr>
            <w:r>
              <w:rPr>
                <w:sz w:val="19"/>
                <w:szCs w:val="19"/>
              </w:rPr>
              <w:t xml:space="preserve">1. Reveals relationships and dependencies between two variables</w:t>
            </w:r>
          </w:p>
          <w:p>
            <w:pPr>
              <w:spacing w:after="50"/>
            </w:pPr>
            <w:r>
              <w:rPr>
                <w:sz w:val="19"/>
                <w:szCs w:val="19"/>
              </w:rPr>
              <w:t xml:space="preserve">2. Useful for preliminary hypothesis testing</w:t>
            </w:r>
          </w:p>
        </w:tc>
        <w:tc>
          <w:tcPr>
            <w:tcW w:type="dxa" w:w="4675"/>
            <w:shd w:fill="F2F5F7" w:color="auto" w:val="clear"/>
            <w:tcMar>
              <w:top w:type="dxa" w:w="140"/>
              <w:left w:type="dxa" w:w="180"/>
              <w:bottom w:type="dxa" w:w="140"/>
              <w:right w:type="dxa" w:w="180"/>
            </w:tcMar>
          </w:tcPr>
          <w:p>
            <w:pPr>
              <w:spacing w:after="80"/>
            </w:pPr>
            <w:r>
              <w:rPr>
                <w:b/>
                <w:bCs/>
                <w:color w:val="7A2E2E"/>
                <w:sz w:val="20"/>
                <w:szCs w:val="20"/>
              </w:rPr>
              <w:t xml:space="preserve">DEMERITS</w:t>
            </w:r>
          </w:p>
          <w:p>
            <w:pPr>
              <w:spacing w:after="50"/>
            </w:pPr>
            <w:r>
              <w:rPr>
                <w:sz w:val="19"/>
                <w:szCs w:val="19"/>
              </w:rPr>
              <w:t xml:space="preserve">1. Limited to only two variables at a time</w:t>
            </w:r>
          </w:p>
          <w:p>
            <w:pPr>
              <w:spacing w:after="50"/>
            </w:pPr>
            <w:r>
              <w:rPr>
                <w:sz w:val="19"/>
                <w:szCs w:val="19"/>
              </w:rPr>
              <w:t xml:space="preserve">2. Cannot explain multi-factor influences</w:t>
            </w:r>
          </w:p>
        </w:tc>
      </w:tr>
    </w:tbl>
    <w:p>
      <w:pPr>
        <w:spacing w:after="120"/>
      </w:pPr>
    </w:p>
    <w:p>
      <w:pPr>
        <w:spacing w:after="100" w:before="200"/>
      </w:pPr>
      <w:r>
        <w:rPr>
          <w:b/>
          <w:bCs/>
          <w:color w:val="B8860B"/>
          <w:sz w:val="22"/>
          <w:szCs w:val="22"/>
        </w:rPr>
        <w:t xml:space="preserve">Multivariate Data</w:t>
      </w:r>
    </w:p>
    <w:p>
      <w:pPr>
        <w:spacing w:after="140"/>
      </w:pPr>
      <w:r>
        <w:rPr>
          <w:color w:val="222222"/>
          <w:sz w:val="21"/>
          <w:szCs w:val="21"/>
        </w:rPr>
        <w:t xml:space="preserve">Multivariate data contains three or more variables per observation. The objective is to uncover how multiple variables interact or jointly affect an outcome — crucial in predictive analytics, econometrics, and data science.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3117"/>
        <w:gridCol w:w="3117"/>
        <w:gridCol w:w="3116"/>
      </w:tblGrid>
      <w:tr>
        <w:trPr>
          <w:tblHeader/>
        </w:trPr>
        <w:tc>
          <w:tcPr>
            <w:tcW w:type="dxa" w:w="3117"/>
            <w:shd w:fill="1F3864" w:color="auto" w:val="clear"/>
            <w:tcMar>
              <w:top w:type="dxa" w:w="80"/>
              <w:left w:type="dxa" w:w="100"/>
              <w:bottom w:type="dxa" w:w="80"/>
              <w:right w:type="dxa" w:w="100"/>
            </w:tcMar>
            <w:vAlign w:val="center"/>
          </w:tcPr>
          <w:p>
            <w:pPr>
              <w:jc w:val="center"/>
            </w:pPr>
            <w:r>
              <w:rPr>
                <w:b/>
                <w:bCs/>
                <w:color w:val="FFFFFF"/>
                <w:sz w:val="19"/>
                <w:szCs w:val="19"/>
              </w:rPr>
              <w:t xml:space="preserve">Advertisement</w:t>
            </w:r>
          </w:p>
        </w:tc>
        <w:tc>
          <w:tcPr>
            <w:tcW w:type="dxa" w:w="3117"/>
            <w:shd w:fill="1F3864" w:color="auto" w:val="clear"/>
            <w:tcMar>
              <w:top w:type="dxa" w:w="80"/>
              <w:left w:type="dxa" w:w="100"/>
              <w:bottom w:type="dxa" w:w="80"/>
              <w:right w:type="dxa" w:w="100"/>
            </w:tcMar>
            <w:vAlign w:val="center"/>
          </w:tcPr>
          <w:p>
            <w:pPr>
              <w:jc w:val="center"/>
            </w:pPr>
            <w:r>
              <w:rPr>
                <w:b/>
                <w:bCs/>
                <w:color w:val="FFFFFF"/>
                <w:sz w:val="19"/>
                <w:szCs w:val="19"/>
              </w:rPr>
              <w:t xml:space="preserve">Gender</w:t>
            </w:r>
          </w:p>
        </w:tc>
        <w:tc>
          <w:tcPr>
            <w:tcW w:type="dxa" w:w="3116"/>
            <w:shd w:fill="1F3864" w:color="auto" w:val="clear"/>
            <w:tcMar>
              <w:top w:type="dxa" w:w="80"/>
              <w:left w:type="dxa" w:w="100"/>
              <w:bottom w:type="dxa" w:w="80"/>
              <w:right w:type="dxa" w:w="100"/>
            </w:tcMar>
            <w:vAlign w:val="center"/>
          </w:tcPr>
          <w:p>
            <w:pPr>
              <w:jc w:val="center"/>
            </w:pPr>
            <w:r>
              <w:rPr>
                <w:b/>
                <w:bCs/>
                <w:color w:val="FFFFFF"/>
                <w:sz w:val="19"/>
                <w:szCs w:val="19"/>
              </w:rPr>
              <w:t xml:space="preserve">Click Rate</w:t>
            </w:r>
          </w:p>
        </w:tc>
      </w:tr>
      <w:tr>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Ad1</w:t>
            </w:r>
          </w:p>
        </w:tc>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Male</w:t>
            </w:r>
          </w:p>
        </w:tc>
        <w:tc>
          <w:tcPr>
            <w:tcW w:type="dxa" w:w="3116"/>
            <w:shd w:fill="FFFFFF" w:color="auto" w:val="clear"/>
            <w:tcMar>
              <w:top w:type="dxa" w:w="70"/>
              <w:left w:type="dxa" w:w="100"/>
              <w:bottom w:type="dxa" w:w="70"/>
              <w:right w:type="dxa" w:w="100"/>
            </w:tcMar>
            <w:vAlign w:val="center"/>
          </w:tcPr>
          <w:p>
            <w:pPr>
              <w:jc w:val="center"/>
            </w:pPr>
            <w:r>
              <w:rPr>
                <w:color w:val="222222"/>
                <w:sz w:val="19"/>
                <w:szCs w:val="19"/>
              </w:rPr>
              <w:t xml:space="preserve">80</w:t>
            </w:r>
          </w:p>
        </w:tc>
      </w:tr>
      <w:tr>
        <w:tc>
          <w:tcPr>
            <w:tcW w:type="dxa" w:w="3117"/>
            <w:shd w:fill="F2F5F7" w:color="auto" w:val="clear"/>
            <w:tcMar>
              <w:top w:type="dxa" w:w="70"/>
              <w:left w:type="dxa" w:w="100"/>
              <w:bottom w:type="dxa" w:w="70"/>
              <w:right w:type="dxa" w:w="100"/>
            </w:tcMar>
            <w:vAlign w:val="center"/>
          </w:tcPr>
          <w:p>
            <w:pPr>
              <w:jc w:val="center"/>
            </w:pPr>
            <w:r>
              <w:rPr>
                <w:color w:val="222222"/>
                <w:sz w:val="19"/>
                <w:szCs w:val="19"/>
              </w:rPr>
              <w:t xml:space="preserve">Ad3</w:t>
            </w:r>
          </w:p>
        </w:tc>
        <w:tc>
          <w:tcPr>
            <w:tcW w:type="dxa" w:w="3117"/>
            <w:shd w:fill="F2F5F7" w:color="auto" w:val="clear"/>
            <w:tcMar>
              <w:top w:type="dxa" w:w="70"/>
              <w:left w:type="dxa" w:w="100"/>
              <w:bottom w:type="dxa" w:w="70"/>
              <w:right w:type="dxa" w:w="100"/>
            </w:tcMar>
            <w:vAlign w:val="center"/>
          </w:tcPr>
          <w:p>
            <w:pPr>
              <w:jc w:val="center"/>
            </w:pPr>
            <w:r>
              <w:rPr>
                <w:color w:val="222222"/>
                <w:sz w:val="19"/>
                <w:szCs w:val="19"/>
              </w:rPr>
              <w:t xml:space="preserve">Female</w:t>
            </w:r>
          </w:p>
        </w:tc>
        <w:tc>
          <w:tcPr>
            <w:tcW w:type="dxa" w:w="3116"/>
            <w:shd w:fill="F2F5F7" w:color="auto" w:val="clear"/>
            <w:tcMar>
              <w:top w:type="dxa" w:w="70"/>
              <w:left w:type="dxa" w:w="100"/>
              <w:bottom w:type="dxa" w:w="70"/>
              <w:right w:type="dxa" w:w="100"/>
            </w:tcMar>
            <w:vAlign w:val="center"/>
          </w:tcPr>
          <w:p>
            <w:pPr>
              <w:jc w:val="center"/>
            </w:pPr>
            <w:r>
              <w:rPr>
                <w:color w:val="222222"/>
                <w:sz w:val="19"/>
                <w:szCs w:val="19"/>
              </w:rPr>
              <w:t xml:space="preserve">55</w:t>
            </w:r>
          </w:p>
        </w:tc>
      </w:tr>
      <w:tr>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Ad2</w:t>
            </w:r>
          </w:p>
        </w:tc>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Female</w:t>
            </w:r>
          </w:p>
        </w:tc>
        <w:tc>
          <w:tcPr>
            <w:tcW w:type="dxa" w:w="3116"/>
            <w:shd w:fill="FFFFFF" w:color="auto" w:val="clear"/>
            <w:tcMar>
              <w:top w:type="dxa" w:w="70"/>
              <w:left w:type="dxa" w:w="100"/>
              <w:bottom w:type="dxa" w:w="70"/>
              <w:right w:type="dxa" w:w="100"/>
            </w:tcMar>
            <w:vAlign w:val="center"/>
          </w:tcPr>
          <w:p>
            <w:pPr>
              <w:jc w:val="center"/>
            </w:pPr>
            <w:r>
              <w:rPr>
                <w:color w:val="222222"/>
                <w:sz w:val="19"/>
                <w:szCs w:val="19"/>
              </w:rPr>
              <w:t xml:space="preserve">123</w:t>
            </w:r>
          </w:p>
        </w:tc>
      </w:tr>
      <w:tr>
        <w:tc>
          <w:tcPr>
            <w:tcW w:type="dxa" w:w="3117"/>
            <w:shd w:fill="F2F5F7" w:color="auto" w:val="clear"/>
            <w:tcMar>
              <w:top w:type="dxa" w:w="70"/>
              <w:left w:type="dxa" w:w="100"/>
              <w:bottom w:type="dxa" w:w="70"/>
              <w:right w:type="dxa" w:w="100"/>
            </w:tcMar>
            <w:vAlign w:val="center"/>
          </w:tcPr>
          <w:p>
            <w:pPr>
              <w:jc w:val="center"/>
            </w:pPr>
            <w:r>
              <w:rPr>
                <w:color w:val="222222"/>
                <w:sz w:val="19"/>
                <w:szCs w:val="19"/>
              </w:rPr>
              <w:t xml:space="preserve">Ad1</w:t>
            </w:r>
          </w:p>
        </w:tc>
        <w:tc>
          <w:tcPr>
            <w:tcW w:type="dxa" w:w="3117"/>
            <w:shd w:fill="F2F5F7" w:color="auto" w:val="clear"/>
            <w:tcMar>
              <w:top w:type="dxa" w:w="70"/>
              <w:left w:type="dxa" w:w="100"/>
              <w:bottom w:type="dxa" w:w="70"/>
              <w:right w:type="dxa" w:w="100"/>
            </w:tcMar>
            <w:vAlign w:val="center"/>
          </w:tcPr>
          <w:p>
            <w:pPr>
              <w:jc w:val="center"/>
            </w:pPr>
            <w:r>
              <w:rPr>
                <w:color w:val="222222"/>
                <w:sz w:val="19"/>
                <w:szCs w:val="19"/>
              </w:rPr>
              <w:t xml:space="preserve">Male</w:t>
            </w:r>
          </w:p>
        </w:tc>
        <w:tc>
          <w:tcPr>
            <w:tcW w:type="dxa" w:w="3116"/>
            <w:shd w:fill="F2F5F7" w:color="auto" w:val="clear"/>
            <w:tcMar>
              <w:top w:type="dxa" w:w="70"/>
              <w:left w:type="dxa" w:w="100"/>
              <w:bottom w:type="dxa" w:w="70"/>
              <w:right w:type="dxa" w:w="100"/>
            </w:tcMar>
            <w:vAlign w:val="center"/>
          </w:tcPr>
          <w:p>
            <w:pPr>
              <w:jc w:val="center"/>
            </w:pPr>
            <w:r>
              <w:rPr>
                <w:color w:val="222222"/>
                <w:sz w:val="19"/>
                <w:szCs w:val="19"/>
              </w:rPr>
              <w:t xml:space="preserve">66</w:t>
            </w:r>
          </w:p>
        </w:tc>
      </w:tr>
      <w:tr>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Ad3</w:t>
            </w:r>
          </w:p>
        </w:tc>
        <w:tc>
          <w:tcPr>
            <w:tcW w:type="dxa" w:w="3117"/>
            <w:shd w:fill="FFFFFF" w:color="auto" w:val="clear"/>
            <w:tcMar>
              <w:top w:type="dxa" w:w="70"/>
              <w:left w:type="dxa" w:w="100"/>
              <w:bottom w:type="dxa" w:w="70"/>
              <w:right w:type="dxa" w:w="100"/>
            </w:tcMar>
            <w:vAlign w:val="center"/>
          </w:tcPr>
          <w:p>
            <w:pPr>
              <w:jc w:val="center"/>
            </w:pPr>
            <w:r>
              <w:rPr>
                <w:color w:val="222222"/>
                <w:sz w:val="19"/>
                <w:szCs w:val="19"/>
              </w:rPr>
              <w:t xml:space="preserve">Male</w:t>
            </w:r>
          </w:p>
        </w:tc>
        <w:tc>
          <w:tcPr>
            <w:tcW w:type="dxa" w:w="3116"/>
            <w:shd w:fill="FFFFFF" w:color="auto" w:val="clear"/>
            <w:tcMar>
              <w:top w:type="dxa" w:w="70"/>
              <w:left w:type="dxa" w:w="100"/>
              <w:bottom w:type="dxa" w:w="70"/>
              <w:right w:type="dxa" w:w="100"/>
            </w:tcMar>
            <w:vAlign w:val="center"/>
          </w:tcPr>
          <w:p>
            <w:pPr>
              <w:jc w:val="center"/>
            </w:pPr>
            <w:r>
              <w:rPr>
                <w:color w:val="222222"/>
                <w:sz w:val="19"/>
                <w:szCs w:val="19"/>
              </w:rPr>
              <w:t xml:space="preserve">35</w:t>
            </w:r>
          </w:p>
        </w:tc>
      </w:tr>
    </w:tbl>
    <w:p>
      <w:pPr>
        <w:spacing w:after="200" w:before="60"/>
      </w:pPr>
      <w:r>
        <w:rPr>
          <w:i/>
          <w:iCs/>
          <w:color w:val="5A5A5A"/>
          <w:sz w:val="18"/>
          <w:szCs w:val="18"/>
        </w:rPr>
        <w:t xml:space="preserve">Three variables — advertisement type, gender, click rate — studied together to see how they interact.</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Bivariate analysis is the doorway to Simple Linear Regression; multivariate analysis leads to Multiple Regression and dimensionality-reduction techniques (like PCA) — both formally covered in Business Analytics/Econometrics.</w:t>
            </w:r>
          </w:p>
        </w:tc>
      </w:tr>
    </w:tbl>
    <w:p>
      <w:r>
        <w:br w:type="page"/>
      </w:r>
    </w:p>
    <w:p>
      <w:pPr>
        <w:spacing w:after="40" w:before="200"/>
      </w:pPr>
      <w:r>
        <w:rPr>
          <w:b/>
          <w:bCs/>
          <w:color w:val="B8860B"/>
          <w:spacing w:val="20"/>
          <w:sz w:val="18"/>
          <w:szCs w:val="18"/>
        </w:rPr>
        <w:t xml:space="preserve">PART I — STATISTICS 101: FOUNDATIONS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3   </w:t>
            </w:r>
            <w:r>
              <w:rPr>
                <w:b/>
                <w:bCs/>
                <w:color w:val="FFFFFF"/>
                <w:sz w:val="30"/>
                <w:szCs w:val="30"/>
              </w:rPr>
              <w:t xml:space="preserve">CONCEPTS OF FREQUENCY DISTRIBUTION</w:t>
            </w:r>
          </w:p>
        </w:tc>
      </w:tr>
    </w:tbl>
    <w:p>
      <w:pPr>
        <w:spacing w:after="200"/>
      </w:pPr>
    </w:p>
    <w:p>
      <w:pPr>
        <w:pStyle w:val="Heading2"/>
        <w:spacing w:after="140" w:before="320"/>
      </w:pPr>
      <w:r>
        <w:rPr>
          <w:b/>
          <w:bCs/>
          <w:color w:val="0F766E"/>
          <w:sz w:val="25"/>
          <w:szCs w:val="25"/>
        </w:rPr>
        <w:t xml:space="preserve">3.1 What Is a Frequency Distribution?</w:t>
      </w:r>
    </w:p>
    <w:p>
      <w:pPr>
        <w:spacing w:after="140"/>
      </w:pPr>
      <w:r>
        <w:rPr>
          <w:color w:val="222222"/>
          <w:sz w:val="21"/>
          <w:szCs w:val="21"/>
        </w:rPr>
        <w:t xml:space="preserve">A Frequency Distribution is a systematic arrangement of data into different classes or categories along with the number of observations (frequency) falling in each class. It converts raw, unwieldy data into an organized form that is easy to read and analyze.</w:t>
      </w:r>
    </w:p>
    <w:p>
      <w:pPr>
        <w:spacing w:after="100" w:before="200"/>
      </w:pPr>
      <w:r>
        <w:rPr>
          <w:b/>
          <w:bCs/>
          <w:color w:val="B8860B"/>
          <w:sz w:val="22"/>
          <w:szCs w:val="22"/>
        </w:rPr>
        <w:t xml:space="preserve">Need for Frequency Distribution</w:t>
      </w:r>
    </w:p>
    <w:p>
      <w:pPr>
        <w:pStyle w:val="ListParagraph"/>
        <w:numPr>
          <w:ilvl w:val="0"/>
          <w:numId w:val="2"/>
        </w:numPr>
        <w:spacing w:after="60"/>
      </w:pPr>
      <w:r>
        <w:rPr>
          <w:color w:val="222222"/>
          <w:sz w:val="21"/>
          <w:szCs w:val="21"/>
        </w:rPr>
        <w:t xml:space="preserve">Converts raw data into an organized form.</w:t>
      </w:r>
    </w:p>
    <w:p>
      <w:pPr>
        <w:pStyle w:val="ListParagraph"/>
        <w:numPr>
          <w:ilvl w:val="0"/>
          <w:numId w:val="2"/>
        </w:numPr>
        <w:spacing w:after="60"/>
      </w:pPr>
      <w:r>
        <w:rPr>
          <w:color w:val="222222"/>
          <w:sz w:val="21"/>
          <w:szCs w:val="21"/>
        </w:rPr>
        <w:t xml:space="preserve">Makes large datasets easy to understand.</w:t>
      </w:r>
    </w:p>
    <w:p>
      <w:pPr>
        <w:pStyle w:val="ListParagraph"/>
        <w:numPr>
          <w:ilvl w:val="0"/>
          <w:numId w:val="2"/>
        </w:numPr>
        <w:spacing w:after="60"/>
      </w:pPr>
      <w:r>
        <w:rPr>
          <w:color w:val="222222"/>
          <w:sz w:val="21"/>
          <w:szCs w:val="21"/>
        </w:rPr>
        <w:t xml:space="preserve">Helps in computing statistical measures like Mean, Median, and Mode.</w:t>
      </w:r>
    </w:p>
    <w:p>
      <w:pPr>
        <w:pStyle w:val="ListParagraph"/>
        <w:numPr>
          <w:ilvl w:val="0"/>
          <w:numId w:val="2"/>
        </w:numPr>
        <w:spacing w:after="60"/>
      </w:pPr>
      <w:r>
        <w:rPr>
          <w:color w:val="222222"/>
          <w:sz w:val="21"/>
          <w:szCs w:val="21"/>
        </w:rPr>
        <w:t xml:space="preserve">Facilitates comparison between datasets.</w:t>
      </w:r>
    </w:p>
    <w:p>
      <w:pPr>
        <w:pStyle w:val="ListParagraph"/>
        <w:numPr>
          <w:ilvl w:val="0"/>
          <w:numId w:val="2"/>
        </w:numPr>
        <w:spacing w:after="60"/>
      </w:pPr>
      <w:r>
        <w:rPr>
          <w:color w:val="222222"/>
          <w:sz w:val="21"/>
          <w:szCs w:val="21"/>
        </w:rPr>
        <w:t xml:space="preserve">Provides the basis for graphs such as histograms and ogives.</w:t>
      </w:r>
    </w:p>
    <w:p>
      <w:pPr>
        <w:pStyle w:val="Heading2"/>
        <w:spacing w:after="140" w:before="320"/>
      </w:pPr>
      <w:r>
        <w:rPr>
          <w:b/>
          <w:bCs/>
          <w:color w:val="0F766E"/>
          <w:sz w:val="25"/>
          <w:szCs w:val="25"/>
        </w:rPr>
        <w:t xml:space="preserve">3.2 Types of Frequency Distribution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4350"/>
        <w:gridCol w:w="2800"/>
      </w:tblGrid>
      <w:tr>
        <w:trPr>
          <w:tblHeader/>
        </w:trPr>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435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8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200"/>
            <w:shd w:fill="FFFFFF" w:color="auto" w:val="clear"/>
            <w:tcMar>
              <w:top w:type="dxa" w:w="70"/>
              <w:left w:type="dxa" w:w="100"/>
              <w:bottom w:type="dxa" w:w="70"/>
              <w:right w:type="dxa" w:w="100"/>
            </w:tcMar>
            <w:vAlign w:val="center"/>
          </w:tcPr>
          <w:p>
            <w:pPr>
              <w:jc w:val="center"/>
            </w:pPr>
            <w:r>
              <w:rPr>
                <w:color w:val="222222"/>
                <w:sz w:val="19"/>
                <w:szCs w:val="19"/>
              </w:rPr>
              <w:t xml:space="preserve">Individual</w:t>
            </w:r>
          </w:p>
        </w:tc>
        <w:tc>
          <w:tcPr>
            <w:tcW w:type="dxa" w:w="4350"/>
            <w:shd w:fill="FFFFFF" w:color="auto" w:val="clear"/>
            <w:tcMar>
              <w:top w:type="dxa" w:w="70"/>
              <w:left w:type="dxa" w:w="100"/>
              <w:bottom w:type="dxa" w:w="70"/>
              <w:right w:type="dxa" w:w="100"/>
            </w:tcMar>
            <w:vAlign w:val="center"/>
          </w:tcPr>
          <w:p>
            <w:pPr>
              <w:jc w:val="center"/>
            </w:pPr>
            <w:r>
              <w:rPr>
                <w:color w:val="222222"/>
                <w:sz w:val="19"/>
                <w:szCs w:val="19"/>
              </w:rPr>
              <w:t xml:space="preserve">Each value is listed separately, ungrouped</w:t>
            </w:r>
          </w:p>
        </w:tc>
        <w:tc>
          <w:tcPr>
            <w:tcW w:type="dxa" w:w="2800"/>
            <w:shd w:fill="FFFFFF" w:color="auto" w:val="clear"/>
            <w:tcMar>
              <w:top w:type="dxa" w:w="70"/>
              <w:left w:type="dxa" w:w="100"/>
              <w:bottom w:type="dxa" w:w="70"/>
              <w:right w:type="dxa" w:w="100"/>
            </w:tcMar>
            <w:vAlign w:val="center"/>
          </w:tcPr>
          <w:p>
            <w:pPr>
              <w:jc w:val="center"/>
            </w:pPr>
            <w:r>
              <w:rPr>
                <w:color w:val="222222"/>
                <w:sz w:val="19"/>
                <w:szCs w:val="19"/>
              </w:rPr>
              <w:t xml:space="preserve">Marks: 10, 15, 20 — one row per student</w:t>
            </w:r>
          </w:p>
        </w:tc>
      </w:tr>
      <w:tr>
        <w:tc>
          <w:tcPr>
            <w:tcW w:type="dxa" w:w="2200"/>
            <w:shd w:fill="F2F5F7" w:color="auto" w:val="clear"/>
            <w:tcMar>
              <w:top w:type="dxa" w:w="70"/>
              <w:left w:type="dxa" w:w="100"/>
              <w:bottom w:type="dxa" w:w="70"/>
              <w:right w:type="dxa" w:w="100"/>
            </w:tcMar>
            <w:vAlign w:val="center"/>
          </w:tcPr>
          <w:p>
            <w:pPr>
              <w:jc w:val="center"/>
            </w:pPr>
            <w:r>
              <w:rPr>
                <w:color w:val="222222"/>
                <w:sz w:val="19"/>
                <w:szCs w:val="19"/>
              </w:rPr>
              <w:t xml:space="preserve">Discrete</w:t>
            </w:r>
          </w:p>
        </w:tc>
        <w:tc>
          <w:tcPr>
            <w:tcW w:type="dxa" w:w="4350"/>
            <w:shd w:fill="F2F5F7" w:color="auto" w:val="clear"/>
            <w:tcMar>
              <w:top w:type="dxa" w:w="70"/>
              <w:left w:type="dxa" w:w="100"/>
              <w:bottom w:type="dxa" w:w="70"/>
              <w:right w:type="dxa" w:w="100"/>
            </w:tcMar>
            <w:vAlign w:val="center"/>
          </w:tcPr>
          <w:p>
            <w:pPr>
              <w:jc w:val="center"/>
            </w:pPr>
            <w:r>
              <w:rPr>
                <w:color w:val="222222"/>
                <w:sz w:val="19"/>
                <w:szCs w:val="19"/>
              </w:rPr>
              <w:t xml:space="preserve">Data consists of distinct, countable values with repeat counts</w:t>
            </w:r>
          </w:p>
        </w:tc>
        <w:tc>
          <w:tcPr>
            <w:tcW w:type="dxa" w:w="2800"/>
            <w:shd w:fill="F2F5F7" w:color="auto" w:val="clear"/>
            <w:tcMar>
              <w:top w:type="dxa" w:w="70"/>
              <w:left w:type="dxa" w:w="100"/>
              <w:bottom w:type="dxa" w:w="70"/>
              <w:right w:type="dxa" w:w="100"/>
            </w:tcMar>
            <w:vAlign w:val="center"/>
          </w:tcPr>
          <w:p>
            <w:pPr>
              <w:jc w:val="center"/>
            </w:pPr>
            <w:r>
              <w:rPr>
                <w:color w:val="222222"/>
                <w:sz w:val="19"/>
                <w:szCs w:val="19"/>
              </w:rPr>
              <w:t xml:space="preserve">No. of children per family: 0,1,2,3 with frequencies</w:t>
            </w:r>
          </w:p>
        </w:tc>
      </w:tr>
      <w:tr>
        <w:tc>
          <w:tcPr>
            <w:tcW w:type="dxa" w:w="2200"/>
            <w:shd w:fill="FFFFFF" w:color="auto" w:val="clear"/>
            <w:tcMar>
              <w:top w:type="dxa" w:w="70"/>
              <w:left w:type="dxa" w:w="100"/>
              <w:bottom w:type="dxa" w:w="70"/>
              <w:right w:type="dxa" w:w="100"/>
            </w:tcMar>
            <w:vAlign w:val="center"/>
          </w:tcPr>
          <w:p>
            <w:pPr>
              <w:jc w:val="center"/>
            </w:pPr>
            <w:r>
              <w:rPr>
                <w:color w:val="222222"/>
                <w:sz w:val="19"/>
                <w:szCs w:val="19"/>
              </w:rPr>
              <w:t xml:space="preserve">Continuous</w:t>
            </w:r>
          </w:p>
        </w:tc>
        <w:tc>
          <w:tcPr>
            <w:tcW w:type="dxa" w:w="4350"/>
            <w:shd w:fill="FFFFFF" w:color="auto" w:val="clear"/>
            <w:tcMar>
              <w:top w:type="dxa" w:w="70"/>
              <w:left w:type="dxa" w:w="100"/>
              <w:bottom w:type="dxa" w:w="70"/>
              <w:right w:type="dxa" w:w="100"/>
            </w:tcMar>
            <w:vAlign w:val="center"/>
          </w:tcPr>
          <w:p>
            <w:pPr>
              <w:jc w:val="center"/>
            </w:pPr>
            <w:r>
              <w:rPr>
                <w:color w:val="222222"/>
                <w:sz w:val="19"/>
                <w:szCs w:val="19"/>
              </w:rPr>
              <w:t xml:space="preserve">Large data grouped into class intervals for easy presentation</w:t>
            </w:r>
          </w:p>
        </w:tc>
        <w:tc>
          <w:tcPr>
            <w:tcW w:type="dxa" w:w="2800"/>
            <w:shd w:fill="FFFFFF" w:color="auto" w:val="clear"/>
            <w:tcMar>
              <w:top w:type="dxa" w:w="70"/>
              <w:left w:type="dxa" w:w="100"/>
              <w:bottom w:type="dxa" w:w="70"/>
              <w:right w:type="dxa" w:w="100"/>
            </w:tcMar>
            <w:vAlign w:val="center"/>
          </w:tcPr>
          <w:p>
            <w:pPr>
              <w:jc w:val="center"/>
            </w:pPr>
            <w:r>
              <w:rPr>
                <w:color w:val="222222"/>
                <w:sz w:val="19"/>
                <w:szCs w:val="19"/>
              </w:rPr>
              <w:t xml:space="preserve">Marks grouped as 0–10, 10–20, 20–30…</w:t>
            </w:r>
          </w:p>
        </w:tc>
      </w:tr>
    </w:tbl>
    <w:p>
      <w:pPr>
        <w:pStyle w:val="Heading2"/>
        <w:spacing w:after="140" w:before="320"/>
      </w:pPr>
      <w:r>
        <w:rPr>
          <w:b/>
          <w:bCs/>
          <w:color w:val="0F766E"/>
          <w:sz w:val="25"/>
          <w:szCs w:val="25"/>
        </w:rPr>
        <w:t xml:space="preserve">3.3 Types of Classification</w:t>
      </w:r>
    </w:p>
    <w:p>
      <w:pPr>
        <w:spacing w:after="140"/>
      </w:pPr>
      <w:r>
        <w:rPr>
          <w:color w:val="222222"/>
          <w:sz w:val="21"/>
          <w:szCs w:val="21"/>
        </w:rPr>
        <w:t xml:space="preserve">There are six recognized ways of building a frequency table:</w:t>
      </w:r>
    </w:p>
    <w:p>
      <w:pPr>
        <w:spacing w:after="100" w:before="200"/>
      </w:pPr>
      <w:r>
        <w:rPr>
          <w:b/>
          <w:bCs/>
          <w:color w:val="B8860B"/>
          <w:sz w:val="22"/>
          <w:szCs w:val="22"/>
        </w:rPr>
        <w:t xml:space="preserve">1. Exclusive Series</w:t>
      </w:r>
    </w:p>
    <w:p>
      <w:pPr>
        <w:spacing w:after="140"/>
      </w:pPr>
      <w:r>
        <w:rPr>
          <w:color w:val="222222"/>
          <w:sz w:val="21"/>
          <w:szCs w:val="21"/>
        </w:rPr>
        <w:t xml:space="preserve">The class interval includes values from the lower limit up to (but not including) the upper limit; the upper limit of one class is the lower limit of the next. E.g., in the class 0–10, values 0–9.99 belong here; 10 belongs to the next class, 10–20.</w:t>
      </w:r>
    </w:p>
    <w:p>
      <w:pPr>
        <w:spacing w:after="100" w:before="200"/>
      </w:pPr>
      <w:r>
        <w:rPr>
          <w:b/>
          <w:bCs/>
          <w:color w:val="B8860B"/>
          <w:sz w:val="22"/>
          <w:szCs w:val="22"/>
        </w:rPr>
        <w:t xml:space="preserve">2. Inclusive Series</w:t>
      </w:r>
    </w:p>
    <w:p>
      <w:pPr>
        <w:spacing w:after="140"/>
      </w:pPr>
      <w:r>
        <w:rPr>
          <w:color w:val="222222"/>
          <w:sz w:val="21"/>
          <w:szCs w:val="21"/>
        </w:rPr>
        <w:t xml:space="preserve">Both the lower and upper limits belong to the same class, and there is a small gap (e.g., 0.1 to 1) between the upper limit of one class and the lower limit of the next — e.g., 0–9, 10–19, 20–29.</w:t>
      </w:r>
    </w:p>
    <w:p>
      <w:pPr>
        <w:spacing w:after="100" w:before="200"/>
      </w:pPr>
      <w:r>
        <w:rPr>
          <w:b/>
          <w:bCs/>
          <w:color w:val="B8860B"/>
          <w:sz w:val="22"/>
          <w:szCs w:val="22"/>
        </w:rPr>
        <w:t xml:space="preserve">3. Open-End Series</w:t>
      </w:r>
    </w:p>
    <w:p>
      <w:pPr>
        <w:spacing w:after="140"/>
      </w:pPr>
      <w:r>
        <w:rPr>
          <w:color w:val="222222"/>
          <w:sz w:val="21"/>
          <w:szCs w:val="21"/>
        </w:rPr>
        <w:t xml:space="preserve">The first class has no stated lower limit (‘Below 10’) and/or the last class has no stated upper limit (‘30 &amp; Above’).</w:t>
      </w:r>
    </w:p>
    <w:p>
      <w:pPr>
        <w:spacing w:after="100" w:before="200"/>
      </w:pPr>
      <w:r>
        <w:rPr>
          <w:b/>
          <w:bCs/>
          <w:color w:val="B8860B"/>
          <w:sz w:val="22"/>
          <w:szCs w:val="22"/>
        </w:rPr>
        <w:t xml:space="preserve">4. Cumulative Frequency Series</w:t>
      </w:r>
    </w:p>
    <w:p>
      <w:pPr>
        <w:spacing w:after="140"/>
      </w:pPr>
      <w:r>
        <w:rPr>
          <w:color w:val="222222"/>
          <w:sz w:val="21"/>
          <w:szCs w:val="21"/>
        </w:rPr>
        <w:t xml:space="preserve">Frequencies are continuously added up to each class boundary — expressed either as ‘Less than’ (based on upper limits) or ‘More than’ (based on lower limits).</w:t>
      </w:r>
    </w:p>
    <w:p>
      <w:pPr>
        <w:spacing w:after="100" w:before="200"/>
      </w:pPr>
      <w:r>
        <w:rPr>
          <w:b/>
          <w:bCs/>
          <w:color w:val="B8860B"/>
          <w:sz w:val="22"/>
          <w:szCs w:val="22"/>
        </w:rPr>
        <w:t xml:space="preserve">5. Mid-Value Frequency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Recovering class limits from midpoints</w:t>
            </w:r>
          </w:p>
          <w:p>
            <w:pPr>
              <w:spacing w:after="60"/>
            </w:pPr>
            <w:r>
              <w:rPr>
                <w:rFonts w:ascii="Cambria Math" w:cs="Cambria Math" w:eastAsia="Cambria Math" w:hAnsi="Cambria Math"/>
                <w:b/>
                <w:bCs/>
                <w:color w:val="1F3864"/>
                <w:sz w:val="22"/>
                <w:szCs w:val="22"/>
              </w:rPr>
              <w:t xml:space="preserve">Lower limit (l₁) = m − i/2</w:t>
            </w:r>
          </w:p>
          <w:p>
            <w:pPr>
              <w:spacing w:after="60"/>
            </w:pPr>
            <w:r>
              <w:rPr>
                <w:rFonts w:ascii="Cambria Math" w:cs="Cambria Math" w:eastAsia="Cambria Math" w:hAnsi="Cambria Math"/>
                <w:b/>
                <w:bCs/>
                <w:color w:val="1F3864"/>
                <w:sz w:val="22"/>
                <w:szCs w:val="22"/>
              </w:rPr>
              <w:t xml:space="preserve">Upper limit (l₂) = m + i/2</w:t>
            </w:r>
          </w:p>
          <w:p>
            <w:pPr>
              <w:spacing w:before="60"/>
            </w:pPr>
            <w:r>
              <w:rPr>
                <w:i/>
                <w:iCs/>
                <w:color w:val="5A5A5A"/>
                <w:sz w:val="19"/>
                <w:szCs w:val="19"/>
              </w:rPr>
              <w:t xml:space="preserve">m = mid-value; i = difference between successive mid-values.</w:t>
            </w:r>
          </w:p>
        </w:tc>
      </w:tr>
    </w:tbl>
    <w:p>
      <w:pPr>
        <w:spacing w:after="100" w:before="200"/>
      </w:pPr>
      <w:r>
        <w:rPr>
          <w:b/>
          <w:bCs/>
          <w:color w:val="B8860B"/>
          <w:sz w:val="22"/>
          <w:szCs w:val="22"/>
        </w:rPr>
        <w:t xml:space="preserve">6. Equal &amp; Unequal Class-Interval Classification</w:t>
      </w:r>
    </w:p>
    <w:p>
      <w:pPr>
        <w:spacing w:after="140"/>
      </w:pPr>
      <w:r>
        <w:rPr>
          <w:color w:val="222222"/>
          <w:sz w:val="21"/>
          <w:szCs w:val="21"/>
        </w:rPr>
        <w:t xml:space="preserve">Classes may be built with a constant width (equal) or varying widths (unequal) depending on how the data is spread.</w:t>
      </w:r>
    </w:p>
    <w:p>
      <w:pPr>
        <w:spacing w:after="100" w:before="200"/>
      </w:pPr>
      <w:r>
        <w:rPr>
          <w:b/>
          <w:bCs/>
          <w:color w:val="B8860B"/>
          <w:sz w:val="22"/>
          <w:szCs w:val="22"/>
        </w:rPr>
        <w:t xml:space="preserve">Case Study — Online Shopping Delivery Time (Exclusive Classification)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4675"/>
        <w:gridCol w:w="4675"/>
      </w:tblGrid>
      <w:tr>
        <w:trPr>
          <w:tblHeader/>
        </w:trPr>
        <w:tc>
          <w:tcPr>
            <w:tcW w:type="dxa" w:w="4675"/>
            <w:shd w:fill="1F3864" w:color="auto" w:val="clear"/>
            <w:tcMar>
              <w:top w:type="dxa" w:w="80"/>
              <w:left w:type="dxa" w:w="100"/>
              <w:bottom w:type="dxa" w:w="80"/>
              <w:right w:type="dxa" w:w="100"/>
            </w:tcMar>
            <w:vAlign w:val="center"/>
          </w:tcPr>
          <w:p>
            <w:pPr>
              <w:jc w:val="center"/>
            </w:pPr>
            <w:r>
              <w:rPr>
                <w:b/>
                <w:bCs/>
                <w:color w:val="FFFFFF"/>
                <w:sz w:val="19"/>
                <w:szCs w:val="19"/>
              </w:rPr>
              <w:t xml:space="preserve">Delivery Time (Days)</w:t>
            </w:r>
          </w:p>
        </w:tc>
        <w:tc>
          <w:tcPr>
            <w:tcW w:type="dxa" w:w="4675"/>
            <w:shd w:fill="1F3864" w:color="auto" w:val="clear"/>
            <w:tcMar>
              <w:top w:type="dxa" w:w="80"/>
              <w:left w:type="dxa" w:w="100"/>
              <w:bottom w:type="dxa" w:w="80"/>
              <w:right w:type="dxa" w:w="100"/>
            </w:tcMar>
            <w:vAlign w:val="center"/>
          </w:tcPr>
          <w:p>
            <w:pPr>
              <w:jc w:val="center"/>
            </w:pPr>
            <w:r>
              <w:rPr>
                <w:b/>
                <w:bCs/>
                <w:color w:val="FFFFFF"/>
                <w:sz w:val="19"/>
                <w:szCs w:val="19"/>
              </w:rPr>
              <w:t xml:space="preserve">Number of Orders</w:t>
            </w:r>
          </w:p>
        </w:tc>
      </w:tr>
      <w:tr>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0–2</w:t>
            </w:r>
          </w:p>
        </w:tc>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25</w:t>
            </w:r>
          </w:p>
        </w:tc>
      </w:tr>
      <w:tr>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2–4</w:t>
            </w:r>
          </w:p>
        </w:tc>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45</w:t>
            </w:r>
          </w:p>
        </w:tc>
      </w:tr>
      <w:tr>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4–6</w:t>
            </w:r>
          </w:p>
        </w:tc>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30</w:t>
            </w:r>
          </w:p>
        </w:tc>
      </w:tr>
      <w:tr>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6–8</w:t>
            </w:r>
          </w:p>
        </w:tc>
        <w:tc>
          <w:tcPr>
            <w:tcW w:type="dxa" w:w="4675"/>
            <w:shd w:fill="F2F5F7" w:color="auto" w:val="clear"/>
            <w:tcMar>
              <w:top w:type="dxa" w:w="70"/>
              <w:left w:type="dxa" w:w="100"/>
              <w:bottom w:type="dxa" w:w="70"/>
              <w:right w:type="dxa" w:w="100"/>
            </w:tcMar>
            <w:vAlign w:val="center"/>
          </w:tcPr>
          <w:p>
            <w:pPr>
              <w:jc w:val="center"/>
            </w:pPr>
            <w:r>
              <w:rPr>
                <w:color w:val="222222"/>
                <w:sz w:val="19"/>
                <w:szCs w:val="19"/>
              </w:rPr>
              <w:t xml:space="preserve">15</w:t>
            </w:r>
          </w:p>
        </w:tc>
      </w:tr>
      <w:tr>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8–10</w:t>
            </w:r>
          </w:p>
        </w:tc>
        <w:tc>
          <w:tcPr>
            <w:tcW w:type="dxa" w:w="4675"/>
            <w:shd w:fill="FFFFFF" w:color="auto" w:val="clear"/>
            <w:tcMar>
              <w:top w:type="dxa" w:w="70"/>
              <w:left w:type="dxa" w:w="100"/>
              <w:bottom w:type="dxa" w:w="70"/>
              <w:right w:type="dxa" w:w="100"/>
            </w:tcMar>
            <w:vAlign w:val="center"/>
          </w:tcPr>
          <w:p>
            <w:pPr>
              <w:jc w:val="center"/>
            </w:pPr>
            <w:r>
              <w:rPr>
                <w:color w:val="222222"/>
                <w:sz w:val="19"/>
                <w:szCs w:val="19"/>
              </w:rPr>
              <w:t xml:space="preserve">5</w:t>
            </w:r>
          </w:p>
        </w:tc>
      </w:tr>
    </w:tbl>
    <w:p>
      <w:pPr>
        <w:spacing w:after="200" w:before="60"/>
      </w:pPr>
      <w:r>
        <w:rPr>
          <w:i/>
          <w:iCs/>
          <w:color w:val="5A5A5A"/>
          <w:sz w:val="18"/>
          <w:szCs w:val="18"/>
        </w:rPr>
        <w:t xml:space="preserve">Class width = 2 days throughout. An order delivered in exactly 4 days falls into the 4–6 class under exclusive classification (the upper limit of the previous class is excluded).</w:t>
      </w:r>
    </w:p>
    <w:p>
      <w:r>
        <w:br w:type="page"/>
      </w:r>
    </w:p>
    <w:p>
      <w:pPr>
        <w:spacing w:after="40" w:before="200"/>
      </w:pPr>
      <w:r>
        <w:rPr>
          <w:b/>
          <w:bCs/>
          <w:color w:val="B8860B"/>
          <w:spacing w:val="20"/>
          <w:sz w:val="18"/>
          <w:szCs w:val="18"/>
        </w:rPr>
        <w:t xml:space="preserve">PART II — DESCRIPTIVE STATISTICS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4   </w:t>
            </w:r>
            <w:r>
              <w:rPr>
                <w:b/>
                <w:bCs/>
                <w:color w:val="FFFFFF"/>
                <w:sz w:val="30"/>
                <w:szCs w:val="30"/>
              </w:rPr>
              <w:t xml:space="preserve">MEASURES OF CENTRAL TENDENCY</w:t>
            </w:r>
          </w:p>
        </w:tc>
      </w:tr>
    </w:tbl>
    <w:p>
      <w:pPr>
        <w:spacing w:after="200"/>
      </w:pPr>
    </w:p>
    <w:p>
      <w:pPr>
        <w:pStyle w:val="Heading2"/>
        <w:spacing w:after="140" w:before="320"/>
      </w:pPr>
      <w:r>
        <w:rPr>
          <w:b/>
          <w:bCs/>
          <w:color w:val="0F766E"/>
          <w:sz w:val="25"/>
          <w:szCs w:val="25"/>
        </w:rPr>
        <w:t xml:space="preserve">4.1 What Is Central Tendency?</w:t>
      </w:r>
    </w:p>
    <w:p>
      <w:pPr>
        <w:spacing w:after="140"/>
      </w:pPr>
      <w:r>
        <w:rPr>
          <w:color w:val="222222"/>
          <w:sz w:val="21"/>
          <w:szCs w:val="21"/>
        </w:rPr>
        <w:t xml:space="preserve">A measure of central tendency is a single, typical value around which the rest of the data congregates. It condenses an entire frequency distribution into one representative figure — commonly called ‘the average’.</w:t>
      </w:r>
    </w:p>
    <w:p>
      <w:pPr>
        <w:spacing w:after="100" w:before="200"/>
      </w:pPr>
      <w:r>
        <w:rPr>
          <w:b/>
          <w:bCs/>
          <w:color w:val="B8860B"/>
          <w:sz w:val="22"/>
          <w:szCs w:val="22"/>
        </w:rPr>
        <w:t xml:space="preserve">Characteristics of an Ideal Measure of Central Tendency</w:t>
      </w:r>
    </w:p>
    <w:p>
      <w:pPr>
        <w:pStyle w:val="ListParagraph"/>
        <w:numPr>
          <w:ilvl w:val="0"/>
          <w:numId w:val="2"/>
        </w:numPr>
        <w:spacing w:after="60"/>
      </w:pPr>
      <w:r>
        <w:rPr>
          <w:color w:val="222222"/>
          <w:sz w:val="21"/>
          <w:szCs w:val="21"/>
        </w:rPr>
        <w:t xml:space="preserve">It should be rigidly defined — its interpretation should not vary from person to person.</w:t>
      </w:r>
    </w:p>
    <w:p>
      <w:pPr>
        <w:pStyle w:val="ListParagraph"/>
        <w:numPr>
          <w:ilvl w:val="0"/>
          <w:numId w:val="2"/>
        </w:numPr>
        <w:spacing w:after="60"/>
      </w:pPr>
      <w:r>
        <w:rPr>
          <w:color w:val="222222"/>
          <w:sz w:val="21"/>
          <w:szCs w:val="21"/>
        </w:rPr>
        <w:t xml:space="preserve">It should be easy to understand and simple to calculate.</w:t>
      </w:r>
    </w:p>
    <w:p>
      <w:pPr>
        <w:pStyle w:val="ListParagraph"/>
        <w:numPr>
          <w:ilvl w:val="0"/>
          <w:numId w:val="2"/>
        </w:numPr>
        <w:spacing w:after="60"/>
      </w:pPr>
      <w:r>
        <w:rPr>
          <w:color w:val="222222"/>
          <w:sz w:val="21"/>
          <w:szCs w:val="21"/>
        </w:rPr>
        <w:t xml:space="preserve">It should be easily determined from the data available.</w:t>
      </w:r>
    </w:p>
    <w:p>
      <w:pPr>
        <w:pStyle w:val="ListParagraph"/>
        <w:numPr>
          <w:ilvl w:val="0"/>
          <w:numId w:val="2"/>
        </w:numPr>
        <w:spacing w:after="60"/>
      </w:pPr>
      <w:r>
        <w:rPr>
          <w:color w:val="222222"/>
          <w:sz w:val="21"/>
          <w:szCs w:val="21"/>
        </w:rPr>
        <w:t xml:space="preserve">It should be based on all the values of the variable (every observation should enter the formula).</w:t>
      </w:r>
    </w:p>
    <w:p>
      <w:pPr>
        <w:pStyle w:val="ListParagraph"/>
        <w:numPr>
          <w:ilvl w:val="0"/>
          <w:numId w:val="2"/>
        </w:numPr>
        <w:spacing w:after="60"/>
      </w:pPr>
      <w:r>
        <w:rPr>
          <w:color w:val="222222"/>
          <w:sz w:val="21"/>
          <w:szCs w:val="21"/>
        </w:rPr>
        <w:t xml:space="preserve">It should not vary much between samples drawn from the same population (sampling stability).</w:t>
      </w:r>
    </w:p>
    <w:p>
      <w:pPr>
        <w:pStyle w:val="Heading2"/>
        <w:spacing w:after="140" w:before="320"/>
      </w:pPr>
      <w:r>
        <w:rPr>
          <w:b/>
          <w:bCs/>
          <w:color w:val="0F766E"/>
          <w:sz w:val="25"/>
          <w:szCs w:val="25"/>
        </w:rPr>
        <w:t xml:space="preserve">4.2 The Formula Reference Table (by Type of Data)</w:t>
      </w:r>
    </w:p>
    <w:p>
      <w:pPr>
        <w:spacing w:after="140"/>
      </w:pPr>
      <w:r>
        <w:rPr>
          <w:color w:val="222222"/>
          <w:sz w:val="21"/>
          <w:szCs w:val="21"/>
        </w:rPr>
        <w:t xml:space="preserve">This single table is your master reference — the exact formula to use depends on whether your data is an individual list, a discrete frequency table, or grouped into continuous classes.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350"/>
        <w:gridCol w:w="2800"/>
        <w:gridCol w:w="2350"/>
        <w:gridCol w:w="1850"/>
      </w:tblGrid>
      <w:tr>
        <w:trPr>
          <w:tblHeader/>
        </w:trPr>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Type of Data</w:t>
            </w:r>
          </w:p>
        </w:tc>
        <w:tc>
          <w:tcPr>
            <w:tcW w:type="dxa" w:w="2800"/>
            <w:shd w:fill="1F3864" w:color="auto" w:val="clear"/>
            <w:tcMar>
              <w:top w:type="dxa" w:w="80"/>
              <w:left w:type="dxa" w:w="100"/>
              <w:bottom w:type="dxa" w:w="80"/>
              <w:right w:type="dxa" w:w="100"/>
            </w:tcMar>
            <w:vAlign w:val="center"/>
          </w:tcPr>
          <w:p>
            <w:pPr>
              <w:jc w:val="center"/>
            </w:pPr>
            <w:r>
              <w:rPr>
                <w:b/>
                <w:bCs/>
                <w:color w:val="FFFFFF"/>
                <w:sz w:val="19"/>
                <w:szCs w:val="19"/>
              </w:rPr>
              <w:t xml:space="preserve">Mean</w:t>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Median</w:t>
            </w:r>
          </w:p>
        </w:tc>
        <w:tc>
          <w:tcPr>
            <w:tcW w:type="dxa" w:w="1850"/>
            <w:shd w:fill="1F3864" w:color="auto" w:val="clear"/>
            <w:tcMar>
              <w:top w:type="dxa" w:w="80"/>
              <w:left w:type="dxa" w:w="100"/>
              <w:bottom w:type="dxa" w:w="80"/>
              <w:right w:type="dxa" w:w="100"/>
            </w:tcMar>
            <w:vAlign w:val="center"/>
          </w:tcPr>
          <w:p>
            <w:pPr>
              <w:jc w:val="center"/>
            </w:pPr>
            <w:r>
              <w:rPr>
                <w:b/>
                <w:bCs/>
                <w:color w:val="FFFFFF"/>
                <w:sz w:val="19"/>
                <w:szCs w:val="19"/>
              </w:rPr>
              <w:t xml:space="preserve">Mode</w:t>
            </w:r>
          </w:p>
        </w:tc>
      </w:tr>
      <w:tr>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1. Individual Observation</w:t>
            </w:r>
          </w:p>
        </w:tc>
        <w:tc>
          <w:tcPr>
            <w:tcW w:type="dxa" w:w="2800"/>
            <w:shd w:fill="FFFFFF" w:color="auto" w:val="clear"/>
            <w:tcMar>
              <w:top w:type="dxa" w:w="70"/>
              <w:left w:type="dxa" w:w="100"/>
              <w:bottom w:type="dxa" w:w="70"/>
              <w:right w:type="dxa" w:w="100"/>
            </w:tcMar>
            <w:vAlign w:val="center"/>
          </w:tcPr>
          <w:p>
            <w:pPr>
              <w:jc w:val="center"/>
            </w:pPr>
            <w:r>
              <w:rPr>
                <w:color w:val="222222"/>
                <w:sz w:val="19"/>
                <w:szCs w:val="19"/>
              </w:rPr>
              <w:t xml:space="preserve">x̄ = Σx / N</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Value at (N+1)/2ᵗʰ position (odd N); average of N/2ᵗʰ and (N/2+1)ᵗʰ (even N)</w:t>
            </w:r>
          </w:p>
        </w:tc>
        <w:tc>
          <w:tcPr>
            <w:tcW w:type="dxa" w:w="1850"/>
            <w:shd w:fill="FFFFFF" w:color="auto" w:val="clear"/>
            <w:tcMar>
              <w:top w:type="dxa" w:w="70"/>
              <w:left w:type="dxa" w:w="100"/>
              <w:bottom w:type="dxa" w:w="70"/>
              <w:right w:type="dxa" w:w="100"/>
            </w:tcMar>
            <w:vAlign w:val="center"/>
          </w:tcPr>
          <w:p>
            <w:pPr>
              <w:jc w:val="center"/>
            </w:pPr>
            <w:r>
              <w:rPr>
                <w:color w:val="222222"/>
                <w:sz w:val="19"/>
                <w:szCs w:val="19"/>
              </w:rPr>
              <w:t xml:space="preserve">Most repeated value</w:t>
            </w:r>
          </w:p>
        </w:tc>
      </w:tr>
      <w:tr>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2. Discrete Frequency</w:t>
            </w:r>
          </w:p>
        </w:tc>
        <w:tc>
          <w:tcPr>
            <w:tcW w:type="dxa" w:w="2800"/>
            <w:shd w:fill="F2F5F7" w:color="auto" w:val="clear"/>
            <w:tcMar>
              <w:top w:type="dxa" w:w="70"/>
              <w:left w:type="dxa" w:w="100"/>
              <w:bottom w:type="dxa" w:w="70"/>
              <w:right w:type="dxa" w:w="100"/>
            </w:tcMar>
            <w:vAlign w:val="center"/>
          </w:tcPr>
          <w:p>
            <w:pPr>
              <w:jc w:val="center"/>
            </w:pPr>
            <w:r>
              <w:rPr>
                <w:color w:val="222222"/>
                <w:sz w:val="19"/>
                <w:szCs w:val="19"/>
              </w:rPr>
              <w:t xml:space="preserve">x̄ = Σfx / Σf</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Value at (N+1)/2ᵗʰ position via cumulative frequency</w:t>
            </w:r>
          </w:p>
        </w:tc>
        <w:tc>
          <w:tcPr>
            <w:tcW w:type="dxa" w:w="1850"/>
            <w:shd w:fill="F2F5F7" w:color="auto" w:val="clear"/>
            <w:tcMar>
              <w:top w:type="dxa" w:w="70"/>
              <w:left w:type="dxa" w:w="100"/>
              <w:bottom w:type="dxa" w:w="70"/>
              <w:right w:type="dxa" w:w="100"/>
            </w:tcMar>
            <w:vAlign w:val="center"/>
          </w:tcPr>
          <w:p>
            <w:pPr>
              <w:jc w:val="center"/>
            </w:pPr>
            <w:r>
              <w:rPr>
                <w:color w:val="222222"/>
                <w:sz w:val="19"/>
                <w:szCs w:val="19"/>
              </w:rPr>
              <w:t xml:space="preserve">Value with the highest frequency</w:t>
            </w:r>
          </w:p>
        </w:tc>
      </w:tr>
      <w:tr>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3. Continuous (Class) Data</w:t>
            </w:r>
          </w:p>
        </w:tc>
        <w:tc>
          <w:tcPr>
            <w:tcW w:type="dxa" w:w="2800"/>
            <w:shd w:fill="FFFFFF" w:color="auto" w:val="clear"/>
            <w:tcMar>
              <w:top w:type="dxa" w:w="70"/>
              <w:left w:type="dxa" w:w="100"/>
              <w:bottom w:type="dxa" w:w="70"/>
              <w:right w:type="dxa" w:w="100"/>
            </w:tcMar>
            <w:vAlign w:val="center"/>
          </w:tcPr>
          <w:p>
            <w:pPr>
              <w:jc w:val="center"/>
            </w:pPr>
            <w:r>
              <w:rPr>
                <w:color w:val="222222"/>
                <w:sz w:val="19"/>
                <w:szCs w:val="19"/>
              </w:rPr>
              <w:t xml:space="preserve">x̄ = A + [Σfd′/N] × h  (step deviation) or Σfx/N (direct)</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L + [(N/2 − cf)/f] × h</w:t>
            </w:r>
          </w:p>
        </w:tc>
        <w:tc>
          <w:tcPr>
            <w:tcW w:type="dxa" w:w="1850"/>
            <w:shd w:fill="FFFFFF" w:color="auto" w:val="clear"/>
            <w:tcMar>
              <w:top w:type="dxa" w:w="70"/>
              <w:left w:type="dxa" w:w="100"/>
              <w:bottom w:type="dxa" w:w="70"/>
              <w:right w:type="dxa" w:w="100"/>
            </w:tcMar>
            <w:vAlign w:val="center"/>
          </w:tcPr>
          <w:p>
            <w:pPr>
              <w:jc w:val="center"/>
            </w:pPr>
            <w:r>
              <w:rPr>
                <w:color w:val="222222"/>
                <w:sz w:val="19"/>
                <w:szCs w:val="19"/>
              </w:rPr>
              <w:t xml:space="preserve">L + [(f₁−f₀)/(2f₁−f₀−f₂)] × h</w:t>
            </w:r>
          </w:p>
        </w:tc>
      </w:tr>
    </w:tbl>
    <w:p>
      <w:pPr>
        <w:spacing w:after="200" w:before="60"/>
      </w:pPr>
      <w:r>
        <w:rPr>
          <w:i/>
          <w:iCs/>
          <w:color w:val="5A5A5A"/>
          <w:sz w:val="18"/>
          <w:szCs w:val="18"/>
        </w:rPr>
        <w:t xml:space="preserve">L = lower boundary of the median/modal class · f = frequency of that class · cf = cumulative frequency before it · h = class width · f₁,f₀,f₂ = modal, preceding &amp; succeeding class frequencies · A = assumed mean · d′ = (x−A)/h.</w:t>
      </w:r>
    </w:p>
    <w:p>
      <w:pPr>
        <w:pStyle w:val="Heading2"/>
        <w:spacing w:after="140" w:before="320"/>
      </w:pPr>
      <w:r>
        <w:rPr>
          <w:b/>
          <w:bCs/>
          <w:color w:val="0F766E"/>
          <w:sz w:val="25"/>
          <w:szCs w:val="25"/>
        </w:rPr>
        <w:t xml:space="preserve">4.3 Arithmetic Mean</w:t>
      </w:r>
    </w:p>
    <w:p>
      <w:pPr>
        <w:spacing w:after="140"/>
      </w:pPr>
      <w:r>
        <w:rPr>
          <w:color w:val="222222"/>
          <w:sz w:val="21"/>
          <w:szCs w:val="21"/>
        </w:rPr>
        <w:t xml:space="preserve">The Arithmetic Mean (commonly ‘the average’) is the value obtained by dividing the sum of all observations by their number. It is denoted x̄ (read ‘x-bar’).</w:t>
      </w:r>
    </w:p>
    <w:p>
      <w:pPr>
        <w:spacing w:after="100" w:before="200"/>
      </w:pPr>
      <w:r>
        <w:rPr>
          <w:b/>
          <w:bCs/>
          <w:color w:val="B8860B"/>
          <w:sz w:val="22"/>
          <w:szCs w:val="22"/>
        </w:rPr>
        <w:t xml:space="preserve">(a) Individual Observations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 Individual Observations</w:t>
            </w:r>
          </w:p>
          <w:p>
            <w:pPr>
              <w:spacing w:after="60"/>
            </w:pPr>
            <w:r>
              <w:rPr>
                <w:rFonts w:ascii="Cambria Math" w:cs="Cambria Math" w:eastAsia="Cambria Math" w:hAnsi="Cambria Math"/>
                <w:b/>
                <w:bCs/>
                <w:color w:val="1F3864"/>
                <w:sz w:val="22"/>
                <w:szCs w:val="22"/>
              </w:rPr>
              <w:t xml:space="preserve">x̄ = Σx / N</w:t>
            </w:r>
          </w:p>
          <w:p>
            <w:pPr>
              <w:spacing w:before="60"/>
            </w:pPr>
            <w:r>
              <w:rPr>
                <w:i/>
                <w:iCs/>
                <w:color w:val="5A5A5A"/>
                <w:sz w:val="19"/>
                <w:szCs w:val="19"/>
              </w:rPr>
              <w:t xml:space="preserve">N = number of observations.</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Daily Coffee-Shop Sales (₹’000)</w:t>
            </w:r>
          </w:p>
          <w:p>
            <w:pPr>
              <w:spacing w:after="55"/>
            </w:pPr>
            <w:r>
              <w:rPr>
                <w:color w:val="222222"/>
                <w:sz w:val="20"/>
                <w:szCs w:val="20"/>
              </w:rPr>
              <w:t xml:space="preserve">Data: 85, 92, 78, 110, 95, 130, 120</w:t>
            </w:r>
          </w:p>
          <w:p>
            <w:pPr>
              <w:spacing w:after="55"/>
            </w:pPr>
            <w:r>
              <w:rPr>
                <w:color w:val="222222"/>
                <w:sz w:val="20"/>
                <w:szCs w:val="20"/>
              </w:rPr>
              <w:t xml:space="preserve">Σx = 85+92+78+110+95+130+120 = 710</w:t>
            </w:r>
          </w:p>
          <w:p>
            <w:pPr>
              <w:spacing w:after="55"/>
            </w:pPr>
            <w:r>
              <w:rPr>
                <w:color w:val="222222"/>
                <w:sz w:val="20"/>
                <w:szCs w:val="20"/>
              </w:rPr>
              <w:t xml:space="preserve">N = 7</w:t>
            </w:r>
          </w:p>
          <w:p>
            <w:pPr>
              <w:spacing w:after="55"/>
            </w:pPr>
            <w:r>
              <w:rPr>
                <w:color w:val="222222"/>
                <w:sz w:val="20"/>
                <w:szCs w:val="20"/>
              </w:rPr>
              <w:t xml:space="preserve">x̄ = 710 / 7 = 101.43 (₹’000)</w:t>
            </w:r>
          </w:p>
        </w:tc>
      </w:tr>
    </w:tbl>
    <w:p>
      <w:pPr>
        <w:spacing w:after="120"/>
      </w:pPr>
    </w:p>
    <w:p>
      <w:pPr>
        <w:spacing w:after="100" w:before="200"/>
      </w:pPr>
      <w:r>
        <w:rPr>
          <w:b/>
          <w:bCs/>
          <w:color w:val="B8860B"/>
          <w:sz w:val="22"/>
          <w:szCs w:val="22"/>
        </w:rPr>
        <w:t xml:space="preserve">(b) Discrete Frequency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 Discrete Series</w:t>
            </w:r>
          </w:p>
          <w:p>
            <w:pPr>
              <w:spacing w:after="60"/>
            </w:pPr>
            <w:r>
              <w:rPr>
                <w:rFonts w:ascii="Cambria Math" w:cs="Cambria Math" w:eastAsia="Cambria Math" w:hAnsi="Cambria Math"/>
                <w:b/>
                <w:bCs/>
                <w:color w:val="1F3864"/>
                <w:sz w:val="22"/>
                <w:szCs w:val="22"/>
              </w:rPr>
              <w:t xml:space="preserve">x̄ = Σfx / Σf</w:t>
            </w:r>
          </w:p>
          <w:p>
            <w:pPr>
              <w:spacing w:before="60"/>
            </w:pPr>
            <w:r>
              <w:rPr>
                <w:i/>
                <w:iCs/>
                <w:color w:val="5A5A5A"/>
                <w:sz w:val="19"/>
                <w:szCs w:val="19"/>
              </w:rPr>
              <w:t xml:space="preserve">Each value x is multiplied by its frequency f before summing.</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Online Orders Placed by Customers</w:t>
            </w:r>
          </w:p>
          <w:p>
            <w:pPr>
              <w:spacing w:after="55"/>
            </w:pPr>
            <w:r>
              <w:rPr>
                <w:color w:val="222222"/>
                <w:sz w:val="20"/>
                <w:szCs w:val="20"/>
              </w:rPr>
              <w:t xml:space="preserve">x : 1, 2, 3, 4, 5   |   f : 8, 15, 20, 10, 7</w:t>
            </w:r>
          </w:p>
          <w:p>
            <w:pPr>
              <w:spacing w:after="55"/>
            </w:pPr>
            <w:r>
              <w:rPr>
                <w:color w:val="222222"/>
                <w:sz w:val="20"/>
                <w:szCs w:val="20"/>
              </w:rPr>
              <w:t xml:space="preserve">fx : 8, 30, 60, 40, 35</w:t>
            </w:r>
          </w:p>
          <w:p>
            <w:pPr>
              <w:spacing w:after="55"/>
            </w:pPr>
            <w:r>
              <w:rPr>
                <w:color w:val="222222"/>
                <w:sz w:val="20"/>
                <w:szCs w:val="20"/>
              </w:rPr>
              <w:t xml:space="preserve">Σf = N = 60,  Σfx = 173</w:t>
            </w:r>
          </w:p>
          <w:p>
            <w:pPr>
              <w:spacing w:after="55"/>
            </w:pPr>
            <w:r>
              <w:rPr>
                <w:color w:val="222222"/>
                <w:sz w:val="20"/>
                <w:szCs w:val="20"/>
              </w:rPr>
              <w:t xml:space="preserve">x̄ = 173 / 60 = 2.88 orders</w:t>
            </w:r>
          </w:p>
        </w:tc>
      </w:tr>
    </w:tbl>
    <w:p>
      <w:pPr>
        <w:spacing w:after="120"/>
      </w:pPr>
    </w:p>
    <w:p>
      <w:pPr>
        <w:spacing w:after="100" w:before="200"/>
      </w:pPr>
      <w:r>
        <w:rPr>
          <w:b/>
          <w:bCs/>
          <w:color w:val="B8860B"/>
          <w:sz w:val="22"/>
          <w:szCs w:val="22"/>
        </w:rPr>
        <w:t xml:space="preserve">(c) Continuous (Grouped) Data — Direct Method</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 Continuous Series (Direct Method)</w:t>
            </w:r>
          </w:p>
          <w:p>
            <w:pPr>
              <w:spacing w:after="60"/>
            </w:pPr>
            <w:r>
              <w:rPr>
                <w:rFonts w:ascii="Cambria Math" w:cs="Cambria Math" w:eastAsia="Cambria Math" w:hAnsi="Cambria Math"/>
                <w:b/>
                <w:bCs/>
                <w:color w:val="1F3864"/>
                <w:sz w:val="22"/>
                <w:szCs w:val="22"/>
              </w:rPr>
              <w:t xml:space="preserve">x̄ = Σfx / N</w:t>
            </w:r>
          </w:p>
          <w:p>
            <w:pPr>
              <w:spacing w:before="60"/>
            </w:pPr>
            <w:r>
              <w:rPr>
                <w:i/>
                <w:iCs/>
                <w:color w:val="5A5A5A"/>
                <w:sz w:val="19"/>
                <w:szCs w:val="19"/>
              </w:rPr>
              <w:t xml:space="preserve">x here is the class midpoint; an assumption is made that all values in a class are concentrated at its midpoint.</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Students’ Marks (Direct Method)</w:t>
            </w:r>
          </w:p>
          <w:p>
            <w:pPr>
              <w:spacing w:after="55"/>
            </w:pPr>
            <w:r>
              <w:rPr>
                <w:color w:val="222222"/>
                <w:sz w:val="20"/>
                <w:szCs w:val="20"/>
              </w:rPr>
              <w:t xml:space="preserve">Class: 0–10, 10–20, 20–30, 30–40, 40–50</w:t>
            </w:r>
          </w:p>
          <w:p>
            <w:pPr>
              <w:spacing w:after="55"/>
            </w:pPr>
            <w:r>
              <w:rPr>
                <w:color w:val="222222"/>
                <w:sz w:val="20"/>
                <w:szCs w:val="20"/>
              </w:rPr>
              <w:t xml:space="preserve">f: 4, 8, 12, 10, 6            Midpoint (x): 5, 15, 25, 35, 45</w:t>
            </w:r>
          </w:p>
          <w:p>
            <w:pPr>
              <w:spacing w:after="55"/>
            </w:pPr>
            <w:r>
              <w:rPr>
                <w:color w:val="222222"/>
                <w:sz w:val="20"/>
                <w:szCs w:val="20"/>
              </w:rPr>
              <w:t xml:space="preserve">fx: 20, 120, 300, 350, 270</w:t>
            </w:r>
          </w:p>
          <w:p>
            <w:pPr>
              <w:spacing w:after="55"/>
            </w:pPr>
            <w:r>
              <w:rPr>
                <w:color w:val="222222"/>
                <w:sz w:val="20"/>
                <w:szCs w:val="20"/>
              </w:rPr>
              <w:t xml:space="preserve">N = Σf = 40,   Σfx = 1060</w:t>
            </w:r>
          </w:p>
          <w:p>
            <w:pPr>
              <w:spacing w:after="55"/>
            </w:pPr>
            <w:r>
              <w:rPr>
                <w:color w:val="222222"/>
                <w:sz w:val="20"/>
                <w:szCs w:val="20"/>
              </w:rPr>
              <w:t xml:space="preserve">x̄ = 1060 / 40 = 26.5 marks</w:t>
            </w:r>
          </w:p>
        </w:tc>
      </w:tr>
    </w:tbl>
    <w:p>
      <w:pPr>
        <w:spacing w:after="120"/>
      </w:pPr>
    </w:p>
    <w:p>
      <w:pPr>
        <w:spacing w:after="100" w:before="200"/>
      </w:pPr>
      <w:r>
        <w:rPr>
          <w:b/>
          <w:bCs/>
          <w:color w:val="B8860B"/>
          <w:sz w:val="22"/>
          <w:szCs w:val="22"/>
        </w:rPr>
        <w:t xml:space="preserve">(d) Step-Deviation Method (Shortcut for Grouped Mean)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 Step-Deviation Method</w:t>
            </w:r>
          </w:p>
          <w:p>
            <w:pPr>
              <w:spacing w:after="60"/>
            </w:pPr>
            <w:r>
              <w:rPr>
                <w:rFonts w:ascii="Cambria Math" w:cs="Cambria Math" w:eastAsia="Cambria Math" w:hAnsi="Cambria Math"/>
                <w:b/>
                <w:bCs/>
                <w:color w:val="1F3864"/>
                <w:sz w:val="22"/>
                <w:szCs w:val="22"/>
              </w:rPr>
              <w:t xml:space="preserve">x̄ = A ± [Σfd′ / N] × C</w:t>
            </w:r>
          </w:p>
          <w:p>
            <w:pPr>
              <w:spacing w:after="60"/>
            </w:pPr>
            <w:r>
              <w:rPr>
                <w:rFonts w:ascii="Cambria Math" w:cs="Cambria Math" w:eastAsia="Cambria Math" w:hAnsi="Cambria Math"/>
                <w:b/>
                <w:bCs/>
                <w:color w:val="1F3864"/>
                <w:sz w:val="22"/>
                <w:szCs w:val="22"/>
              </w:rPr>
              <w:t xml:space="preserve">where d′ = (x − A) / C</w:t>
            </w:r>
          </w:p>
          <w:p>
            <w:pPr>
              <w:spacing w:before="60"/>
            </w:pPr>
            <w:r>
              <w:rPr>
                <w:i/>
                <w:iCs/>
                <w:color w:val="5A5A5A"/>
                <w:sz w:val="19"/>
                <w:szCs w:val="19"/>
              </w:rPr>
              <w:t xml:space="preserve">A = assumed mean (any convenient midpoint), C = common class width. This was the classical hand-calculation shortcut and still appears frequently in exams.</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Same Marks Data, Using Step-Deviation (A = 25, C = 10)</w:t>
            </w:r>
          </w:p>
          <w:p>
            <w:pPr>
              <w:spacing w:after="55"/>
            </w:pPr>
            <w:r>
              <w:rPr>
                <w:color w:val="222222"/>
                <w:sz w:val="20"/>
                <w:szCs w:val="20"/>
              </w:rPr>
              <w:t xml:space="preserve">Class 0–10: x=5, f=4, d=x−A=−20, d′=−2, fd′=−8</w:t>
            </w:r>
          </w:p>
          <w:p>
            <w:pPr>
              <w:spacing w:after="55"/>
            </w:pPr>
            <w:r>
              <w:rPr>
                <w:color w:val="222222"/>
                <w:sz w:val="20"/>
                <w:szCs w:val="20"/>
              </w:rPr>
              <w:t xml:space="preserve">Class 10–20: x=15, f=8, d=−10, d′=−1, fd′=−8</w:t>
            </w:r>
          </w:p>
          <w:p>
            <w:pPr>
              <w:spacing w:after="55"/>
            </w:pPr>
            <w:r>
              <w:rPr>
                <w:color w:val="222222"/>
                <w:sz w:val="20"/>
                <w:szCs w:val="20"/>
              </w:rPr>
              <w:t xml:space="preserve">Class 20–30: x=25, f=12, d=0, d′=0, fd′=0</w:t>
            </w:r>
          </w:p>
          <w:p>
            <w:pPr>
              <w:spacing w:after="55"/>
            </w:pPr>
            <w:r>
              <w:rPr>
                <w:color w:val="222222"/>
                <w:sz w:val="20"/>
                <w:szCs w:val="20"/>
              </w:rPr>
              <w:t xml:space="preserve">Class 30–40: x=35, f=10, d=10, d′=1, fd′=10</w:t>
            </w:r>
          </w:p>
          <w:p>
            <w:pPr>
              <w:spacing w:after="55"/>
            </w:pPr>
            <w:r>
              <w:rPr>
                <w:color w:val="222222"/>
                <w:sz w:val="20"/>
                <w:szCs w:val="20"/>
              </w:rPr>
              <w:t xml:space="preserve">Class 40–50: x=45, f=6, d=20, d′=2, fd′=12</w:t>
            </w:r>
          </w:p>
          <w:p>
            <w:pPr>
              <w:spacing w:after="55"/>
            </w:pPr>
            <w:r>
              <w:rPr>
                <w:color w:val="222222"/>
                <w:sz w:val="20"/>
                <w:szCs w:val="20"/>
              </w:rPr>
              <w:t xml:space="preserve">N=40,  Σfd′ = −8−8+0+10+12 = 6</w:t>
            </w:r>
          </w:p>
          <w:p>
            <w:pPr>
              <w:spacing w:after="55"/>
            </w:pPr>
            <w:r>
              <w:rPr>
                <w:color w:val="222222"/>
                <w:sz w:val="20"/>
                <w:szCs w:val="20"/>
              </w:rPr>
              <w:t xml:space="preserve">x̄ = 25 + (6/40)×10 = 25 + 1.5 = 26.5 marks  — identical to the direct method, with smaller numbers to handle.</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The step-deviation trick you just used is the ancestor of ‘standardizing’ a variable (z-scores) in inferential statistics — both re-centre and re-scale data to make the arithmetic easier.</w:t>
            </w:r>
          </w:p>
        </w:tc>
      </w:tr>
    </w:tbl>
    <w:p>
      <w:pPr>
        <w:pStyle w:val="Heading2"/>
        <w:spacing w:after="140" w:before="320"/>
      </w:pPr>
      <w:r>
        <w:rPr>
          <w:b/>
          <w:bCs/>
          <w:color w:val="0F766E"/>
          <w:sz w:val="25"/>
          <w:szCs w:val="25"/>
        </w:rPr>
        <w:t xml:space="preserve">4.4 Median</w:t>
      </w:r>
    </w:p>
    <w:p>
      <w:pPr>
        <w:spacing w:after="140"/>
      </w:pPr>
      <w:r>
        <w:rPr>
          <w:color w:val="222222"/>
          <w:sz w:val="21"/>
          <w:szCs w:val="21"/>
        </w:rPr>
        <w:t xml:space="preserve">The Median is the value of the item that divides a series, arranged in ascending or descending order, into two equal parts — one half greater than it, the other half smaller. It is the ‘middle-most’ value.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c>
          <w:tcPr>
            <w:tcW w:type="dxa" w:w="4675"/>
            <w:shd w:fill="F2F5F7" w:color="auto" w:val="clear"/>
            <w:tcMar>
              <w:top w:type="dxa" w:w="140"/>
              <w:left w:type="dxa" w:w="180"/>
              <w:bottom w:type="dxa" w:w="140"/>
              <w:right w:type="dxa" w:w="180"/>
            </w:tcMar>
          </w:tcPr>
          <w:p>
            <w:pPr>
              <w:spacing w:after="80"/>
            </w:pPr>
            <w:r>
              <w:rPr>
                <w:b/>
                <w:bCs/>
                <w:color w:val="1F5C2E"/>
                <w:sz w:val="20"/>
                <w:szCs w:val="20"/>
              </w:rPr>
              <w:t xml:space="preserve">MERITS</w:t>
            </w:r>
          </w:p>
          <w:p>
            <w:pPr>
              <w:spacing w:after="50"/>
            </w:pPr>
            <w:r>
              <w:rPr>
                <w:sz w:val="19"/>
                <w:szCs w:val="19"/>
              </w:rPr>
              <w:t xml:space="preserve">1. Easy to compute and understand</w:t>
            </w:r>
          </w:p>
          <w:p>
            <w:pPr>
              <w:spacing w:after="50"/>
            </w:pPr>
            <w:r>
              <w:rPr>
                <w:sz w:val="19"/>
                <w:szCs w:val="19"/>
              </w:rPr>
              <w:t xml:space="preserve">2. Eliminates the effect of extreme values (robust to outliers)</w:t>
            </w:r>
          </w:p>
          <w:p>
            <w:pPr>
              <w:spacing w:after="50"/>
            </w:pPr>
            <w:r>
              <w:rPr>
                <w:sz w:val="19"/>
                <w:szCs w:val="19"/>
              </w:rPr>
              <w:t xml:space="preserve">3. Can be located graphically (via the ogive)</w:t>
            </w:r>
          </w:p>
          <w:p>
            <w:pPr>
              <w:spacing w:after="50"/>
            </w:pPr>
            <w:r>
              <w:rPr>
                <w:sz w:val="19"/>
                <w:szCs w:val="19"/>
              </w:rPr>
              <w:t xml:space="preserve">4. Usable in further statistical work such as dispersion measures</w:t>
            </w:r>
          </w:p>
          <w:p>
            <w:pPr>
              <w:spacing w:after="50"/>
            </w:pPr>
            <w:r>
              <w:rPr>
                <w:sz w:val="19"/>
                <w:szCs w:val="19"/>
              </w:rPr>
              <w:t xml:space="preserve">5. Can be computed even if extreme values are unknown</w:t>
            </w:r>
          </w:p>
        </w:tc>
        <w:tc>
          <w:tcPr>
            <w:tcW w:type="dxa" w:w="4675"/>
            <w:shd w:fill="F2F5F7" w:color="auto" w:val="clear"/>
            <w:tcMar>
              <w:top w:type="dxa" w:w="140"/>
              <w:left w:type="dxa" w:w="180"/>
              <w:bottom w:type="dxa" w:w="140"/>
              <w:right w:type="dxa" w:w="180"/>
            </w:tcMar>
          </w:tcPr>
          <w:p>
            <w:pPr>
              <w:spacing w:after="80"/>
            </w:pPr>
            <w:r>
              <w:rPr>
                <w:b/>
                <w:bCs/>
                <w:color w:val="7A2E2E"/>
                <w:sz w:val="20"/>
                <w:szCs w:val="20"/>
              </w:rPr>
              <w:t xml:space="preserve">DEMERITS</w:t>
            </w:r>
          </w:p>
          <w:p>
            <w:pPr>
              <w:spacing w:after="50"/>
            </w:pPr>
            <w:r>
              <w:rPr>
                <w:sz w:val="19"/>
                <w:szCs w:val="19"/>
              </w:rPr>
              <w:t xml:space="preserve">1. Requires the data to be arranged in order first</w:t>
            </w:r>
          </w:p>
          <w:p>
            <w:pPr>
              <w:spacing w:after="50"/>
            </w:pPr>
            <w:r>
              <w:rPr>
                <w:sz w:val="19"/>
                <w:szCs w:val="19"/>
              </w:rPr>
              <w:t xml:space="preserve">2. Not a fully typical representative if the distribution is very irregular</w:t>
            </w:r>
          </w:p>
          <w:p>
            <w:pPr>
              <w:spacing w:after="50"/>
            </w:pPr>
            <w:r>
              <w:rPr>
                <w:sz w:val="19"/>
                <w:szCs w:val="19"/>
              </w:rPr>
              <w:t xml:space="preserve">3. More affected by sampling fluctuation than the mean</w:t>
            </w:r>
          </w:p>
        </w:tc>
      </w:tr>
    </w:tbl>
    <w:p>
      <w:pPr>
        <w:spacing w:after="120"/>
      </w:pPr>
    </w:p>
    <w:p>
      <w:pPr>
        <w:spacing w:after="100" w:before="200"/>
      </w:pPr>
      <w:r>
        <w:rPr>
          <w:b/>
          <w:bCs/>
          <w:color w:val="B8860B"/>
          <w:sz w:val="22"/>
          <w:szCs w:val="22"/>
        </w:rPr>
        <w:t xml:space="preserve">(a) Individual Observations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Median — Individual Series</w:t>
            </w:r>
          </w:p>
          <w:p>
            <w:pPr>
              <w:spacing w:after="60"/>
            </w:pPr>
            <w:r>
              <w:rPr>
                <w:rFonts w:ascii="Cambria Math" w:cs="Cambria Math" w:eastAsia="Cambria Math" w:hAnsi="Cambria Math"/>
                <w:b/>
                <w:bCs/>
                <w:color w:val="1F3864"/>
                <w:sz w:val="22"/>
                <w:szCs w:val="22"/>
              </w:rPr>
              <w:t xml:space="preserve">Median = Value at [(N+1)/2]ᵗʰ position, after sorting (odd N)</w:t>
            </w:r>
          </w:p>
          <w:p>
            <w:pPr>
              <w:spacing w:after="60"/>
            </w:pPr>
            <w:r>
              <w:rPr>
                <w:rFonts w:ascii="Cambria Math" w:cs="Cambria Math" w:eastAsia="Cambria Math" w:hAnsi="Cambria Math"/>
                <w:b/>
                <w:bCs/>
                <w:color w:val="1F3864"/>
                <w:sz w:val="22"/>
                <w:szCs w:val="22"/>
              </w:rPr>
              <w:t xml:space="preserve">Median = Average of [N/2]ᵗʰ and [N/2 + 1]ᵗʰ values (even N)</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Median of 8, 10, 5, 9, 12, 11</w:t>
            </w:r>
          </w:p>
          <w:p>
            <w:pPr>
              <w:spacing w:after="55"/>
            </w:pPr>
            <w:r>
              <w:rPr>
                <w:color w:val="222222"/>
                <w:sz w:val="20"/>
                <w:szCs w:val="20"/>
              </w:rPr>
              <w:t xml:space="preserve">Sorted: 5, 8, 9, 10, 11, 12</w:t>
            </w:r>
          </w:p>
          <w:p>
            <w:pPr>
              <w:spacing w:after="55"/>
            </w:pPr>
            <w:r>
              <w:rPr>
                <w:color w:val="222222"/>
                <w:sz w:val="20"/>
                <w:szCs w:val="20"/>
              </w:rPr>
              <w:t xml:space="preserve">N = 6 (even) → average of 3rd and 4th values</w:t>
            </w:r>
          </w:p>
          <w:p>
            <w:pPr>
              <w:spacing w:after="55"/>
            </w:pPr>
            <w:r>
              <w:rPr>
                <w:color w:val="222222"/>
                <w:sz w:val="20"/>
                <w:szCs w:val="20"/>
              </w:rPr>
              <w:t xml:space="preserve">Median = (9 + 10) / 2 = 9.5</w:t>
            </w:r>
          </w:p>
        </w:tc>
      </w:tr>
    </w:tbl>
    <w:p>
      <w:pPr>
        <w:spacing w:after="120"/>
      </w:pPr>
    </w:p>
    <w:p>
      <w:pPr>
        <w:spacing w:after="100" w:before="200"/>
      </w:pPr>
      <w:r>
        <w:rPr>
          <w:b/>
          <w:bCs/>
          <w:color w:val="B8860B"/>
          <w:sz w:val="22"/>
          <w:szCs w:val="22"/>
        </w:rPr>
        <w:t xml:space="preserve">(b) Discrete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Median — Discrete Series</w:t>
            </w:r>
          </w:p>
          <w:p>
            <w:pPr>
              <w:spacing w:after="60"/>
            </w:pPr>
            <w:r>
              <w:rPr>
                <w:rFonts w:ascii="Cambria Math" w:cs="Cambria Math" w:eastAsia="Cambria Math" w:hAnsi="Cambria Math"/>
                <w:b/>
                <w:bCs/>
                <w:color w:val="1F3864"/>
                <w:sz w:val="22"/>
                <w:szCs w:val="22"/>
              </w:rPr>
              <w:t xml:space="preserve">Median = Size of the [(N+1)/2]ᵗʰ item, located via the cumulative frequency column</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Shoe Sizes Sold in a Store</w:t>
            </w:r>
          </w:p>
          <w:p>
            <w:pPr>
              <w:spacing w:after="55"/>
            </w:pPr>
            <w:r>
              <w:rPr>
                <w:color w:val="222222"/>
                <w:sz w:val="20"/>
                <w:szCs w:val="20"/>
              </w:rPr>
              <w:t xml:space="preserve">Size: 5, 5.5, 6, 6.5, 7, 7.5, 8    f: 10,16,28,15,30,40,34</w:t>
            </w:r>
          </w:p>
          <w:p>
            <w:pPr>
              <w:spacing w:after="55"/>
            </w:pPr>
            <w:r>
              <w:rPr>
                <w:color w:val="222222"/>
                <w:sz w:val="20"/>
                <w:szCs w:val="20"/>
              </w:rPr>
              <w:t xml:space="preserve">Cumulative f (cf): 10, 26, 54, 69, 99, 139, 173</w:t>
            </w:r>
          </w:p>
          <w:p>
            <w:pPr>
              <w:spacing w:after="55"/>
            </w:pPr>
            <w:r>
              <w:rPr>
                <w:color w:val="222222"/>
                <w:sz w:val="20"/>
                <w:szCs w:val="20"/>
              </w:rPr>
              <w:t xml:space="preserve">N = 173 → (N+1)/2 = 87th item</w:t>
            </w:r>
          </w:p>
          <w:p>
            <w:pPr>
              <w:spacing w:after="55"/>
            </w:pPr>
            <w:r>
              <w:rPr>
                <w:color w:val="222222"/>
                <w:sz w:val="20"/>
                <w:szCs w:val="20"/>
              </w:rPr>
              <w:t xml:space="preserve">The 87th item falls in the cf = 99 row → Median size = 7</w:t>
            </w:r>
          </w:p>
        </w:tc>
      </w:tr>
    </w:tbl>
    <w:p>
      <w:pPr>
        <w:spacing w:after="120"/>
      </w:pPr>
    </w:p>
    <w:p>
      <w:pPr>
        <w:spacing w:after="100" w:before="200"/>
      </w:pPr>
      <w:r>
        <w:rPr>
          <w:b/>
          <w:bCs/>
          <w:color w:val="B8860B"/>
          <w:sz w:val="22"/>
          <w:szCs w:val="22"/>
        </w:rPr>
        <w:t xml:space="preserve">(c) Continuous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Median — Continuous Series</w:t>
            </w:r>
          </w:p>
          <w:p>
            <w:pPr>
              <w:spacing w:after="60"/>
            </w:pPr>
            <w:r>
              <w:rPr>
                <w:rFonts w:ascii="Cambria Math" w:cs="Cambria Math" w:eastAsia="Cambria Math" w:hAnsi="Cambria Math"/>
                <w:b/>
                <w:bCs/>
                <w:color w:val="1F3864"/>
                <w:sz w:val="22"/>
                <w:szCs w:val="22"/>
              </w:rPr>
              <w:t xml:space="preserve">Median = L + [(N/2 − cf) / f] × h</w:t>
            </w:r>
          </w:p>
          <w:p>
            <w:pPr>
              <w:spacing w:before="60"/>
            </w:pPr>
            <w:r>
              <w:rPr>
                <w:i/>
                <w:iCs/>
                <w:color w:val="5A5A5A"/>
                <w:sz w:val="19"/>
                <w:szCs w:val="19"/>
              </w:rPr>
              <w:t xml:space="preserve">L = lower boundary of the median class · cf = cumulative frequency before the median class · f = frequency of the median class · h = class width.</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Median of the Students’ Marks Data</w:t>
            </w:r>
          </w:p>
          <w:p>
            <w:pPr>
              <w:spacing w:after="55"/>
            </w:pPr>
            <w:r>
              <w:rPr>
                <w:color w:val="222222"/>
                <w:sz w:val="20"/>
                <w:szCs w:val="20"/>
              </w:rPr>
              <w:t xml:space="preserve">Class: 0–10,10–20,20–30,30–40,40–50   f: 4,8,12,10,6   cf: 4,12,24,34,40</w:t>
            </w:r>
          </w:p>
          <w:p>
            <w:pPr>
              <w:spacing w:after="55"/>
            </w:pPr>
            <w:r>
              <w:rPr>
                <w:color w:val="222222"/>
                <w:sz w:val="20"/>
                <w:szCs w:val="20"/>
              </w:rPr>
              <w:t xml:space="preserve">N/2 = 40/2 = 20 → falls in class 20–30 (cf just crosses 20 here)</w:t>
            </w:r>
          </w:p>
          <w:p>
            <w:pPr>
              <w:spacing w:after="55"/>
            </w:pPr>
            <w:r>
              <w:rPr>
                <w:color w:val="222222"/>
                <w:sz w:val="20"/>
                <w:szCs w:val="20"/>
              </w:rPr>
              <w:t xml:space="preserve">L=20, cf(before)=12, f=12, h=10</w:t>
            </w:r>
          </w:p>
          <w:p>
            <w:pPr>
              <w:spacing w:after="55"/>
            </w:pPr>
            <w:r>
              <w:rPr>
                <w:color w:val="222222"/>
                <w:sz w:val="20"/>
                <w:szCs w:val="20"/>
              </w:rPr>
              <w:t xml:space="preserve">Median = 20 + [(20−12)/12] × 10 = 20 + 6.67 = 26.67 marks</w:t>
            </w:r>
          </w:p>
        </w:tc>
      </w:tr>
    </w:tbl>
    <w:p>
      <w:pPr>
        <w:pStyle w:val="Heading2"/>
        <w:spacing w:after="140" w:before="320"/>
      </w:pPr>
      <w:r>
        <w:rPr>
          <w:b/>
          <w:bCs/>
          <w:color w:val="0F766E"/>
          <w:sz w:val="25"/>
          <w:szCs w:val="25"/>
        </w:rPr>
        <w:t xml:space="preserve">4.5 Mode</w:t>
      </w:r>
    </w:p>
    <w:p>
      <w:pPr>
        <w:spacing w:after="140"/>
      </w:pPr>
      <w:r>
        <w:rPr>
          <w:color w:val="222222"/>
          <w:sz w:val="21"/>
          <w:szCs w:val="21"/>
        </w:rPr>
        <w:t xml:space="preserve">Mode — from the French ‘La Mode’ (‘the fashion’) — is the value that occurs most frequently in a distribution; the most ‘typical’ or ‘fashionable’ value.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c>
          <w:tcPr>
            <w:tcW w:type="dxa" w:w="4675"/>
            <w:shd w:fill="F2F5F7" w:color="auto" w:val="clear"/>
            <w:tcMar>
              <w:top w:type="dxa" w:w="140"/>
              <w:left w:type="dxa" w:w="180"/>
              <w:bottom w:type="dxa" w:w="140"/>
              <w:right w:type="dxa" w:w="180"/>
            </w:tcMar>
          </w:tcPr>
          <w:p>
            <w:pPr>
              <w:spacing w:after="80"/>
            </w:pPr>
            <w:r>
              <w:rPr>
                <w:b/>
                <w:bCs/>
                <w:color w:val="1F5C2E"/>
                <w:sz w:val="20"/>
                <w:szCs w:val="20"/>
              </w:rPr>
              <w:t xml:space="preserve">MERITS</w:t>
            </w:r>
          </w:p>
          <w:p>
            <w:pPr>
              <w:spacing w:after="50"/>
            </w:pPr>
            <w:r>
              <w:rPr>
                <w:sz w:val="19"/>
                <w:szCs w:val="19"/>
              </w:rPr>
              <w:t xml:space="preserve">1. Easily ascertained, with little mathematical calculation</w:t>
            </w:r>
          </w:p>
          <w:p>
            <w:pPr>
              <w:spacing w:after="50"/>
            </w:pPr>
            <w:r>
              <w:rPr>
                <w:sz w:val="19"/>
                <w:szCs w:val="19"/>
              </w:rPr>
              <w:t xml:space="preserve">2. Doesn’t require knowledge of every item in the series</w:t>
            </w:r>
          </w:p>
          <w:p>
            <w:pPr>
              <w:spacing w:after="50"/>
            </w:pPr>
            <w:r>
              <w:rPr>
                <w:sz w:val="19"/>
                <w:szCs w:val="19"/>
              </w:rPr>
              <w:t xml:space="preserve">3. Open-end classes don’t disturb its position</w:t>
            </w:r>
          </w:p>
          <w:p>
            <w:pPr>
              <w:spacing w:after="50"/>
            </w:pPr>
            <w:r>
              <w:rPr>
                <w:sz w:val="19"/>
                <w:szCs w:val="19"/>
              </w:rPr>
              <w:t xml:space="preserve">4. Can be found graphically as well as empirically</w:t>
            </w:r>
          </w:p>
          <w:p>
            <w:pPr>
              <w:spacing w:after="50"/>
            </w:pPr>
            <w:r>
              <w:rPr>
                <w:sz w:val="19"/>
                <w:szCs w:val="19"/>
              </w:rPr>
              <w:t xml:space="preserve">5. Applicable to qualitative as well as quantitative data</w:t>
            </w:r>
          </w:p>
          <w:p>
            <w:pPr>
              <w:spacing w:after="50"/>
            </w:pPr>
            <w:r>
              <w:rPr>
                <w:sz w:val="19"/>
                <w:szCs w:val="19"/>
              </w:rPr>
              <w:t xml:space="preserve">6. Not affected by extreme values</w:t>
            </w:r>
          </w:p>
        </w:tc>
        <w:tc>
          <w:tcPr>
            <w:tcW w:type="dxa" w:w="4675"/>
            <w:shd w:fill="F2F5F7" w:color="auto" w:val="clear"/>
            <w:tcMar>
              <w:top w:type="dxa" w:w="140"/>
              <w:left w:type="dxa" w:w="180"/>
              <w:bottom w:type="dxa" w:w="140"/>
              <w:right w:type="dxa" w:w="180"/>
            </w:tcMar>
          </w:tcPr>
          <w:p>
            <w:pPr>
              <w:spacing w:after="80"/>
            </w:pPr>
            <w:r>
              <w:rPr>
                <w:b/>
                <w:bCs/>
                <w:color w:val="7A2E2E"/>
                <w:sz w:val="20"/>
                <w:szCs w:val="20"/>
              </w:rPr>
              <w:t xml:space="preserve">DEMERITS</w:t>
            </w:r>
          </w:p>
          <w:p>
            <w:pPr>
              <w:spacing w:after="50"/>
            </w:pPr>
            <w:r>
              <w:rPr>
                <w:sz w:val="19"/>
                <w:szCs w:val="19"/>
              </w:rPr>
              <w:t xml:space="preserve">1. Less useful when the distribution is bimodal or multimodal</w:t>
            </w:r>
          </w:p>
          <w:p>
            <w:pPr>
              <w:spacing w:after="50"/>
            </w:pPr>
            <w:r>
              <w:rPr>
                <w:sz w:val="19"/>
                <w:szCs w:val="19"/>
              </w:rPr>
              <w:t xml:space="preserve">2. Not suitable for further algebraic treatment</w:t>
            </w:r>
          </w:p>
          <w:p>
            <w:pPr>
              <w:spacing w:after="50"/>
            </w:pPr>
            <w:r>
              <w:rPr>
                <w:sz w:val="19"/>
                <w:szCs w:val="19"/>
              </w:rPr>
              <w:t xml:space="preserve">3. Stable only in large samples</w:t>
            </w:r>
          </w:p>
          <w:p>
            <w:pPr>
              <w:spacing w:after="50"/>
            </w:pPr>
            <w:r>
              <w:rPr>
                <w:sz w:val="19"/>
                <w:szCs w:val="19"/>
              </w:rPr>
              <w:t xml:space="preserve">4. Influenced by the width chosen for class intervals</w:t>
            </w:r>
          </w:p>
        </w:tc>
      </w:tr>
    </w:tbl>
    <w:p>
      <w:pPr>
        <w:spacing w:after="120"/>
      </w:pPr>
    </w:p>
    <w:p>
      <w:pPr>
        <w:spacing w:after="100" w:before="200"/>
      </w:pPr>
      <w:r>
        <w:rPr>
          <w:b/>
          <w:bCs/>
          <w:color w:val="B8860B"/>
          <w:sz w:val="22"/>
          <w:szCs w:val="22"/>
        </w:rPr>
        <w:t xml:space="preserve">Types of Mode by Number of Peaks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2450"/>
        <w:gridCol w:w="4800"/>
      </w:tblGrid>
      <w:tr>
        <w:trPr>
          <w:tblHeader/>
        </w:trPr>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2450"/>
            <w:shd w:fill="1F3864" w:color="auto" w:val="clear"/>
            <w:tcMar>
              <w:top w:type="dxa" w:w="80"/>
              <w:left w:type="dxa" w:w="100"/>
              <w:bottom w:type="dxa" w:w="80"/>
              <w:right w:type="dxa" w:w="100"/>
            </w:tcMar>
            <w:vAlign w:val="center"/>
          </w:tcPr>
          <w:p>
            <w:pPr>
              <w:jc w:val="center"/>
            </w:pPr>
            <w:r>
              <w:rPr>
                <w:b/>
                <w:bCs/>
                <w:color w:val="FFFFFF"/>
                <w:sz w:val="19"/>
                <w:szCs w:val="19"/>
              </w:rPr>
              <w:t xml:space="preserve">Meaning</w:t>
            </w:r>
          </w:p>
        </w:tc>
        <w:tc>
          <w:tcPr>
            <w:tcW w:type="dxa" w:w="480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Unimodal</w:t>
            </w:r>
          </w:p>
        </w:tc>
        <w:tc>
          <w:tcPr>
            <w:tcW w:type="dxa" w:w="2450"/>
            <w:shd w:fill="FFFFFF" w:color="auto" w:val="clear"/>
            <w:tcMar>
              <w:top w:type="dxa" w:w="70"/>
              <w:left w:type="dxa" w:w="100"/>
              <w:bottom w:type="dxa" w:w="70"/>
              <w:right w:type="dxa" w:w="100"/>
            </w:tcMar>
            <w:vAlign w:val="center"/>
          </w:tcPr>
          <w:p>
            <w:pPr>
              <w:jc w:val="center"/>
            </w:pPr>
            <w:r>
              <w:rPr>
                <w:color w:val="222222"/>
                <w:sz w:val="19"/>
                <w:szCs w:val="19"/>
              </w:rPr>
              <w:t xml:space="preserve">One mode</w:t>
            </w:r>
          </w:p>
        </w:tc>
        <w:tc>
          <w:tcPr>
            <w:tcW w:type="dxa" w:w="4800"/>
            <w:shd w:fill="FFFFFF" w:color="auto" w:val="clear"/>
            <w:tcMar>
              <w:top w:type="dxa" w:w="70"/>
              <w:left w:type="dxa" w:w="100"/>
              <w:bottom w:type="dxa" w:w="70"/>
              <w:right w:type="dxa" w:w="100"/>
            </w:tcMar>
            <w:vAlign w:val="center"/>
          </w:tcPr>
          <w:p>
            <w:pPr>
              <w:jc w:val="center"/>
            </w:pPr>
            <w:r>
              <w:rPr>
                <w:color w:val="222222"/>
                <w:sz w:val="19"/>
                <w:szCs w:val="19"/>
              </w:rPr>
              <w:t xml:space="preserve">10,15,20,25,18,12,15 → Mode = 15</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Bimodal</w:t>
            </w:r>
          </w:p>
        </w:tc>
        <w:tc>
          <w:tcPr>
            <w:tcW w:type="dxa" w:w="2450"/>
            <w:shd w:fill="F2F5F7" w:color="auto" w:val="clear"/>
            <w:tcMar>
              <w:top w:type="dxa" w:w="70"/>
              <w:left w:type="dxa" w:w="100"/>
              <w:bottom w:type="dxa" w:w="70"/>
              <w:right w:type="dxa" w:w="100"/>
            </w:tcMar>
            <w:vAlign w:val="center"/>
          </w:tcPr>
          <w:p>
            <w:pPr>
              <w:jc w:val="center"/>
            </w:pPr>
            <w:r>
              <w:rPr>
                <w:color w:val="222222"/>
                <w:sz w:val="19"/>
                <w:szCs w:val="19"/>
              </w:rPr>
              <w:t xml:space="preserve">Two modes</w:t>
            </w:r>
          </w:p>
        </w:tc>
        <w:tc>
          <w:tcPr>
            <w:tcW w:type="dxa" w:w="4800"/>
            <w:shd w:fill="F2F5F7" w:color="auto" w:val="clear"/>
            <w:tcMar>
              <w:top w:type="dxa" w:w="70"/>
              <w:left w:type="dxa" w:w="100"/>
              <w:bottom w:type="dxa" w:w="70"/>
              <w:right w:type="dxa" w:w="100"/>
            </w:tcMar>
            <w:vAlign w:val="center"/>
          </w:tcPr>
          <w:p>
            <w:pPr>
              <w:jc w:val="center"/>
            </w:pPr>
            <w:r>
              <w:rPr>
                <w:color w:val="222222"/>
                <w:sz w:val="19"/>
                <w:szCs w:val="19"/>
              </w:rPr>
              <w:t xml:space="preserve">20,25,30,30,15,10,25 → Modes = 25, 30</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Trimodal</w:t>
            </w:r>
          </w:p>
        </w:tc>
        <w:tc>
          <w:tcPr>
            <w:tcW w:type="dxa" w:w="2450"/>
            <w:shd w:fill="FFFFFF" w:color="auto" w:val="clear"/>
            <w:tcMar>
              <w:top w:type="dxa" w:w="70"/>
              <w:left w:type="dxa" w:w="100"/>
              <w:bottom w:type="dxa" w:w="70"/>
              <w:right w:type="dxa" w:w="100"/>
            </w:tcMar>
            <w:vAlign w:val="center"/>
          </w:tcPr>
          <w:p>
            <w:pPr>
              <w:jc w:val="center"/>
            </w:pPr>
            <w:r>
              <w:rPr>
                <w:color w:val="222222"/>
                <w:sz w:val="19"/>
                <w:szCs w:val="19"/>
              </w:rPr>
              <w:t xml:space="preserve">Three modes</w:t>
            </w:r>
          </w:p>
        </w:tc>
        <w:tc>
          <w:tcPr>
            <w:tcW w:type="dxa" w:w="4800"/>
            <w:shd w:fill="FFFFFF" w:color="auto" w:val="clear"/>
            <w:tcMar>
              <w:top w:type="dxa" w:w="70"/>
              <w:left w:type="dxa" w:w="100"/>
              <w:bottom w:type="dxa" w:w="70"/>
              <w:right w:type="dxa" w:w="100"/>
            </w:tcMar>
            <w:vAlign w:val="center"/>
          </w:tcPr>
          <w:p>
            <w:pPr>
              <w:jc w:val="center"/>
            </w:pPr>
            <w:r>
              <w:rPr>
                <w:color w:val="222222"/>
                <w:sz w:val="19"/>
                <w:szCs w:val="19"/>
              </w:rPr>
              <w:t xml:space="preserve">60,40,85,30,85,45,80,80,55,50,60 → Modes = 60, 80, 85</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Multimodal</w:t>
            </w:r>
          </w:p>
        </w:tc>
        <w:tc>
          <w:tcPr>
            <w:tcW w:type="dxa" w:w="2450"/>
            <w:shd w:fill="F2F5F7" w:color="auto" w:val="clear"/>
            <w:tcMar>
              <w:top w:type="dxa" w:w="70"/>
              <w:left w:type="dxa" w:w="100"/>
              <w:bottom w:type="dxa" w:w="70"/>
              <w:right w:type="dxa" w:w="100"/>
            </w:tcMar>
            <w:vAlign w:val="center"/>
          </w:tcPr>
          <w:p>
            <w:pPr>
              <w:jc w:val="center"/>
            </w:pPr>
            <w:r>
              <w:rPr>
                <w:color w:val="222222"/>
                <w:sz w:val="19"/>
                <w:szCs w:val="19"/>
              </w:rPr>
              <w:t xml:space="preserve">More than three modes</w:t>
            </w:r>
          </w:p>
        </w:tc>
        <w:tc>
          <w:tcPr>
            <w:tcW w:type="dxa" w:w="4800"/>
            <w:shd w:fill="F2F5F7" w:color="auto" w:val="clear"/>
            <w:tcMar>
              <w:top w:type="dxa" w:w="70"/>
              <w:left w:type="dxa" w:w="100"/>
              <w:bottom w:type="dxa" w:w="70"/>
              <w:right w:type="dxa" w:w="100"/>
            </w:tcMar>
            <w:vAlign w:val="center"/>
          </w:tcPr>
          <w:p>
            <w:pPr>
              <w:jc w:val="center"/>
            </w:pPr>
            <w:r>
              <w:rPr>
                <w:color w:val="222222"/>
                <w:sz w:val="19"/>
                <w:szCs w:val="19"/>
              </w:rPr>
              <w:t xml:space="preserve">—</w:t>
            </w:r>
          </w:p>
        </w:tc>
      </w:tr>
    </w:tbl>
    <w:p>
      <w:pPr>
        <w:spacing w:after="100" w:before="200"/>
      </w:pPr>
      <w:r>
        <w:rPr>
          <w:b/>
          <w:bCs/>
          <w:color w:val="B8860B"/>
          <w:sz w:val="22"/>
          <w:szCs w:val="22"/>
        </w:rPr>
        <w:t xml:space="preserve">(a) &amp; (b) Individual / Discrete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Mode — Individual / Discrete Series</w:t>
            </w:r>
          </w:p>
          <w:p>
            <w:pPr>
              <w:spacing w:after="60"/>
            </w:pPr>
            <w:r>
              <w:rPr>
                <w:rFonts w:ascii="Cambria Math" w:cs="Cambria Math" w:eastAsia="Cambria Math" w:hAnsi="Cambria Math"/>
                <w:b/>
                <w:bCs/>
                <w:color w:val="1F3864"/>
                <w:sz w:val="22"/>
                <w:szCs w:val="22"/>
              </w:rPr>
              <w:t xml:space="preserve">Mode = the value that occurs most frequently (highest f)</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Mobile Phones Owned by Customers</w:t>
            </w:r>
          </w:p>
          <w:p>
            <w:pPr>
              <w:spacing w:after="55"/>
            </w:pPr>
            <w:r>
              <w:rPr>
                <w:color w:val="222222"/>
                <w:sz w:val="20"/>
                <w:szCs w:val="20"/>
              </w:rPr>
              <w:t xml:space="preserve">x: 1,2,3,4,5   f: 4,10,15,8,3</w:t>
            </w:r>
          </w:p>
          <w:p>
            <w:pPr>
              <w:spacing w:after="55"/>
            </w:pPr>
            <w:r>
              <w:rPr>
                <w:color w:val="222222"/>
                <w:sz w:val="20"/>
                <w:szCs w:val="20"/>
              </w:rPr>
              <w:t xml:space="preserve">Highest frequency is 15, occurring at x = 3</w:t>
            </w:r>
          </w:p>
          <w:p>
            <w:pPr>
              <w:spacing w:after="55"/>
            </w:pPr>
            <w:r>
              <w:rPr>
                <w:color w:val="222222"/>
                <w:sz w:val="20"/>
                <w:szCs w:val="20"/>
              </w:rPr>
              <w:t xml:space="preserve">Mode = 3 phones</w:t>
            </w:r>
          </w:p>
        </w:tc>
      </w:tr>
    </w:tbl>
    <w:p>
      <w:pPr>
        <w:spacing w:after="120"/>
      </w:pPr>
    </w:p>
    <w:p>
      <w:pPr>
        <w:spacing w:after="100" w:before="200"/>
      </w:pPr>
      <w:r>
        <w:rPr>
          <w:b/>
          <w:bCs/>
          <w:color w:val="B8860B"/>
          <w:sz w:val="22"/>
          <w:szCs w:val="22"/>
        </w:rPr>
        <w:t xml:space="preserve">(c) Continuous Series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Mode — Continuous Series</w:t>
            </w:r>
          </w:p>
          <w:p>
            <w:pPr>
              <w:spacing w:after="60"/>
            </w:pPr>
            <w:r>
              <w:rPr>
                <w:rFonts w:ascii="Cambria Math" w:cs="Cambria Math" w:eastAsia="Cambria Math" w:hAnsi="Cambria Math"/>
                <w:b/>
                <w:bCs/>
                <w:color w:val="1F3864"/>
                <w:sz w:val="22"/>
                <w:szCs w:val="22"/>
              </w:rPr>
              <w:t xml:space="preserve">Mode = L + [(f₁ − f₀) / (2f₁ − f₀ − f₂)] × h</w:t>
            </w:r>
          </w:p>
          <w:p>
            <w:pPr>
              <w:spacing w:before="60"/>
            </w:pPr>
            <w:r>
              <w:rPr>
                <w:i/>
                <w:iCs/>
                <w:color w:val="5A5A5A"/>
                <w:sz w:val="19"/>
                <w:szCs w:val="19"/>
              </w:rPr>
              <w:t xml:space="preserve">L = lower boundary of the modal class · f₁ = frequency of the modal class · f₀ = frequency of the class before it · f₂ = frequency of the class after it · h = class width.</w:t>
            </w:r>
          </w:p>
        </w:tc>
      </w:tr>
    </w:tbl>
    <w:tbl>
      <w:tblPr>
        <w:tblW w:type="pct" w:w="100%"/>
        <w:tblBorders>
          <w:top w:val="single" w:color="3C8C4F" w:sz="6"/>
          <w:left w:val="single" w:color="3C8C4F" w:sz="6"/>
          <w:bottom w:val="single" w:color="3C8C4F" w:sz="6"/>
          <w:right w:val="single" w:color="3C8C4F" w:sz="6"/>
          <w:insideH w:val="none" w:color="FFFFFF" w:sz="0"/>
          <w:insideV w:val="none" w:color="FFFFFF" w:sz="0"/>
        </w:tblBorders>
      </w:tblPr>
      <w:tblGrid>
        <w:gridCol w:w="100"/>
      </w:tblGrid>
      <w:tr>
        <w:tc>
          <w:tcPr>
            <w:shd w:fill="EAF3EA" w:color="auto" w:val="clear"/>
            <w:tcMar>
              <w:top w:type="dxa" w:w="160"/>
              <w:left w:type="dxa" w:w="220"/>
              <w:bottom w:type="dxa" w:w="160"/>
              <w:right w:type="dxa" w:w="220"/>
            </w:tcMar>
          </w:tcPr>
          <w:p>
            <w:pPr>
              <w:spacing w:after="90"/>
            </w:pPr>
            <w:r>
              <w:rPr>
                <w:b/>
                <w:bCs/>
                <w:color w:val="1F5C2E"/>
                <w:sz w:val="21"/>
                <w:szCs w:val="21"/>
              </w:rPr>
              <w:t xml:space="preserve">✓  WORKED EXAMPLE — Mode of the Students’ Marks Data</w:t>
            </w:r>
          </w:p>
          <w:p>
            <w:pPr>
              <w:spacing w:after="55"/>
            </w:pPr>
            <w:r>
              <w:rPr>
                <w:color w:val="222222"/>
                <w:sz w:val="20"/>
                <w:szCs w:val="20"/>
              </w:rPr>
              <w:t xml:space="preserve">Highest frequency (12) occurs in class 20–30 → this is the modal class</w:t>
            </w:r>
          </w:p>
          <w:p>
            <w:pPr>
              <w:spacing w:after="55"/>
            </w:pPr>
            <w:r>
              <w:rPr>
                <w:color w:val="222222"/>
                <w:sz w:val="20"/>
                <w:szCs w:val="20"/>
              </w:rPr>
              <w:t xml:space="preserve">L=20, f₁=12, f₀=8, f₂=10, h=10</w:t>
            </w:r>
          </w:p>
          <w:p>
            <w:pPr>
              <w:spacing w:after="55"/>
            </w:pPr>
            <w:r>
              <w:rPr>
                <w:color w:val="222222"/>
                <w:sz w:val="20"/>
                <w:szCs w:val="20"/>
              </w:rPr>
              <w:t xml:space="preserve">Mode = 20 + [(12−8)/(2×12−88−10)] × 10 = 20 + (4/6)×10 = 20 + 6.67 = 26.67 marks</w:t>
            </w:r>
          </w:p>
        </w:tc>
      </w:tr>
    </w:tbl>
    <w:p>
      <w:pPr>
        <w:pStyle w:val="Heading2"/>
        <w:spacing w:after="140" w:before="320"/>
      </w:pPr>
      <w:r>
        <w:rPr>
          <w:b/>
          <w:bCs/>
          <w:color w:val="0F766E"/>
          <w:sz w:val="25"/>
          <w:szCs w:val="25"/>
        </w:rPr>
        <w:t xml:space="preserve">4.6 Relationship Among Mean, Median and Mode</w:t>
      </w:r>
    </w:p>
    <w:p>
      <w:pPr>
        <w:spacing w:after="140"/>
      </w:pPr>
      <w:r>
        <w:rPr>
          <w:color w:val="222222"/>
          <w:sz w:val="21"/>
          <w:szCs w:val="21"/>
        </w:rPr>
        <w:t xml:space="preserve">In a perfectly symmetrical distribution, Mean = Median = Mode. In a moderately asymmetrical (skewed) distribution, the distance between the mean and the median is about one-third of the distance between the mean and the mode: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Empirical Relationship (Karl Pearson)</w:t>
            </w:r>
          </w:p>
          <w:p>
            <w:pPr>
              <w:spacing w:after="60"/>
            </w:pPr>
            <w:r>
              <w:rPr>
                <w:rFonts w:ascii="Cambria Math" w:cs="Cambria Math" w:eastAsia="Cambria Math" w:hAnsi="Cambria Math"/>
                <w:b/>
                <w:bCs/>
                <w:color w:val="1F3864"/>
                <w:sz w:val="22"/>
                <w:szCs w:val="22"/>
              </w:rPr>
              <w:t xml:space="preserve">Mean − Median = (1/3)(Mean − Mode)</w:t>
            </w:r>
          </w:p>
          <w:p>
            <w:pPr>
              <w:spacing w:after="60"/>
            </w:pPr>
            <w:r>
              <w:rPr>
                <w:rFonts w:ascii="Cambria Math" w:cs="Cambria Math" w:eastAsia="Cambria Math" w:hAnsi="Cambria Math"/>
                <w:b/>
                <w:bCs/>
                <w:color w:val="1F3864"/>
                <w:sz w:val="22"/>
                <w:szCs w:val="22"/>
              </w:rPr>
              <w:t xml:space="preserve">Mode = 3 × Median − 2 × Mean</w:t>
            </w:r>
          </w:p>
          <w:p>
            <w:pPr>
              <w:spacing w:after="60"/>
            </w:pPr>
            <w:r>
              <w:rPr>
                <w:rFonts w:ascii="Cambria Math" w:cs="Cambria Math" w:eastAsia="Cambria Math" w:hAnsi="Cambria Math"/>
                <w:b/>
                <w:bCs/>
                <w:color w:val="1F3864"/>
                <w:sz w:val="22"/>
                <w:szCs w:val="22"/>
              </w:rPr>
              <w:t xml:space="preserve">Median = Mode + (2/3)(Mean − Mode)</w:t>
            </w:r>
          </w:p>
        </w:tc>
      </w:tr>
    </w:tbl>
    <w:p>
      <w:pPr>
        <w:spacing w:after="100" w:before="200"/>
      </w:pPr>
      <w:r>
        <w:rPr>
          <w:b/>
          <w:bCs/>
          <w:color w:val="B8860B"/>
          <w:sz w:val="22"/>
          <w:szCs w:val="22"/>
        </w:rPr>
        <w:t xml:space="preserve">Worked Illustration — Monthly Sales of 9 Reps (₹’000)</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900"/>
        <w:gridCol w:w="920"/>
        <w:gridCol w:w="920"/>
        <w:gridCol w:w="920"/>
        <w:gridCol w:w="920"/>
        <w:gridCol w:w="920"/>
        <w:gridCol w:w="920"/>
        <w:gridCol w:w="920"/>
        <w:gridCol w:w="920"/>
        <w:gridCol w:w="92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19"/>
                <w:szCs w:val="19"/>
              </w:rPr>
              <w:t xml:space="preserve">Rep</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R1</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R2</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R3</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R4</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R5</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R6</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R7</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R8</w:t>
            </w:r>
          </w:p>
        </w:tc>
        <w:tc>
          <w:tcPr>
            <w:tcW w:type="dxa" w:w="920"/>
            <w:shd w:fill="1F3864" w:color="auto" w:val="clear"/>
            <w:tcMar>
              <w:top w:type="dxa" w:w="80"/>
              <w:left w:type="dxa" w:w="100"/>
              <w:bottom w:type="dxa" w:w="80"/>
              <w:right w:type="dxa" w:w="100"/>
            </w:tcMar>
            <w:vAlign w:val="center"/>
          </w:tcPr>
          <w:p>
            <w:pPr>
              <w:jc w:val="center"/>
            </w:pPr>
            <w:r>
              <w:rPr>
                <w:b/>
                <w:bCs/>
                <w:color w:val="FFFFFF"/>
                <w:sz w:val="19"/>
                <w:szCs w:val="19"/>
              </w:rPr>
              <w:t xml:space="preserve">R9</w:t>
            </w:r>
          </w:p>
        </w:tc>
      </w:tr>
      <w:tr>
        <w:tc>
          <w:tcPr>
            <w:tcW w:type="dxa" w:w="900"/>
            <w:shd w:fill="FFFFFF" w:color="auto" w:val="clear"/>
            <w:tcMar>
              <w:top w:type="dxa" w:w="70"/>
              <w:left w:type="dxa" w:w="100"/>
              <w:bottom w:type="dxa" w:w="70"/>
              <w:right w:type="dxa" w:w="100"/>
            </w:tcMar>
            <w:vAlign w:val="center"/>
          </w:tcPr>
          <w:p>
            <w:pPr>
              <w:jc w:val="center"/>
            </w:pPr>
            <w:r>
              <w:rPr>
                <w:color w:val="222222"/>
                <w:sz w:val="19"/>
                <w:szCs w:val="19"/>
              </w:rPr>
              <w:t xml:space="preserve">Sales</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42</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48</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50</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52</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55</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58</w:t>
            </w:r>
          </w:p>
        </w:tc>
        <w:tc>
          <w:tcPr>
            <w:tcW w:type="dxa" w:w="920"/>
            <w:shd w:fill="FFFFFF" w:color="auto" w:val="clear"/>
            <w:tcMar>
              <w:top w:type="dxa" w:w="70"/>
              <w:left w:type="dxa" w:w="100"/>
              <w:bottom w:type="dxa" w:w="70"/>
              <w:right w:type="dxa" w:w="100"/>
            </w:tcMar>
            <w:vAlign w:val="center"/>
          </w:tcPr>
          <w:p>
            <w:pPr>
              <w:jc w:val="center"/>
            </w:pPr>
            <w:r>
              <w:rPr>
                <w:color w:val="222222"/>
                <w:sz w:val="19"/>
                <w:szCs w:val="19"/>
              </w:rPr>
              <w:t xml:space="preserve">95</w:t>
            </w:r>
          </w:p>
        </w:tc>
      </w:tr>
    </w:tbl>
    <w:p>
      <w:pPr>
        <w:spacing w:after="140"/>
      </w:pPr>
      <w:r>
        <w:rPr>
          <w:color w:val="222222"/>
          <w:sz w:val="21"/>
          <w:szCs w:val="21"/>
        </w:rPr>
        <w:t xml:space="preserve">Mean = 490/9 = 54.4 · Median (5th value) = 50 · Mode = 45 (most repeated). Since Mean &gt; Median &gt; Mode, this is a right-skewed (positively skewed) dataset, pulled upward by the outlier rep who sold ₹95,000.</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mean-median-mode comparison is your first informal skewness test — formalized in Chapter 6 with Karl Pearson’s Coefficient of Skewness, and revisited in Business Analytics when deciding whether to report ‘average’ salary as mean or median (HR prefers median for skewed pay data).</w:t>
            </w:r>
          </w:p>
        </w:tc>
      </w:tr>
    </w:tbl>
    <w:p>
      <w:pPr>
        <w:pStyle w:val="Heading2"/>
        <w:spacing w:after="140" w:before="320"/>
      </w:pPr>
      <w:r>
        <w:rPr>
          <w:b/>
          <w:bCs/>
          <w:color w:val="0F766E"/>
          <w:sz w:val="25"/>
          <w:szCs w:val="25"/>
        </w:rPr>
        <w:t xml:space="preserve">4.7 Practice Problems (with Answer Key)</w:t>
      </w:r>
    </w:p>
    <w:p>
      <w:pPr>
        <w:spacing w:after="140"/>
      </w:pPr>
      <w:r>
        <w:rPr>
          <w:color w:val="222222"/>
          <w:sz w:val="21"/>
          <w:szCs w:val="21"/>
        </w:rPr>
        <w:t xml:space="preserve">Attempt each problem before checking the boxed answer — this mirrors the exam format used internationally for this topic.</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700"/>
        <w:gridCol w:w="5450"/>
        <w:gridCol w:w="3200"/>
      </w:tblGrid>
      <w:tr>
        <w:trPr>
          <w:tblHeader/>
        </w:trPr>
        <w:tc>
          <w:tcPr>
            <w:tcW w:type="dxa" w:w="700"/>
            <w:shd w:fill="1F3864" w:color="auto"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5450"/>
            <w:shd w:fill="1F3864" w:color="auto" w:val="clear"/>
            <w:tcMar>
              <w:top w:type="dxa" w:w="80"/>
              <w:left w:type="dxa" w:w="100"/>
              <w:bottom w:type="dxa" w:w="80"/>
              <w:right w:type="dxa" w:w="100"/>
            </w:tcMar>
            <w:vAlign w:val="center"/>
          </w:tcPr>
          <w:p>
            <w:pPr>
              <w:jc w:val="center"/>
            </w:pPr>
            <w:r>
              <w:rPr>
                <w:b/>
                <w:bCs/>
                <w:color w:val="FFFFFF"/>
                <w:sz w:val="19"/>
                <w:szCs w:val="19"/>
              </w:rPr>
              <w:t xml:space="preserve">Problem</w:t>
            </w:r>
          </w:p>
        </w:tc>
        <w:tc>
          <w:tcPr>
            <w:tcW w:type="dxa" w:w="3200"/>
            <w:shd w:fill="1F3864" w:color="auto" w:val="clear"/>
            <w:tcMar>
              <w:top w:type="dxa" w:w="80"/>
              <w:left w:type="dxa" w:w="100"/>
              <w:bottom w:type="dxa" w:w="80"/>
              <w:right w:type="dxa" w:w="100"/>
            </w:tcMar>
            <w:vAlign w:val="center"/>
          </w:tcPr>
          <w:p>
            <w:pPr>
              <w:jc w:val="center"/>
            </w:pPr>
            <w:r>
              <w:rPr>
                <w:b/>
                <w:bCs/>
                <w:color w:val="FFFFFF"/>
                <w:sz w:val="19"/>
                <w:szCs w:val="19"/>
              </w:rPr>
              <w:t xml:space="preserve">Answer</w:t>
            </w:r>
          </w:p>
        </w:tc>
      </w:tr>
      <w:tr>
        <w:tc>
          <w:tcPr>
            <w:tcW w:type="dxa" w:w="700"/>
            <w:shd w:fill="FFFFFF" w:color="auto" w:val="clear"/>
            <w:tcMar>
              <w:top w:type="dxa" w:w="70"/>
              <w:left w:type="dxa" w:w="100"/>
              <w:bottom w:type="dxa" w:w="70"/>
              <w:right w:type="dxa" w:w="100"/>
            </w:tcMar>
            <w:vAlign w:val="center"/>
          </w:tcPr>
          <w:p>
            <w:pPr>
              <w:jc w:val="center"/>
            </w:pPr>
            <w:r>
              <w:rPr>
                <w:color w:val="222222"/>
                <w:sz w:val="19"/>
                <w:szCs w:val="19"/>
              </w:rPr>
              <w:t xml:space="preserve">1</w:t>
            </w:r>
          </w:p>
        </w:tc>
        <w:tc>
          <w:tcPr>
            <w:tcW w:type="dxa" w:w="5450"/>
            <w:shd w:fill="FFFFFF" w:color="auto" w:val="clear"/>
            <w:tcMar>
              <w:top w:type="dxa" w:w="70"/>
              <w:left w:type="dxa" w:w="100"/>
              <w:bottom w:type="dxa" w:w="70"/>
              <w:right w:type="dxa" w:w="100"/>
            </w:tcMar>
            <w:vAlign w:val="center"/>
          </w:tcPr>
          <w:p>
            <w:pPr>
              <w:jc w:val="center"/>
            </w:pPr>
            <w:r>
              <w:rPr>
                <w:color w:val="222222"/>
                <w:sz w:val="19"/>
                <w:szCs w:val="19"/>
              </w:rPr>
              <w:t xml:space="preserve">Mean of 10, 39, 71, 39, 76, 38, 25</w:t>
            </w:r>
          </w:p>
        </w:tc>
        <w:tc>
          <w:tcPr>
            <w:tcW w:type="dxa" w:w="3200"/>
            <w:shd w:fill="FFFFFF" w:color="auto" w:val="clear"/>
            <w:tcMar>
              <w:top w:type="dxa" w:w="70"/>
              <w:left w:type="dxa" w:w="100"/>
              <w:bottom w:type="dxa" w:w="70"/>
              <w:right w:type="dxa" w:w="100"/>
            </w:tcMar>
            <w:vAlign w:val="center"/>
          </w:tcPr>
          <w:p>
            <w:pPr>
              <w:jc w:val="center"/>
            </w:pPr>
            <w:r>
              <w:rPr>
                <w:color w:val="222222"/>
                <w:sz w:val="19"/>
                <w:szCs w:val="19"/>
              </w:rPr>
              <w:t xml:space="preserve">Σx=298, N=7 → x̄ = 42.57</w:t>
            </w:r>
          </w:p>
        </w:tc>
      </w:tr>
      <w:tr>
        <w:tc>
          <w:tcPr>
            <w:tcW w:type="dxa" w:w="700"/>
            <w:shd w:fill="F2F5F7" w:color="auto" w:val="clear"/>
            <w:tcMar>
              <w:top w:type="dxa" w:w="70"/>
              <w:left w:type="dxa" w:w="100"/>
              <w:bottom w:type="dxa" w:w="70"/>
              <w:right w:type="dxa" w:w="100"/>
            </w:tcMar>
            <w:vAlign w:val="center"/>
          </w:tcPr>
          <w:p>
            <w:pPr>
              <w:jc w:val="center"/>
            </w:pPr>
            <w:r>
              <w:rPr>
                <w:color w:val="222222"/>
                <w:sz w:val="19"/>
                <w:szCs w:val="19"/>
              </w:rPr>
              <w:t xml:space="preserve">2</w:t>
            </w:r>
          </w:p>
        </w:tc>
        <w:tc>
          <w:tcPr>
            <w:tcW w:type="dxa" w:w="5450"/>
            <w:shd w:fill="F2F5F7" w:color="auto" w:val="clear"/>
            <w:tcMar>
              <w:top w:type="dxa" w:w="70"/>
              <w:left w:type="dxa" w:w="100"/>
              <w:bottom w:type="dxa" w:w="70"/>
              <w:right w:type="dxa" w:w="100"/>
            </w:tcMar>
            <w:vAlign w:val="center"/>
          </w:tcPr>
          <w:p>
            <w:pPr>
              <w:jc w:val="center"/>
            </w:pPr>
            <w:r>
              <w:rPr>
                <w:color w:val="222222"/>
                <w:sz w:val="19"/>
                <w:szCs w:val="19"/>
              </w:rPr>
              <w:t xml:space="preserve">Divisor used to find the mean of 3, 4, 5, 6</w:t>
            </w:r>
          </w:p>
        </w:tc>
        <w:tc>
          <w:tcPr>
            <w:tcW w:type="dxa" w:w="3200"/>
            <w:shd w:fill="F2F5F7" w:color="auto" w:val="clear"/>
            <w:tcMar>
              <w:top w:type="dxa" w:w="70"/>
              <w:left w:type="dxa" w:w="100"/>
              <w:bottom w:type="dxa" w:w="70"/>
              <w:right w:type="dxa" w:w="100"/>
            </w:tcMar>
            <w:vAlign w:val="center"/>
          </w:tcPr>
          <w:p>
            <w:pPr>
              <w:jc w:val="center"/>
            </w:pPr>
            <w:r>
              <w:rPr>
                <w:color w:val="222222"/>
                <w:sz w:val="19"/>
                <w:szCs w:val="19"/>
              </w:rPr>
              <w:t xml:space="preserve">N = 4</w:t>
            </w:r>
          </w:p>
        </w:tc>
      </w:tr>
      <w:tr>
        <w:tc>
          <w:tcPr>
            <w:tcW w:type="dxa" w:w="700"/>
            <w:shd w:fill="FFFFFF" w:color="auto" w:val="clear"/>
            <w:tcMar>
              <w:top w:type="dxa" w:w="70"/>
              <w:left w:type="dxa" w:w="100"/>
              <w:bottom w:type="dxa" w:w="70"/>
              <w:right w:type="dxa" w:w="100"/>
            </w:tcMar>
            <w:vAlign w:val="center"/>
          </w:tcPr>
          <w:p>
            <w:pPr>
              <w:jc w:val="center"/>
            </w:pPr>
            <w:r>
              <w:rPr>
                <w:color w:val="222222"/>
                <w:sz w:val="19"/>
                <w:szCs w:val="19"/>
              </w:rPr>
              <w:t xml:space="preserve">4</w:t>
            </w:r>
          </w:p>
        </w:tc>
        <w:tc>
          <w:tcPr>
            <w:tcW w:type="dxa" w:w="5450"/>
            <w:shd w:fill="FFFFFF" w:color="auto" w:val="clear"/>
            <w:tcMar>
              <w:top w:type="dxa" w:w="70"/>
              <w:left w:type="dxa" w:w="100"/>
              <w:bottom w:type="dxa" w:w="70"/>
              <w:right w:type="dxa" w:w="100"/>
            </w:tcMar>
            <w:vAlign w:val="center"/>
          </w:tcPr>
          <w:p>
            <w:pPr>
              <w:jc w:val="center"/>
            </w:pPr>
            <w:r>
              <w:rPr>
                <w:color w:val="222222"/>
                <w:sz w:val="19"/>
                <w:szCs w:val="19"/>
              </w:rPr>
              <w:t xml:space="preserve">Mean of 4 numbers is 71.5; three are 58, 76, 88 — find the 4th</w:t>
            </w:r>
          </w:p>
        </w:tc>
        <w:tc>
          <w:tcPr>
            <w:tcW w:type="dxa" w:w="3200"/>
            <w:shd w:fill="FFFFFF" w:color="auto" w:val="clear"/>
            <w:tcMar>
              <w:top w:type="dxa" w:w="70"/>
              <w:left w:type="dxa" w:w="100"/>
              <w:bottom w:type="dxa" w:w="70"/>
              <w:right w:type="dxa" w:w="100"/>
            </w:tcMar>
            <w:vAlign w:val="center"/>
          </w:tcPr>
          <w:p>
            <w:pPr>
              <w:jc w:val="center"/>
            </w:pPr>
            <w:r>
              <w:rPr>
                <w:color w:val="222222"/>
                <w:sz w:val="19"/>
                <w:szCs w:val="19"/>
              </w:rPr>
              <w:t xml:space="preserve">Total = 71.5×4=286; 4th = 286−222 = 64</w:t>
            </w:r>
          </w:p>
        </w:tc>
      </w:tr>
      <w:tr>
        <w:tc>
          <w:tcPr>
            <w:tcW w:type="dxa" w:w="700"/>
            <w:shd w:fill="F2F5F7" w:color="auto" w:val="clear"/>
            <w:tcMar>
              <w:top w:type="dxa" w:w="70"/>
              <w:left w:type="dxa" w:w="100"/>
              <w:bottom w:type="dxa" w:w="70"/>
              <w:right w:type="dxa" w:w="100"/>
            </w:tcMar>
            <w:vAlign w:val="center"/>
          </w:tcPr>
          <w:p>
            <w:pPr>
              <w:jc w:val="center"/>
            </w:pPr>
            <w:r>
              <w:rPr>
                <w:color w:val="222222"/>
                <w:sz w:val="19"/>
                <w:szCs w:val="19"/>
              </w:rPr>
              <w:t xml:space="preserve">5</w:t>
            </w:r>
          </w:p>
        </w:tc>
        <w:tc>
          <w:tcPr>
            <w:tcW w:type="dxa" w:w="5450"/>
            <w:shd w:fill="F2F5F7" w:color="auto" w:val="clear"/>
            <w:tcMar>
              <w:top w:type="dxa" w:w="70"/>
              <w:left w:type="dxa" w:w="100"/>
              <w:bottom w:type="dxa" w:w="70"/>
              <w:right w:type="dxa" w:w="100"/>
            </w:tcMar>
            <w:vAlign w:val="center"/>
          </w:tcPr>
          <w:p>
            <w:pPr>
              <w:jc w:val="center"/>
            </w:pPr>
            <w:r>
              <w:rPr>
                <w:color w:val="222222"/>
                <w:sz w:val="19"/>
                <w:szCs w:val="19"/>
              </w:rPr>
              <w:t xml:space="preserve">Mean of 40,61,95,79,9,50,80,63,109,42</w:t>
            </w:r>
          </w:p>
        </w:tc>
        <w:tc>
          <w:tcPr>
            <w:tcW w:type="dxa" w:w="3200"/>
            <w:shd w:fill="F2F5F7" w:color="auto" w:val="clear"/>
            <w:tcMar>
              <w:top w:type="dxa" w:w="70"/>
              <w:left w:type="dxa" w:w="100"/>
              <w:bottom w:type="dxa" w:w="70"/>
              <w:right w:type="dxa" w:w="100"/>
            </w:tcMar>
            <w:vAlign w:val="center"/>
          </w:tcPr>
          <w:p>
            <w:pPr>
              <w:jc w:val="center"/>
            </w:pPr>
            <w:r>
              <w:rPr>
                <w:color w:val="222222"/>
                <w:sz w:val="19"/>
                <w:szCs w:val="19"/>
              </w:rPr>
              <w:t xml:space="preserve">Σx=628, N=10 → x̄ = 62.8</w:t>
            </w:r>
          </w:p>
        </w:tc>
      </w:tr>
      <w:tr>
        <w:tc>
          <w:tcPr>
            <w:tcW w:type="dxa" w:w="700"/>
            <w:shd w:fill="FFFFFF" w:color="auto" w:val="clear"/>
            <w:tcMar>
              <w:top w:type="dxa" w:w="70"/>
              <w:left w:type="dxa" w:w="100"/>
              <w:bottom w:type="dxa" w:w="70"/>
              <w:right w:type="dxa" w:w="100"/>
            </w:tcMar>
            <w:vAlign w:val="center"/>
          </w:tcPr>
          <w:p>
            <w:pPr>
              <w:jc w:val="center"/>
            </w:pPr>
            <w:r>
              <w:rPr>
                <w:color w:val="222222"/>
                <w:sz w:val="19"/>
                <w:szCs w:val="19"/>
              </w:rPr>
              <w:t xml:space="preserve">11</w:t>
            </w:r>
          </w:p>
        </w:tc>
        <w:tc>
          <w:tcPr>
            <w:tcW w:type="dxa" w:w="5450"/>
            <w:shd w:fill="FFFFFF" w:color="auto" w:val="clear"/>
            <w:tcMar>
              <w:top w:type="dxa" w:w="70"/>
              <w:left w:type="dxa" w:w="100"/>
              <w:bottom w:type="dxa" w:w="70"/>
              <w:right w:type="dxa" w:w="100"/>
            </w:tcMar>
            <w:vAlign w:val="center"/>
          </w:tcPr>
          <w:p>
            <w:pPr>
              <w:jc w:val="center"/>
            </w:pPr>
            <w:r>
              <w:rPr>
                <w:color w:val="222222"/>
                <w:sz w:val="19"/>
                <w:szCs w:val="19"/>
              </w:rPr>
              <w:t xml:space="preserve">Median of 10,39,71,42,39,76,38,25</w:t>
            </w:r>
          </w:p>
        </w:tc>
        <w:tc>
          <w:tcPr>
            <w:tcW w:type="dxa" w:w="3200"/>
            <w:shd w:fill="FFFFFF" w:color="auto" w:val="clear"/>
            <w:tcMar>
              <w:top w:type="dxa" w:w="70"/>
              <w:left w:type="dxa" w:w="100"/>
              <w:bottom w:type="dxa" w:w="70"/>
              <w:right w:type="dxa" w:w="100"/>
            </w:tcMar>
            <w:vAlign w:val="center"/>
          </w:tcPr>
          <w:p>
            <w:pPr>
              <w:jc w:val="center"/>
            </w:pPr>
            <w:r>
              <w:rPr>
                <w:color w:val="222222"/>
                <w:sz w:val="19"/>
                <w:szCs w:val="19"/>
              </w:rPr>
              <w:t xml:space="preserve">Sorted middle pair (39,39) → Median = 39</w:t>
            </w:r>
          </w:p>
        </w:tc>
      </w:tr>
      <w:tr>
        <w:tc>
          <w:tcPr>
            <w:tcW w:type="dxa" w:w="700"/>
            <w:shd w:fill="F2F5F7" w:color="auto" w:val="clear"/>
            <w:tcMar>
              <w:top w:type="dxa" w:w="70"/>
              <w:left w:type="dxa" w:w="100"/>
              <w:bottom w:type="dxa" w:w="70"/>
              <w:right w:type="dxa" w:w="100"/>
            </w:tcMar>
            <w:vAlign w:val="center"/>
          </w:tcPr>
          <w:p>
            <w:pPr>
              <w:jc w:val="center"/>
            </w:pPr>
            <w:r>
              <w:rPr>
                <w:color w:val="222222"/>
                <w:sz w:val="19"/>
                <w:szCs w:val="19"/>
              </w:rPr>
              <w:t xml:space="preserve">13</w:t>
            </w:r>
          </w:p>
        </w:tc>
        <w:tc>
          <w:tcPr>
            <w:tcW w:type="dxa" w:w="5450"/>
            <w:shd w:fill="F2F5F7" w:color="auto" w:val="clear"/>
            <w:tcMar>
              <w:top w:type="dxa" w:w="70"/>
              <w:left w:type="dxa" w:w="100"/>
              <w:bottom w:type="dxa" w:w="70"/>
              <w:right w:type="dxa" w:w="100"/>
            </w:tcMar>
            <w:vAlign w:val="center"/>
          </w:tcPr>
          <w:p>
            <w:pPr>
              <w:jc w:val="center"/>
            </w:pPr>
            <w:r>
              <w:rPr>
                <w:color w:val="222222"/>
                <w:sz w:val="19"/>
                <w:szCs w:val="19"/>
              </w:rPr>
              <w:t xml:space="preserve">Median of 68,55,70,62,71,58,81,82,63,79</w:t>
            </w:r>
          </w:p>
        </w:tc>
        <w:tc>
          <w:tcPr>
            <w:tcW w:type="dxa" w:w="3200"/>
            <w:shd w:fill="F2F5F7" w:color="auto" w:val="clear"/>
            <w:tcMar>
              <w:top w:type="dxa" w:w="70"/>
              <w:left w:type="dxa" w:w="100"/>
              <w:bottom w:type="dxa" w:w="70"/>
              <w:right w:type="dxa" w:w="100"/>
            </w:tcMar>
            <w:vAlign w:val="center"/>
          </w:tcPr>
          <w:p>
            <w:pPr>
              <w:jc w:val="center"/>
            </w:pPr>
            <w:r>
              <w:rPr>
                <w:color w:val="222222"/>
                <w:sz w:val="19"/>
                <w:szCs w:val="19"/>
              </w:rPr>
              <w:t xml:space="preserve">Sorted middle pair (68,70) → Median = 69</w:t>
            </w:r>
          </w:p>
        </w:tc>
      </w:tr>
      <w:tr>
        <w:tc>
          <w:tcPr>
            <w:tcW w:type="dxa" w:w="700"/>
            <w:shd w:fill="FFFFFF" w:color="auto" w:val="clear"/>
            <w:tcMar>
              <w:top w:type="dxa" w:w="70"/>
              <w:left w:type="dxa" w:w="100"/>
              <w:bottom w:type="dxa" w:w="70"/>
              <w:right w:type="dxa" w:w="100"/>
            </w:tcMar>
            <w:vAlign w:val="center"/>
          </w:tcPr>
          <w:p>
            <w:pPr>
              <w:jc w:val="center"/>
            </w:pPr>
            <w:r>
              <w:rPr>
                <w:color w:val="222222"/>
                <w:sz w:val="19"/>
                <w:szCs w:val="19"/>
              </w:rPr>
              <w:t xml:space="preserve">19</w:t>
            </w:r>
          </w:p>
        </w:tc>
        <w:tc>
          <w:tcPr>
            <w:tcW w:type="dxa" w:w="5450"/>
            <w:shd w:fill="FFFFFF" w:color="auto" w:val="clear"/>
            <w:tcMar>
              <w:top w:type="dxa" w:w="70"/>
              <w:left w:type="dxa" w:w="100"/>
              <w:bottom w:type="dxa" w:w="70"/>
              <w:right w:type="dxa" w:w="100"/>
            </w:tcMar>
            <w:vAlign w:val="center"/>
          </w:tcPr>
          <w:p>
            <w:pPr>
              <w:jc w:val="center"/>
            </w:pPr>
            <w:r>
              <w:rPr>
                <w:color w:val="222222"/>
                <w:sz w:val="19"/>
                <w:szCs w:val="19"/>
              </w:rPr>
              <w:t xml:space="preserve">Mode of 12,11,14,10,8,13,11,9</w:t>
            </w:r>
          </w:p>
        </w:tc>
        <w:tc>
          <w:tcPr>
            <w:tcW w:type="dxa" w:w="3200"/>
            <w:shd w:fill="FFFFFF" w:color="auto" w:val="clear"/>
            <w:tcMar>
              <w:top w:type="dxa" w:w="70"/>
              <w:left w:type="dxa" w:w="100"/>
              <w:bottom w:type="dxa" w:w="70"/>
              <w:right w:type="dxa" w:w="100"/>
            </w:tcMar>
            <w:vAlign w:val="center"/>
          </w:tcPr>
          <w:p>
            <w:pPr>
              <w:jc w:val="center"/>
            </w:pPr>
            <w:r>
              <w:rPr>
                <w:color w:val="222222"/>
                <w:sz w:val="19"/>
                <w:szCs w:val="19"/>
              </w:rPr>
              <w:t xml:space="preserve">11 occurs twice → Mode = 11</w:t>
            </w:r>
          </w:p>
        </w:tc>
      </w:tr>
    </w:tbl>
    <w:p>
      <w:pPr>
        <w:spacing w:after="200" w:before="60"/>
      </w:pPr>
      <w:r>
        <w:rPr>
          <w:i/>
          <w:iCs/>
          <w:color w:val="5A5A5A"/>
          <w:sz w:val="18"/>
          <w:szCs w:val="18"/>
        </w:rPr>
        <w:t xml:space="preserve">Source-adapted practice set (Merry, B., 2012, Ch.5: Measures of Central Tendency, CK-12 Foundation — CC BY-NC-SA 3.0). Full original question bank retained for your independent practice.</w:t>
      </w:r>
    </w:p>
    <w:p>
      <w:r>
        <w:br w:type="page"/>
      </w:r>
    </w:p>
    <w:p>
      <w:pPr>
        <w:spacing w:after="40" w:before="200"/>
      </w:pPr>
      <w:r>
        <w:rPr>
          <w:b/>
          <w:bCs/>
          <w:color w:val="B8860B"/>
          <w:spacing w:val="20"/>
          <w:sz w:val="18"/>
          <w:szCs w:val="18"/>
        </w:rPr>
        <w:t xml:space="preserve">PART III — DESCRIPTIVE STATISTICS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5   </w:t>
            </w:r>
            <w:r>
              <w:rPr>
                <w:b/>
                <w:bCs/>
                <w:color w:val="FFFFFF"/>
                <w:sz w:val="30"/>
                <w:szCs w:val="30"/>
              </w:rPr>
              <w:t xml:space="preserve">MEASURES OF DISPERSION &amp; SHAPE</w:t>
            </w:r>
          </w:p>
        </w:tc>
      </w:tr>
    </w:tbl>
    <w:p>
      <w:pPr>
        <w:spacing w:after="200"/>
      </w:pPr>
    </w:p>
    <w:p>
      <w:pPr>
        <w:pStyle w:val="Heading2"/>
        <w:spacing w:after="140" w:before="320"/>
      </w:pPr>
      <w:r>
        <w:rPr>
          <w:b/>
          <w:bCs/>
          <w:color w:val="0F766E"/>
          <w:sz w:val="25"/>
          <w:szCs w:val="25"/>
        </w:rPr>
        <w:t xml:space="preserve">5.1 Why Dispersion Matters</w:t>
      </w:r>
    </w:p>
    <w:p>
      <w:pPr>
        <w:spacing w:after="140"/>
      </w:pPr>
      <w:r>
        <w:rPr>
          <w:color w:val="222222"/>
          <w:sz w:val="21"/>
          <w:szCs w:val="21"/>
        </w:rPr>
        <w:t xml:space="preserve">Central tendency alone can mislead — two datasets can share the same mean but very different consistency. Dispersion (or ‘spread’) measures how scattered the data is around its centre.</w:t>
      </w:r>
    </w:p>
    <w:p>
      <w:pPr>
        <w:spacing w:after="100" w:before="200"/>
      </w:pPr>
      <w:r>
        <w:rPr>
          <w:b/>
          <w:bCs/>
          <w:color w:val="B8860B"/>
          <w:sz w:val="22"/>
          <w:szCs w:val="22"/>
        </w:rPr>
        <w:t xml:space="preserve">Range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Range</w:t>
            </w:r>
          </w:p>
          <w:p>
            <w:pPr>
              <w:spacing w:after="60"/>
            </w:pPr>
            <w:r>
              <w:rPr>
                <w:rFonts w:ascii="Cambria Math" w:cs="Cambria Math" w:eastAsia="Cambria Math" w:hAnsi="Cambria Math"/>
                <w:b/>
                <w:bCs/>
                <w:color w:val="1F3864"/>
                <w:sz w:val="22"/>
                <w:szCs w:val="22"/>
              </w:rPr>
              <w:t xml:space="preserve">Range = Maximum − Minimum</w:t>
            </w:r>
          </w:p>
        </w:tc>
      </w:tr>
    </w:tbl>
    <w:p>
      <w:pPr>
        <w:spacing w:after="100" w:before="200"/>
      </w:pPr>
      <w:r>
        <w:rPr>
          <w:b/>
          <w:bCs/>
          <w:color w:val="B8860B"/>
          <w:sz w:val="22"/>
          <w:szCs w:val="22"/>
        </w:rPr>
        <w:t xml:space="preserve">Quartiles, Interquartile Range &amp; Quartile Deviation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Quartile Position</w:t>
            </w:r>
          </w:p>
          <w:p>
            <w:pPr>
              <w:spacing w:after="60"/>
            </w:pPr>
            <w:r>
              <w:rPr>
                <w:rFonts w:ascii="Cambria Math" w:cs="Cambria Math" w:eastAsia="Cambria Math" w:hAnsi="Cambria Math"/>
                <w:b/>
                <w:bCs/>
                <w:color w:val="1F3864"/>
                <w:sz w:val="22"/>
                <w:szCs w:val="22"/>
              </w:rPr>
              <w:t xml:space="preserve">Qₖ position = k(N+1)/4,  for k = 1, 2, 3</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IQR &amp; Quartile Deviation</w:t>
            </w:r>
          </w:p>
          <w:p>
            <w:pPr>
              <w:spacing w:after="60"/>
            </w:pPr>
            <w:r>
              <w:rPr>
                <w:rFonts w:ascii="Cambria Math" w:cs="Cambria Math" w:eastAsia="Cambria Math" w:hAnsi="Cambria Math"/>
                <w:b/>
                <w:bCs/>
                <w:color w:val="1F3864"/>
                <w:sz w:val="22"/>
                <w:szCs w:val="22"/>
              </w:rPr>
              <w:t xml:space="preserve">Interquartile Range (IQR) = Q₃ − Q₁</w:t>
            </w:r>
          </w:p>
          <w:p>
            <w:pPr>
              <w:spacing w:after="60"/>
            </w:pPr>
            <w:r>
              <w:rPr>
                <w:rFonts w:ascii="Cambria Math" w:cs="Cambria Math" w:eastAsia="Cambria Math" w:hAnsi="Cambria Math"/>
                <w:b/>
                <w:bCs/>
                <w:color w:val="1F3864"/>
                <w:sz w:val="22"/>
                <w:szCs w:val="22"/>
              </w:rPr>
              <w:t xml:space="preserve">Quartile Deviation (QD) = (Q₃ − Q₁) / 2</w:t>
            </w:r>
          </w:p>
          <w:p>
            <w:pPr>
              <w:spacing w:after="60"/>
            </w:pPr>
            <w:r>
              <w:rPr>
                <w:rFonts w:ascii="Cambria Math" w:cs="Cambria Math" w:eastAsia="Cambria Math" w:hAnsi="Cambria Math"/>
                <w:b/>
                <w:bCs/>
                <w:color w:val="1F3864"/>
                <w:sz w:val="22"/>
                <w:szCs w:val="22"/>
              </w:rPr>
              <w:t xml:space="preserve">Coefficient of QD = (Q₃ − Q₁) / (Q₃ + Q₁)</w:t>
            </w:r>
          </w:p>
        </w:tc>
      </w:tr>
    </w:tbl>
    <w:p>
      <w:pPr>
        <w:spacing w:after="100" w:before="200"/>
      </w:pPr>
      <w:r>
        <w:rPr>
          <w:b/>
          <w:bCs/>
          <w:color w:val="B8860B"/>
          <w:sz w:val="22"/>
          <w:szCs w:val="22"/>
        </w:rPr>
        <w:t xml:space="preserve">Mean Deviation &amp; Mean Absolute Deviation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Mean Deviation (about the mean)</w:t>
            </w:r>
          </w:p>
          <w:p>
            <w:pPr>
              <w:spacing w:after="60"/>
            </w:pPr>
            <w:r>
              <w:rPr>
                <w:rFonts w:ascii="Cambria Math" w:cs="Cambria Math" w:eastAsia="Cambria Math" w:hAnsi="Cambria Math"/>
                <w:b/>
                <w:bCs/>
                <w:color w:val="1F3864"/>
                <w:sz w:val="22"/>
                <w:szCs w:val="22"/>
              </w:rPr>
              <w:t xml:space="preserve">MD = Σ|xᵢ − x̄| / N</w:t>
            </w:r>
          </w:p>
          <w:p>
            <w:pPr>
              <w:spacing w:after="60"/>
            </w:pPr>
            <w:r>
              <w:rPr>
                <w:rFonts w:ascii="Cambria Math" w:cs="Cambria Math" w:eastAsia="Cambria Math" w:hAnsi="Cambria Math"/>
                <w:b/>
                <w:bCs/>
                <w:color w:val="1F3864"/>
                <w:sz w:val="22"/>
                <w:szCs w:val="22"/>
              </w:rPr>
              <w:t xml:space="preserve">Coefficient of MD = MD / x̄</w:t>
            </w:r>
          </w:p>
        </w:tc>
      </w:tr>
    </w:tbl>
    <w:p>
      <w:pPr>
        <w:spacing w:after="100" w:before="200"/>
      </w:pPr>
      <w:r>
        <w:rPr>
          <w:b/>
          <w:bCs/>
          <w:color w:val="B8860B"/>
          <w:sz w:val="22"/>
          <w:szCs w:val="22"/>
        </w:rPr>
        <w:t xml:space="preserve">Variance &amp; Standard Deviation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Sample Variance &amp; Standard Deviation</w:t>
            </w:r>
          </w:p>
          <w:p>
            <w:pPr>
              <w:spacing w:after="60"/>
            </w:pPr>
            <w:r>
              <w:rPr>
                <w:rFonts w:ascii="Cambria Math" w:cs="Cambria Math" w:eastAsia="Cambria Math" w:hAnsi="Cambria Math"/>
                <w:b/>
                <w:bCs/>
                <w:color w:val="1F3864"/>
                <w:sz w:val="22"/>
                <w:szCs w:val="22"/>
              </w:rPr>
              <w:t xml:space="preserve">s² = Σ(xᵢ − x̄)² / (N − 1)</w:t>
            </w:r>
          </w:p>
          <w:p>
            <w:pPr>
              <w:spacing w:after="60"/>
            </w:pPr>
            <w:r>
              <w:rPr>
                <w:rFonts w:ascii="Cambria Math" w:cs="Cambria Math" w:eastAsia="Cambria Math" w:hAnsi="Cambria Math"/>
                <w:b/>
                <w:bCs/>
                <w:color w:val="1F3864"/>
                <w:sz w:val="22"/>
                <w:szCs w:val="22"/>
              </w:rPr>
              <w:t xml:space="preserve">s = √s²</w:t>
            </w:r>
          </w:p>
          <w:p>
            <w:pPr>
              <w:spacing w:before="60"/>
            </w:pPr>
            <w:r>
              <w:rPr>
                <w:i/>
                <w:iCs/>
                <w:color w:val="5A5A5A"/>
                <w:sz w:val="19"/>
                <w:szCs w:val="19"/>
              </w:rPr>
              <w:t xml:space="preserve">Use N instead of N−1 for population variance/σ.</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Coefficient of Variation (CV)</w:t>
            </w:r>
          </w:p>
          <w:p>
            <w:pPr>
              <w:spacing w:after="60"/>
            </w:pPr>
            <w:r>
              <w:rPr>
                <w:rFonts w:ascii="Cambria Math" w:cs="Cambria Math" w:eastAsia="Cambria Math" w:hAnsi="Cambria Math"/>
                <w:b/>
                <w:bCs/>
                <w:color w:val="1F3864"/>
                <w:sz w:val="22"/>
                <w:szCs w:val="22"/>
              </w:rPr>
              <w:t xml:space="preserve">CV = (s / x̄) × 100%</w:t>
            </w:r>
          </w:p>
          <w:p>
            <w:pPr>
              <w:spacing w:before="60"/>
            </w:pPr>
            <w:r>
              <w:rPr>
                <w:i/>
                <w:iCs/>
                <w:color w:val="5A5A5A"/>
                <w:sz w:val="19"/>
                <w:szCs w:val="19"/>
              </w:rPr>
              <w:t xml:space="preserve">Used to compare variability across datasets with different units or scales.</w:t>
            </w:r>
          </w:p>
        </w:tc>
      </w:tr>
    </w:tbl>
    <w:p>
      <w:pPr>
        <w:spacing w:after="100" w:before="200"/>
      </w:pPr>
      <w:r>
        <w:rPr>
          <w:b/>
          <w:bCs/>
          <w:color w:val="B8860B"/>
          <w:sz w:val="22"/>
          <w:szCs w:val="22"/>
        </w:rPr>
        <w:t xml:space="preserve">Worked Example — Comparing Two Branches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700"/>
        <w:gridCol w:w="3500"/>
        <w:gridCol w:w="1300"/>
        <w:gridCol w:w="2850"/>
      </w:tblGrid>
      <w:tr>
        <w:trPr>
          <w:tblHeader/>
        </w:trPr>
        <w:tc>
          <w:tcPr>
            <w:tcW w:type="dxa" w:w="1700"/>
            <w:shd w:fill="1F3864" w:color="auto" w:val="clear"/>
            <w:tcMar>
              <w:top w:type="dxa" w:w="80"/>
              <w:left w:type="dxa" w:w="100"/>
              <w:bottom w:type="dxa" w:w="80"/>
              <w:right w:type="dxa" w:w="100"/>
            </w:tcMar>
            <w:vAlign w:val="center"/>
          </w:tcPr>
          <w:p>
            <w:pPr>
              <w:jc w:val="center"/>
            </w:pPr>
            <w:r>
              <w:rPr>
                <w:b/>
                <w:bCs/>
                <w:color w:val="FFFFFF"/>
                <w:sz w:val="19"/>
                <w:szCs w:val="19"/>
              </w:rPr>
              <w:t xml:space="preserve">Branch</w:t>
            </w:r>
          </w:p>
        </w:tc>
        <w:tc>
          <w:tcPr>
            <w:tcW w:type="dxa" w:w="3500"/>
            <w:shd w:fill="1F3864" w:color="auto" w:val="clear"/>
            <w:tcMar>
              <w:top w:type="dxa" w:w="80"/>
              <w:left w:type="dxa" w:w="100"/>
              <w:bottom w:type="dxa" w:w="80"/>
              <w:right w:type="dxa" w:w="100"/>
            </w:tcMar>
            <w:vAlign w:val="center"/>
          </w:tcPr>
          <w:p>
            <w:pPr>
              <w:jc w:val="center"/>
            </w:pPr>
            <w:r>
              <w:rPr>
                <w:b/>
                <w:bCs/>
                <w:color w:val="FFFFFF"/>
                <w:sz w:val="19"/>
                <w:szCs w:val="19"/>
              </w:rPr>
              <w:t xml:space="preserve">Daily Footfall (5 days)</w:t>
            </w:r>
          </w:p>
        </w:tc>
        <w:tc>
          <w:tcPr>
            <w:tcW w:type="dxa" w:w="1300"/>
            <w:shd w:fill="1F3864" w:color="auto" w:val="clear"/>
            <w:tcMar>
              <w:top w:type="dxa" w:w="80"/>
              <w:left w:type="dxa" w:w="100"/>
              <w:bottom w:type="dxa" w:w="80"/>
              <w:right w:type="dxa" w:w="100"/>
            </w:tcMar>
            <w:vAlign w:val="center"/>
          </w:tcPr>
          <w:p>
            <w:pPr>
              <w:jc w:val="center"/>
            </w:pPr>
            <w:r>
              <w:rPr>
                <w:b/>
                <w:bCs/>
                <w:color w:val="FFFFFF"/>
                <w:sz w:val="19"/>
                <w:szCs w:val="19"/>
              </w:rPr>
              <w:t xml:space="preserve">Mean</w:t>
            </w:r>
          </w:p>
        </w:tc>
        <w:tc>
          <w:tcPr>
            <w:tcW w:type="dxa" w:w="2850"/>
            <w:shd w:fill="1F3864" w:color="auto" w:val="clear"/>
            <w:tcMar>
              <w:top w:type="dxa" w:w="80"/>
              <w:left w:type="dxa" w:w="100"/>
              <w:bottom w:type="dxa" w:w="80"/>
              <w:right w:type="dxa" w:w="100"/>
            </w:tcMar>
            <w:vAlign w:val="center"/>
          </w:tcPr>
          <w:p>
            <w:pPr>
              <w:jc w:val="center"/>
            </w:pPr>
            <w:r>
              <w:rPr>
                <w:b/>
                <w:bCs/>
                <w:color w:val="FFFFFF"/>
                <w:sz w:val="19"/>
                <w:szCs w:val="19"/>
              </w:rPr>
              <w:t xml:space="preserve">Std. Deviation</w:t>
            </w:r>
          </w:p>
        </w:tc>
      </w:tr>
      <w:tr>
        <w:tc>
          <w:tcPr>
            <w:tcW w:type="dxa" w:w="1700"/>
            <w:shd w:fill="FFFFFF" w:color="auto" w:val="clear"/>
            <w:tcMar>
              <w:top w:type="dxa" w:w="70"/>
              <w:left w:type="dxa" w:w="100"/>
              <w:bottom w:type="dxa" w:w="70"/>
              <w:right w:type="dxa" w:w="100"/>
            </w:tcMar>
            <w:vAlign w:val="center"/>
          </w:tcPr>
          <w:p>
            <w:pPr>
              <w:jc w:val="center"/>
            </w:pPr>
            <w:r>
              <w:rPr>
                <w:color w:val="222222"/>
                <w:sz w:val="19"/>
                <w:szCs w:val="19"/>
              </w:rPr>
              <w:t xml:space="preserve">Branch A</w:t>
            </w:r>
          </w:p>
        </w:tc>
        <w:tc>
          <w:tcPr>
            <w:tcW w:type="dxa" w:w="3500"/>
            <w:shd w:fill="FFFFFF" w:color="auto" w:val="clear"/>
            <w:tcMar>
              <w:top w:type="dxa" w:w="70"/>
              <w:left w:type="dxa" w:w="100"/>
              <w:bottom w:type="dxa" w:w="70"/>
              <w:right w:type="dxa" w:w="100"/>
            </w:tcMar>
            <w:vAlign w:val="center"/>
          </w:tcPr>
          <w:p>
            <w:pPr>
              <w:jc w:val="center"/>
            </w:pPr>
            <w:r>
              <w:rPr>
                <w:color w:val="222222"/>
                <w:sz w:val="19"/>
                <w:szCs w:val="19"/>
              </w:rPr>
              <w:t xml:space="preserve">98, 99, 100, 101, 102</w:t>
            </w:r>
          </w:p>
        </w:tc>
        <w:tc>
          <w:tcPr>
            <w:tcW w:type="dxa" w:w="1300"/>
            <w:shd w:fill="FFFFFF" w:color="auto" w:val="clear"/>
            <w:tcMar>
              <w:top w:type="dxa" w:w="70"/>
              <w:left w:type="dxa" w:w="100"/>
              <w:bottom w:type="dxa" w:w="70"/>
              <w:right w:type="dxa" w:w="100"/>
            </w:tcMar>
            <w:vAlign w:val="center"/>
          </w:tcPr>
          <w:p>
            <w:pPr>
              <w:jc w:val="center"/>
            </w:pPr>
            <w:r>
              <w:rPr>
                <w:color w:val="222222"/>
                <w:sz w:val="19"/>
                <w:szCs w:val="19"/>
              </w:rPr>
              <w:t xml:space="preserve">100</w:t>
            </w:r>
          </w:p>
        </w:tc>
        <w:tc>
          <w:tcPr>
            <w:tcW w:type="dxa" w:w="2850"/>
            <w:shd w:fill="FFFFFF" w:color="auto" w:val="clear"/>
            <w:tcMar>
              <w:top w:type="dxa" w:w="70"/>
              <w:left w:type="dxa" w:w="100"/>
              <w:bottom w:type="dxa" w:w="70"/>
              <w:right w:type="dxa" w:w="100"/>
            </w:tcMar>
            <w:vAlign w:val="center"/>
          </w:tcPr>
          <w:p>
            <w:pPr>
              <w:jc w:val="center"/>
            </w:pPr>
            <w:r>
              <w:rPr>
                <w:color w:val="222222"/>
                <w:sz w:val="19"/>
                <w:szCs w:val="19"/>
              </w:rPr>
              <w:t xml:space="preserve">≈ 1.58 (consistent)</w:t>
            </w:r>
          </w:p>
        </w:tc>
      </w:tr>
      <w:tr>
        <w:tc>
          <w:tcPr>
            <w:tcW w:type="dxa" w:w="1700"/>
            <w:shd w:fill="F2F5F7" w:color="auto" w:val="clear"/>
            <w:tcMar>
              <w:top w:type="dxa" w:w="70"/>
              <w:left w:type="dxa" w:w="100"/>
              <w:bottom w:type="dxa" w:w="70"/>
              <w:right w:type="dxa" w:w="100"/>
            </w:tcMar>
            <w:vAlign w:val="center"/>
          </w:tcPr>
          <w:p>
            <w:pPr>
              <w:jc w:val="center"/>
            </w:pPr>
            <w:r>
              <w:rPr>
                <w:color w:val="222222"/>
                <w:sz w:val="19"/>
                <w:szCs w:val="19"/>
              </w:rPr>
              <w:t xml:space="preserve">Branch B</w:t>
            </w:r>
          </w:p>
        </w:tc>
        <w:tc>
          <w:tcPr>
            <w:tcW w:type="dxa" w:w="3500"/>
            <w:shd w:fill="F2F5F7" w:color="auto" w:val="clear"/>
            <w:tcMar>
              <w:top w:type="dxa" w:w="70"/>
              <w:left w:type="dxa" w:w="100"/>
              <w:bottom w:type="dxa" w:w="70"/>
              <w:right w:type="dxa" w:w="100"/>
            </w:tcMar>
            <w:vAlign w:val="center"/>
          </w:tcPr>
          <w:p>
            <w:pPr>
              <w:jc w:val="center"/>
            </w:pPr>
            <w:r>
              <w:rPr>
                <w:color w:val="222222"/>
                <w:sz w:val="19"/>
                <w:szCs w:val="19"/>
              </w:rPr>
              <w:t xml:space="preserve">60, 85, 100, 120, 135</w:t>
            </w:r>
          </w:p>
        </w:tc>
        <w:tc>
          <w:tcPr>
            <w:tcW w:type="dxa" w:w="1300"/>
            <w:shd w:fill="F2F5F7" w:color="auto" w:val="clear"/>
            <w:tcMar>
              <w:top w:type="dxa" w:w="70"/>
              <w:left w:type="dxa" w:w="100"/>
              <w:bottom w:type="dxa" w:w="70"/>
              <w:right w:type="dxa" w:w="100"/>
            </w:tcMar>
            <w:vAlign w:val="center"/>
          </w:tcPr>
          <w:p>
            <w:pPr>
              <w:jc w:val="center"/>
            </w:pPr>
            <w:r>
              <w:rPr>
                <w:color w:val="222222"/>
                <w:sz w:val="19"/>
                <w:szCs w:val="19"/>
              </w:rPr>
              <w:t xml:space="preserve">100</w:t>
            </w:r>
          </w:p>
        </w:tc>
        <w:tc>
          <w:tcPr>
            <w:tcW w:type="dxa" w:w="2850"/>
            <w:shd w:fill="F2F5F7" w:color="auto" w:val="clear"/>
            <w:tcMar>
              <w:top w:type="dxa" w:w="70"/>
              <w:left w:type="dxa" w:w="100"/>
              <w:bottom w:type="dxa" w:w="70"/>
              <w:right w:type="dxa" w:w="100"/>
            </w:tcMar>
            <w:vAlign w:val="center"/>
          </w:tcPr>
          <w:p>
            <w:pPr>
              <w:jc w:val="center"/>
            </w:pPr>
            <w:r>
              <w:rPr>
                <w:color w:val="222222"/>
                <w:sz w:val="19"/>
                <w:szCs w:val="19"/>
              </w:rPr>
              <w:t xml:space="preserve">≈ 28.2 (volatile)</w:t>
            </w:r>
          </w:p>
        </w:tc>
      </w:tr>
    </w:tbl>
    <w:p>
      <w:pPr>
        <w:spacing w:after="200" w:before="60"/>
      </w:pPr>
      <w:r>
        <w:rPr>
          <w:i/>
          <w:iCs/>
          <w:color w:val="5A5A5A"/>
          <w:sz w:val="18"/>
          <w:szCs w:val="18"/>
        </w:rPr>
        <w:t xml:space="preserve">Identical means, very different reliability — exactly why the mean is never reported alone in serious business analysis.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Variance and standard deviation are the mathematical engine behind risk in Finance (portfolio variance), process control limits in Operations (Six Sigma), and the error term in every regression model in Business Analytics.</w:t>
            </w:r>
          </w:p>
        </w:tc>
      </w:tr>
    </w:tbl>
    <w:p>
      <w:pPr>
        <w:pStyle w:val="Heading2"/>
        <w:spacing w:after="140" w:before="320"/>
      </w:pPr>
      <w:r>
        <w:rPr>
          <w:b/>
          <w:bCs/>
          <w:color w:val="0F766E"/>
          <w:sz w:val="25"/>
          <w:szCs w:val="25"/>
        </w:rPr>
        <w:t xml:space="preserve">5.2 Shapes of Distribution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3100"/>
        <w:gridCol w:w="4200"/>
        <w:gridCol w:w="2050"/>
      </w:tblGrid>
      <w:tr>
        <w:trPr>
          <w:tblHeader/>
        </w:trPr>
        <w:tc>
          <w:tcPr>
            <w:tcW w:type="dxa" w:w="3100"/>
            <w:shd w:fill="1F3864" w:color="auto" w:val="clear"/>
            <w:tcMar>
              <w:top w:type="dxa" w:w="80"/>
              <w:left w:type="dxa" w:w="100"/>
              <w:bottom w:type="dxa" w:w="80"/>
              <w:right w:type="dxa" w:w="100"/>
            </w:tcMar>
            <w:vAlign w:val="center"/>
          </w:tcPr>
          <w:p>
            <w:pPr>
              <w:jc w:val="center"/>
            </w:pPr>
            <w:r>
              <w:rPr>
                <w:b/>
                <w:bCs/>
                <w:color w:val="FFFFFF"/>
                <w:sz w:val="19"/>
                <w:szCs w:val="19"/>
              </w:rPr>
              <w:t xml:space="preserve">Shape</w:t>
            </w:r>
          </w:p>
        </w:tc>
        <w:tc>
          <w:tcPr>
            <w:tcW w:type="dxa" w:w="42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050"/>
            <w:shd w:fill="1F3864" w:color="auto" w:val="clear"/>
            <w:tcMar>
              <w:top w:type="dxa" w:w="80"/>
              <w:left w:type="dxa" w:w="100"/>
              <w:bottom w:type="dxa" w:w="80"/>
              <w:right w:type="dxa" w:w="100"/>
            </w:tcMar>
            <w:vAlign w:val="center"/>
          </w:tcPr>
          <w:p>
            <w:pPr>
              <w:jc w:val="center"/>
            </w:pPr>
            <w:r>
              <w:rPr>
                <w:b/>
                <w:bCs/>
                <w:color w:val="FFFFFF"/>
                <w:sz w:val="19"/>
                <w:szCs w:val="19"/>
              </w:rPr>
              <w:t xml:space="preserve">Mean vs Median vs Mode</w:t>
            </w:r>
          </w:p>
        </w:tc>
      </w:tr>
      <w:tr>
        <w:tc>
          <w:tcPr>
            <w:tcW w:type="dxa" w:w="3100"/>
            <w:shd w:fill="FFFFFF" w:color="auto" w:val="clear"/>
            <w:tcMar>
              <w:top w:type="dxa" w:w="70"/>
              <w:left w:type="dxa" w:w="100"/>
              <w:bottom w:type="dxa" w:w="70"/>
              <w:right w:type="dxa" w:w="100"/>
            </w:tcMar>
            <w:vAlign w:val="center"/>
          </w:tcPr>
          <w:p>
            <w:pPr>
              <w:jc w:val="center"/>
            </w:pPr>
            <w:r>
              <w:rPr>
                <w:color w:val="222222"/>
                <w:sz w:val="19"/>
                <w:szCs w:val="19"/>
              </w:rPr>
              <w:t xml:space="preserve">Symmetric (Normal)</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Bell-shaped, balanced on both sides</w:t>
            </w:r>
          </w:p>
        </w:tc>
        <w:tc>
          <w:tcPr>
            <w:tcW w:type="dxa" w:w="2050"/>
            <w:shd w:fill="FFFFFF" w:color="auto" w:val="clear"/>
            <w:tcMar>
              <w:top w:type="dxa" w:w="70"/>
              <w:left w:type="dxa" w:w="100"/>
              <w:bottom w:type="dxa" w:w="70"/>
              <w:right w:type="dxa" w:w="100"/>
            </w:tcMar>
            <w:vAlign w:val="center"/>
          </w:tcPr>
          <w:p>
            <w:pPr>
              <w:jc w:val="center"/>
            </w:pPr>
            <w:r>
              <w:rPr>
                <w:color w:val="222222"/>
                <w:sz w:val="19"/>
                <w:szCs w:val="19"/>
              </w:rPr>
              <w:t xml:space="preserve">Mean = Median = Mode</w:t>
            </w:r>
          </w:p>
        </w:tc>
      </w:tr>
      <w:tr>
        <w:tc>
          <w:tcPr>
            <w:tcW w:type="dxa" w:w="3100"/>
            <w:shd w:fill="F2F5F7" w:color="auto" w:val="clear"/>
            <w:tcMar>
              <w:top w:type="dxa" w:w="70"/>
              <w:left w:type="dxa" w:w="100"/>
              <w:bottom w:type="dxa" w:w="70"/>
              <w:right w:type="dxa" w:w="100"/>
            </w:tcMar>
            <w:vAlign w:val="center"/>
          </w:tcPr>
          <w:p>
            <w:pPr>
              <w:jc w:val="center"/>
            </w:pPr>
            <w:r>
              <w:rPr>
                <w:color w:val="222222"/>
                <w:sz w:val="19"/>
                <w:szCs w:val="19"/>
              </w:rPr>
              <w:t xml:space="preserve">Right / Positively Skewed</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Long tail to the right (high outliers)</w:t>
            </w:r>
          </w:p>
        </w:tc>
        <w:tc>
          <w:tcPr>
            <w:tcW w:type="dxa" w:w="2050"/>
            <w:shd w:fill="F2F5F7" w:color="auto" w:val="clear"/>
            <w:tcMar>
              <w:top w:type="dxa" w:w="70"/>
              <w:left w:type="dxa" w:w="100"/>
              <w:bottom w:type="dxa" w:w="70"/>
              <w:right w:type="dxa" w:w="100"/>
            </w:tcMar>
            <w:vAlign w:val="center"/>
          </w:tcPr>
          <w:p>
            <w:pPr>
              <w:jc w:val="center"/>
            </w:pPr>
            <w:r>
              <w:rPr>
                <w:color w:val="222222"/>
                <w:sz w:val="19"/>
                <w:szCs w:val="19"/>
              </w:rPr>
              <w:t xml:space="preserve">Mean &gt; Median &gt; Mode</w:t>
            </w:r>
          </w:p>
        </w:tc>
      </w:tr>
      <w:tr>
        <w:tc>
          <w:tcPr>
            <w:tcW w:type="dxa" w:w="3100"/>
            <w:shd w:fill="FFFFFF" w:color="auto" w:val="clear"/>
            <w:tcMar>
              <w:top w:type="dxa" w:w="70"/>
              <w:left w:type="dxa" w:w="100"/>
              <w:bottom w:type="dxa" w:w="70"/>
              <w:right w:type="dxa" w:w="100"/>
            </w:tcMar>
            <w:vAlign w:val="center"/>
          </w:tcPr>
          <w:p>
            <w:pPr>
              <w:jc w:val="center"/>
            </w:pPr>
            <w:r>
              <w:rPr>
                <w:color w:val="222222"/>
                <w:sz w:val="19"/>
                <w:szCs w:val="19"/>
              </w:rPr>
              <w:t xml:space="preserve">Left / Negatively Skewed</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Long tail to the left (low outliers)</w:t>
            </w:r>
          </w:p>
        </w:tc>
        <w:tc>
          <w:tcPr>
            <w:tcW w:type="dxa" w:w="2050"/>
            <w:shd w:fill="FFFFFF" w:color="auto" w:val="clear"/>
            <w:tcMar>
              <w:top w:type="dxa" w:w="70"/>
              <w:left w:type="dxa" w:w="100"/>
              <w:bottom w:type="dxa" w:w="70"/>
              <w:right w:type="dxa" w:w="100"/>
            </w:tcMar>
            <w:vAlign w:val="center"/>
          </w:tcPr>
          <w:p>
            <w:pPr>
              <w:jc w:val="center"/>
            </w:pPr>
            <w:r>
              <w:rPr>
                <w:color w:val="222222"/>
                <w:sz w:val="19"/>
                <w:szCs w:val="19"/>
              </w:rPr>
              <w:t xml:space="preserve">Mean &lt; Median &lt; Mode</w:t>
            </w:r>
          </w:p>
        </w:tc>
      </w:tr>
    </w:tbl>
    <w:p>
      <w:pPr>
        <w:pStyle w:val="Heading2"/>
        <w:spacing w:after="140" w:before="320"/>
      </w:pPr>
      <w:r>
        <w:rPr>
          <w:b/>
          <w:bCs/>
          <w:color w:val="0F766E"/>
          <w:sz w:val="25"/>
          <w:szCs w:val="25"/>
        </w:rPr>
        <w:t xml:space="preserve">5.3 Index Numbers</w:t>
      </w:r>
    </w:p>
    <w:p>
      <w:pPr>
        <w:spacing w:after="140"/>
      </w:pPr>
      <w:r>
        <w:rPr>
          <w:color w:val="222222"/>
          <w:sz w:val="21"/>
          <w:szCs w:val="21"/>
        </w:rPr>
        <w:t xml:space="preserve">An index number measures the relative change in a variable (price, quantity, or value) over time compared to a fixed base period, expressed as a percentage.</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Simple Price Index</w:t>
            </w:r>
          </w:p>
          <w:p>
            <w:pPr>
              <w:spacing w:after="60"/>
            </w:pPr>
            <w:r>
              <w:rPr>
                <w:rFonts w:ascii="Cambria Math" w:cs="Cambria Math" w:eastAsia="Cambria Math" w:hAnsi="Cambria Math"/>
                <w:b/>
                <w:bCs/>
                <w:color w:val="1F3864"/>
                <w:sz w:val="22"/>
                <w:szCs w:val="22"/>
              </w:rPr>
              <w:t xml:space="preserve">Price Index = (Pₙ / P₀) × 100</w:t>
            </w:r>
          </w:p>
          <w:p>
            <w:pPr>
              <w:spacing w:before="60"/>
            </w:pPr>
            <w:r>
              <w:rPr>
                <w:i/>
                <w:iCs/>
                <w:color w:val="5A5A5A"/>
                <w:sz w:val="19"/>
                <w:szCs w:val="19"/>
              </w:rPr>
              <w:t xml:space="preserve">Pₙ = price in current year, P₀ = price in base year.</w:t>
            </w:r>
          </w:p>
        </w:tc>
      </w:tr>
    </w:tbl>
    <w:p>
      <w:pPr>
        <w:spacing w:after="140"/>
      </w:pPr>
      <w:r>
        <w:rPr>
          <w:color w:val="222222"/>
          <w:sz w:val="21"/>
          <w:szCs w:val="21"/>
        </w:rPr>
        <w:t xml:space="preserve">Example: a basket costing ₹200 in the base year and ₹250 today gives Index = (250/200)×100 = 125 — a 25% rise since the base year.</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Index numbers are exactly how you’ll read CPI, WPI, and market indices like NIFTY/SENSEX in Managerial Economics — the same formula scaled to a national level.</w:t>
            </w:r>
          </w:p>
        </w:tc>
      </w:tr>
    </w:tbl>
    <w:p>
      <w:r>
        <w:br w:type="page"/>
      </w:r>
    </w:p>
    <w:p>
      <w:pPr>
        <w:spacing w:after="40" w:before="200"/>
      </w:pPr>
      <w:r>
        <w:rPr>
          <w:b/>
          <w:bCs/>
          <w:color w:val="B8860B"/>
          <w:spacing w:val="20"/>
          <w:sz w:val="18"/>
          <w:szCs w:val="18"/>
        </w:rPr>
        <w:t xml:space="preserve">PART IV — STATISTICAL METHODS II</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6   </w:t>
            </w:r>
            <w:r>
              <w:rPr>
                <w:b/>
                <w:bCs/>
                <w:color w:val="FFFFFF"/>
                <w:sz w:val="30"/>
                <w:szCs w:val="30"/>
              </w:rPr>
              <w:t xml:space="preserve">SKEWNESS &amp; KURTOSIS</w:t>
            </w:r>
          </w:p>
        </w:tc>
      </w:tr>
    </w:tbl>
    <w:p>
      <w:pPr>
        <w:spacing w:after="200"/>
      </w:pPr>
    </w:p>
    <w:p>
      <w:pPr>
        <w:pStyle w:val="Heading2"/>
        <w:spacing w:after="140" w:before="320"/>
      </w:pPr>
      <w:r>
        <w:rPr>
          <w:b/>
          <w:bCs/>
          <w:color w:val="0F766E"/>
          <w:sz w:val="25"/>
          <w:szCs w:val="25"/>
        </w:rPr>
        <w:t xml:space="preserve">6.1 Skewness</w:t>
      </w:r>
    </w:p>
    <w:p>
      <w:pPr>
        <w:spacing w:after="140"/>
      </w:pPr>
      <w:r>
        <w:rPr>
          <w:color w:val="222222"/>
          <w:sz w:val="21"/>
          <w:szCs w:val="21"/>
        </w:rPr>
        <w:t xml:space="preserve">Skewness measures the asymmetry of a distribution — whether it leans left, right, or is symmetrical.</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Karl Pearson’s Coefficient of Skewness</w:t>
            </w:r>
          </w:p>
          <w:p>
            <w:pPr>
              <w:spacing w:after="60"/>
            </w:pPr>
            <w:r>
              <w:rPr>
                <w:rFonts w:ascii="Cambria Math" w:cs="Cambria Math" w:eastAsia="Cambria Math" w:hAnsi="Cambria Math"/>
                <w:b/>
                <w:bCs/>
                <w:color w:val="1F3864"/>
                <w:sz w:val="22"/>
                <w:szCs w:val="22"/>
              </w:rPr>
              <w:t xml:space="preserve">Sk = (Mean − Mode) / Std. Deviation</w:t>
            </w:r>
          </w:p>
          <w:p>
            <w:pPr>
              <w:spacing w:after="60"/>
            </w:pPr>
            <w:r>
              <w:rPr>
                <w:rFonts w:ascii="Cambria Math" w:cs="Cambria Math" w:eastAsia="Cambria Math" w:hAnsi="Cambria Math"/>
                <w:b/>
                <w:bCs/>
                <w:color w:val="1F3864"/>
                <w:sz w:val="22"/>
                <w:szCs w:val="22"/>
              </w:rPr>
              <w:t xml:space="preserve">or, when the mode is ill-defined:  Sk = 3(Mean − Median) / Std. Deviation</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Bowley’s Coefficient of Skewness (quartile-based)</w:t>
            </w:r>
          </w:p>
          <w:p>
            <w:pPr>
              <w:spacing w:after="60"/>
            </w:pPr>
            <w:r>
              <w:rPr>
                <w:rFonts w:ascii="Cambria Math" w:cs="Cambria Math" w:eastAsia="Cambria Math" w:hAnsi="Cambria Math"/>
                <w:b/>
                <w:bCs/>
                <w:color w:val="1F3864"/>
                <w:sz w:val="22"/>
                <w:szCs w:val="22"/>
              </w:rPr>
              <w:t xml:space="preserve">Sk = (Q₃ + Q₁ − 2×Median) / (Q₃ − Q₁)</w:t>
            </w:r>
          </w:p>
        </w:tc>
      </w:tr>
    </w:tbl>
    <w:p>
      <w:pPr>
        <w:pStyle w:val="Heading2"/>
        <w:spacing w:after="140" w:before="320"/>
      </w:pPr>
      <w:r>
        <w:rPr>
          <w:b/>
          <w:bCs/>
          <w:color w:val="0F766E"/>
          <w:sz w:val="25"/>
          <w:szCs w:val="25"/>
        </w:rPr>
        <w:t xml:space="preserve">6.2 Kurtosis</w:t>
      </w:r>
    </w:p>
    <w:p>
      <w:pPr>
        <w:spacing w:after="140"/>
      </w:pPr>
      <w:r>
        <w:rPr>
          <w:color w:val="222222"/>
          <w:sz w:val="21"/>
          <w:szCs w:val="21"/>
        </w:rPr>
        <w:t xml:space="preserve">Kurtosis measures how ‘peaked’ or ‘flat’ a distribution is — the thickness of its tails — relative to a Normal distribution.</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Kurtosis</w:t>
            </w:r>
          </w:p>
          <w:p>
            <w:pPr>
              <w:spacing w:after="60"/>
            </w:pPr>
            <w:r>
              <w:rPr>
                <w:rFonts w:ascii="Cambria Math" w:cs="Cambria Math" w:eastAsia="Cambria Math" w:hAnsi="Cambria Math"/>
                <w:b/>
                <w:bCs/>
                <w:color w:val="1F3864"/>
                <w:sz w:val="22"/>
                <w:szCs w:val="22"/>
              </w:rPr>
              <w:t xml:space="preserve">Kurtosis = μ₄ / σ⁴  (the fourth standardized moment)</w:t>
            </w:r>
          </w:p>
          <w:p>
            <w:pPr>
              <w:spacing w:before="60"/>
            </w:pPr>
            <w:r>
              <w:rPr>
                <w:i/>
                <w:iCs/>
                <w:color w:val="5A5A5A"/>
                <w:sz w:val="19"/>
                <w:szCs w:val="19"/>
              </w:rPr>
              <w:t xml:space="preserve">= 3: Mesokurtic (normal) · &gt; 3: Leptokurtic (peaked, fat tails) · &lt; 3: Platykurtic (flat).</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Skewness and kurtosis are the two checks you’ll run before trusting any regression or forecasting model — most classical models assume the data (or residuals) are roughly normal.</w:t>
            </w:r>
          </w:p>
        </w:tc>
      </w:tr>
    </w:tbl>
    <w:p>
      <w:r>
        <w:br w:type="page"/>
      </w:r>
    </w:p>
    <w:p>
      <w:pPr>
        <w:spacing w:after="40" w:before="200"/>
      </w:pPr>
      <w:r>
        <w:rPr>
          <w:b/>
          <w:bCs/>
          <w:color w:val="B8860B"/>
          <w:spacing w:val="20"/>
          <w:sz w:val="18"/>
          <w:szCs w:val="18"/>
        </w:rPr>
        <w:t xml:space="preserve">PART IV — STATISTICAL METHODS II</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7   </w:t>
            </w:r>
            <w:r>
              <w:rPr>
                <w:b/>
                <w:bCs/>
                <w:color w:val="FFFFFF"/>
                <w:sz w:val="30"/>
                <w:szCs w:val="30"/>
              </w:rPr>
              <w:t xml:space="preserve">CORRELATION &amp; REGRESSION</w:t>
            </w:r>
          </w:p>
        </w:tc>
      </w:tr>
    </w:tbl>
    <w:p>
      <w:pPr>
        <w:spacing w:after="200"/>
      </w:pPr>
    </w:p>
    <w:p>
      <w:pPr>
        <w:pStyle w:val="Heading2"/>
        <w:spacing w:after="140" w:before="320"/>
      </w:pPr>
      <w:r>
        <w:rPr>
          <w:b/>
          <w:bCs/>
          <w:color w:val="0F766E"/>
          <w:sz w:val="25"/>
          <w:szCs w:val="25"/>
        </w:rPr>
        <w:t xml:space="preserve">7.1 Correlation &amp; Regression</w:t>
      </w:r>
    </w:p>
    <w:p>
      <w:pPr>
        <w:spacing w:after="140"/>
      </w:pPr>
      <w:r>
        <w:rPr>
          <w:color w:val="222222"/>
          <w:sz w:val="21"/>
          <w:szCs w:val="21"/>
        </w:rPr>
        <w:t xml:space="preserve">Covariance and correlation measure how two variables move together; regression goes further and models exactly how much one changes for a unit change in the other.</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Covariance</w:t>
            </w:r>
          </w:p>
          <w:p>
            <w:pPr>
              <w:spacing w:after="60"/>
            </w:pPr>
            <w:r>
              <w:rPr>
                <w:rFonts w:ascii="Cambria Math" w:cs="Cambria Math" w:eastAsia="Cambria Math" w:hAnsi="Cambria Math"/>
                <w:b/>
                <w:bCs/>
                <w:color w:val="1F3864"/>
                <w:sz w:val="22"/>
                <w:szCs w:val="22"/>
              </w:rPr>
              <w:t xml:space="preserve">Cov(x,y) = Σ[(xᵢ − x̄)(yᵢ − ȳ)] / N</w:t>
            </w:r>
          </w:p>
          <w:p>
            <w:pPr>
              <w:spacing w:before="60"/>
            </w:pPr>
            <w:r>
              <w:rPr>
                <w:i/>
                <w:iCs/>
                <w:color w:val="5A5A5A"/>
                <w:sz w:val="19"/>
                <w:szCs w:val="19"/>
              </w:rPr>
              <w:t xml:space="preserve">Sign shows direction; magnitude is hard to interpret because it depends on the units of x and y.</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Karl Pearson’s Correlation Coefficient (r)</w:t>
            </w:r>
          </w:p>
          <w:p>
            <w:pPr>
              <w:spacing w:after="60"/>
            </w:pPr>
            <w:r>
              <w:rPr>
                <w:rFonts w:ascii="Cambria Math" w:cs="Cambria Math" w:eastAsia="Cambria Math" w:hAnsi="Cambria Math"/>
                <w:b/>
                <w:bCs/>
                <w:color w:val="1F3864"/>
                <w:sz w:val="22"/>
                <w:szCs w:val="22"/>
              </w:rPr>
              <w:t xml:space="preserve">r = Cov(x,y) / (σₓ × σᵧ)</w:t>
            </w:r>
          </w:p>
          <w:p>
            <w:pPr>
              <w:spacing w:after="60"/>
            </w:pPr>
            <w:r>
              <w:rPr>
                <w:rFonts w:ascii="Cambria Math" w:cs="Cambria Math" w:eastAsia="Cambria Math" w:hAnsi="Cambria Math"/>
                <w:b/>
                <w:bCs/>
                <w:color w:val="1F3864"/>
                <w:sz w:val="22"/>
                <w:szCs w:val="22"/>
              </w:rPr>
              <w:t xml:space="preserve">  = Σ(xᵢ−x̄)(yᵢ−ȳ) / √[Σ(xᵢ−x̄)² · Σ(yᵢ−ȳ)²]</w:t>
            </w:r>
          </w:p>
          <w:p>
            <w:pPr>
              <w:spacing w:before="60"/>
            </w:pPr>
            <w:r>
              <w:rPr>
                <w:i/>
                <w:iCs/>
                <w:color w:val="5A5A5A"/>
                <w:sz w:val="19"/>
                <w:szCs w:val="19"/>
              </w:rPr>
              <w:t xml:space="preserve">r ranges from −1 (perfect negative) to +1 (perfect positive); 0 means no linear relationship.</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Regression Coefficients &amp; Their Link to r</w:t>
            </w:r>
          </w:p>
          <w:p>
            <w:pPr>
              <w:spacing w:after="60"/>
            </w:pPr>
            <w:r>
              <w:rPr>
                <w:rFonts w:ascii="Cambria Math" w:cs="Cambria Math" w:eastAsia="Cambria Math" w:hAnsi="Cambria Math"/>
                <w:b/>
                <w:bCs/>
                <w:color w:val="1F3864"/>
                <w:sz w:val="22"/>
                <w:szCs w:val="22"/>
              </w:rPr>
              <w:t xml:space="preserve">bᵧₓ (regression of y on x) = r × (σᵧ/σₓ)</w:t>
            </w:r>
          </w:p>
          <w:p>
            <w:pPr>
              <w:spacing w:after="60"/>
            </w:pPr>
            <w:r>
              <w:rPr>
                <w:rFonts w:ascii="Cambria Math" w:cs="Cambria Math" w:eastAsia="Cambria Math" w:hAnsi="Cambria Math"/>
                <w:b/>
                <w:bCs/>
                <w:color w:val="1F3864"/>
                <w:sz w:val="22"/>
                <w:szCs w:val="22"/>
              </w:rPr>
              <w:t xml:space="preserve">bₓᵧ (regression of x on y) = r × (σₓ/σᵧ)</w:t>
            </w:r>
          </w:p>
          <w:p>
            <w:pPr>
              <w:spacing w:after="60"/>
            </w:pPr>
            <w:r>
              <w:rPr>
                <w:rFonts w:ascii="Cambria Math" w:cs="Cambria Math" w:eastAsia="Cambria Math" w:hAnsi="Cambria Math"/>
                <w:b/>
                <w:bCs/>
                <w:color w:val="1F3864"/>
                <w:sz w:val="22"/>
                <w:szCs w:val="22"/>
              </w:rPr>
              <w:t xml:space="preserve">r = √(bᵧₓ × bₓᵧ)</w:t>
            </w:r>
          </w:p>
          <w:p>
            <w:pPr>
              <w:spacing w:before="60"/>
            </w:pPr>
            <w:r>
              <w:rPr>
                <w:i/>
                <w:iCs/>
                <w:color w:val="5A5A5A"/>
                <w:sz w:val="19"/>
                <w:szCs w:val="19"/>
              </w:rPr>
              <w:t xml:space="preserve">The two regression lines always intersect at (x̄, ȳ); r is the geometric mean of the two regression coefficients.</w:t>
            </w:r>
          </w:p>
        </w:tc>
      </w:tr>
    </w:tbl>
    <w:p>
      <w:pPr>
        <w:spacing w:after="100" w:before="200"/>
      </w:pPr>
      <w:r>
        <w:rPr>
          <w:b/>
          <w:bCs/>
          <w:color w:val="B8860B"/>
          <w:sz w:val="22"/>
          <w:szCs w:val="22"/>
        </w:rPr>
        <w:t xml:space="preserve">Worked Example — Ad Spend vs. Sales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1470"/>
        <w:gridCol w:w="1470"/>
        <w:gridCol w:w="1470"/>
        <w:gridCol w:w="1470"/>
        <w:gridCol w:w="1470"/>
      </w:tblGrid>
      <w:tr>
        <w:trPr>
          <w:tblHeader/>
        </w:trPr>
        <w:tc>
          <w:tcPr>
            <w:tcW w:type="dxa" w:w="2000"/>
            <w:shd w:fill="1F3864" w:color="auto" w:val="clear"/>
            <w:tcMar>
              <w:top w:type="dxa" w:w="80"/>
              <w:left w:type="dxa" w:w="100"/>
              <w:bottom w:type="dxa" w:w="80"/>
              <w:right w:type="dxa" w:w="100"/>
            </w:tcMar>
            <w:vAlign w:val="center"/>
          </w:tcPr>
          <w:p>
            <w:pPr>
              <w:jc w:val="center"/>
            </w:pPr>
            <w:r>
              <w:rPr>
                <w:b/>
                <w:bCs/>
                <w:color w:val="FFFFFF"/>
                <w:sz w:val="19"/>
                <w:szCs w:val="19"/>
              </w:rPr>
              <w:t xml:space="preserve">Ad Spend (₹’000)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10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20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30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40</w:t>
            </w:r>
          </w:p>
        </w:tc>
        <w:tc>
          <w:tcPr>
            <w:tcW w:type="dxa" w:w="1470"/>
            <w:shd w:fill="1F3864" w:color="auto" w:val="clear"/>
            <w:tcMar>
              <w:top w:type="dxa" w:w="80"/>
              <w:left w:type="dxa" w:w="100"/>
              <w:bottom w:type="dxa" w:w="80"/>
              <w:right w:type="dxa" w:w="100"/>
            </w:tcMar>
            <w:vAlign w:val="center"/>
          </w:tcPr>
          <w:p>
            <w:pPr>
              <w:jc w:val="center"/>
            </w:pPr>
            <w:r>
              <w:rPr>
                <w:b/>
                <w:bCs/>
                <w:color w:val="FFFFFF"/>
                <w:sz w:val="19"/>
                <w:szCs w:val="19"/>
              </w:rPr>
              <w:t xml:space="preserve">50</w:t>
            </w:r>
          </w:p>
        </w:tc>
      </w:tr>
      <w:tr>
        <w:tc>
          <w:tcPr>
            <w:tcW w:type="dxa" w:w="2000"/>
            <w:shd w:fill="FFFFFF" w:color="auto" w:val="clear"/>
            <w:tcMar>
              <w:top w:type="dxa" w:w="70"/>
              <w:left w:type="dxa" w:w="100"/>
              <w:bottom w:type="dxa" w:w="70"/>
              <w:right w:type="dxa" w:w="100"/>
            </w:tcMar>
            <w:vAlign w:val="center"/>
          </w:tcPr>
          <w:p>
            <w:pPr>
              <w:jc w:val="center"/>
            </w:pPr>
            <w:r>
              <w:rPr>
                <w:color w:val="222222"/>
                <w:sz w:val="19"/>
                <w:szCs w:val="19"/>
              </w:rPr>
              <w:t xml:space="preserve">Sales (₹’000)</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15</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34</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50</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71</w:t>
            </w:r>
          </w:p>
        </w:tc>
        <w:tc>
          <w:tcPr>
            <w:tcW w:type="dxa" w:w="1470"/>
            <w:shd w:fill="FFFFFF" w:color="auto" w:val="clear"/>
            <w:tcMar>
              <w:top w:type="dxa" w:w="70"/>
              <w:left w:type="dxa" w:w="100"/>
              <w:bottom w:type="dxa" w:w="70"/>
              <w:right w:type="dxa" w:w="100"/>
            </w:tcMar>
            <w:vAlign w:val="center"/>
          </w:tcPr>
          <w:p>
            <w:pPr>
              <w:jc w:val="center"/>
            </w:pPr>
            <w:r>
              <w:rPr>
                <w:color w:val="222222"/>
                <w:sz w:val="19"/>
                <w:szCs w:val="19"/>
              </w:rPr>
              <w:t xml:space="preserve">90</w:t>
            </w:r>
          </w:p>
        </w:tc>
      </w:tr>
    </w:tbl>
    <w:p>
      <w:pPr>
        <w:spacing w:after="200" w:before="60"/>
      </w:pPr>
      <w:r>
        <w:rPr>
          <w:i/>
          <w:iCs/>
          <w:color w:val="5A5A5A"/>
          <w:sz w:val="18"/>
          <w:szCs w:val="18"/>
        </w:rPr>
        <w:t xml:space="preserve">This dataset produces r ≈ 0.999 — an almost perfect positive linear relationship between ad spend and sales.</w:t>
      </w:r>
    </w:p>
    <w:p>
      <w:pPr>
        <w:pStyle w:val="ListParagraph"/>
        <w:numPr>
          <w:ilvl w:val="0"/>
          <w:numId w:val="2"/>
        </w:numPr>
        <w:spacing w:after="60"/>
      </w:pPr>
      <w:r>
        <w:rPr>
          <w:color w:val="222222"/>
          <w:sz w:val="21"/>
          <w:szCs w:val="21"/>
        </w:rPr>
        <w:t xml:space="preserve">Scatter diagram — a visual, qualitative first check of the relationship.</w:t>
      </w:r>
    </w:p>
    <w:p>
      <w:pPr>
        <w:pStyle w:val="ListParagraph"/>
        <w:numPr>
          <w:ilvl w:val="0"/>
          <w:numId w:val="2"/>
        </w:numPr>
        <w:spacing w:after="60"/>
      </w:pPr>
      <w:r>
        <w:rPr>
          <w:color w:val="222222"/>
          <w:sz w:val="21"/>
          <w:szCs w:val="21"/>
        </w:rPr>
        <w:t xml:space="preserve">Spearman’s Rank Correlation — used for ordinal / ranked data.</w:t>
      </w:r>
    </w:p>
    <w:p>
      <w:pPr>
        <w:pStyle w:val="ListParagraph"/>
        <w:numPr>
          <w:ilvl w:val="0"/>
          <w:numId w:val="2"/>
        </w:numPr>
        <w:spacing w:after="60"/>
      </w:pPr>
      <w:r>
        <w:rPr>
          <w:color w:val="222222"/>
          <w:sz w:val="21"/>
          <w:szCs w:val="21"/>
        </w:rPr>
        <w:t xml:space="preserve">Karl Pearson’s method — used for continuous, linear, interval/ratio data (shown above).</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Correlation tells you ‘how strongly related’; regression tells you ‘how much Y changes per unit of X’. You will build this formally in Business Analytics/Econometrics using this exact ad-spend-vs-sales logic.</w:t>
            </w:r>
          </w:p>
        </w:tc>
      </w:tr>
    </w:tbl>
    <w:p>
      <w:r>
        <w:br w:type="page"/>
      </w:r>
    </w:p>
    <w:p>
      <w:pPr>
        <w:spacing w:after="40" w:before="200"/>
      </w:pPr>
      <w:r>
        <w:rPr>
          <w:b/>
          <w:bCs/>
          <w:color w:val="B8860B"/>
          <w:spacing w:val="20"/>
          <w:sz w:val="18"/>
          <w:szCs w:val="18"/>
        </w:rPr>
        <w:t xml:space="preserve">PART IV — STATISTICAL METHODS II</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8   </w:t>
            </w:r>
            <w:r>
              <w:rPr>
                <w:b/>
                <w:bCs/>
                <w:color w:val="FFFFFF"/>
                <w:sz w:val="30"/>
                <w:szCs w:val="30"/>
              </w:rPr>
              <w:t xml:space="preserve">PROBABILITY</w:t>
            </w:r>
          </w:p>
        </w:tc>
      </w:tr>
    </w:tbl>
    <w:p>
      <w:pPr>
        <w:spacing w:after="200"/>
      </w:pPr>
    </w:p>
    <w:p>
      <w:pPr>
        <w:pStyle w:val="Heading2"/>
        <w:spacing w:after="140" w:before="320"/>
      </w:pPr>
      <w:r>
        <w:rPr>
          <w:b/>
          <w:bCs/>
          <w:color w:val="0F766E"/>
          <w:sz w:val="25"/>
          <w:szCs w:val="25"/>
        </w:rPr>
        <w:t xml:space="preserve">8.1 Probability — Basic Concepts</w:t>
      </w:r>
    </w:p>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Classical Probability</w:t>
            </w:r>
          </w:p>
          <w:p>
            <w:pPr>
              <w:spacing w:after="60"/>
            </w:pPr>
            <w:r>
              <w:rPr>
                <w:rFonts w:ascii="Cambria Math" w:cs="Cambria Math" w:eastAsia="Cambria Math" w:hAnsi="Cambria Math"/>
                <w:b/>
                <w:bCs/>
                <w:color w:val="1F3864"/>
                <w:sz w:val="22"/>
                <w:szCs w:val="22"/>
              </w:rPr>
              <w:t xml:space="preserve">P(Event) = (Number of favorable outcomes) / (Total possible outcomes)</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Addition Rule</w:t>
            </w:r>
          </w:p>
          <w:p>
            <w:pPr>
              <w:spacing w:after="60"/>
            </w:pPr>
            <w:r>
              <w:rPr>
                <w:rFonts w:ascii="Cambria Math" w:cs="Cambria Math" w:eastAsia="Cambria Math" w:hAnsi="Cambria Math"/>
                <w:b/>
                <w:bCs/>
                <w:color w:val="1F3864"/>
                <w:sz w:val="22"/>
                <w:szCs w:val="22"/>
              </w:rPr>
              <w:t xml:space="preserve">P(A or B) = P(A) + P(B) − P(A and B)</w:t>
            </w:r>
          </w:p>
          <w:p>
            <w:pPr>
              <w:spacing w:before="60"/>
            </w:pPr>
            <w:r>
              <w:rPr>
                <w:i/>
                <w:iCs/>
                <w:color w:val="5A5A5A"/>
                <w:sz w:val="19"/>
                <w:szCs w:val="19"/>
              </w:rPr>
              <w:t xml:space="preserve">For mutually exclusive events, P(A and B) = 0, so P(A or B) = P(A) + P(B).</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Multiplication Rule</w:t>
            </w:r>
          </w:p>
          <w:p>
            <w:pPr>
              <w:spacing w:after="60"/>
            </w:pPr>
            <w:r>
              <w:rPr>
                <w:rFonts w:ascii="Cambria Math" w:cs="Cambria Math" w:eastAsia="Cambria Math" w:hAnsi="Cambria Math"/>
                <w:b/>
                <w:bCs/>
                <w:color w:val="1F3864"/>
                <w:sz w:val="22"/>
                <w:szCs w:val="22"/>
              </w:rPr>
              <w:t xml:space="preserve">P(A and B) = P(A) × P(B|A)</w:t>
            </w:r>
          </w:p>
          <w:p>
            <w:pPr>
              <w:spacing w:before="60"/>
            </w:pPr>
            <w:r>
              <w:rPr>
                <w:i/>
                <w:iCs/>
                <w:color w:val="5A5A5A"/>
                <w:sz w:val="19"/>
                <w:szCs w:val="19"/>
              </w:rPr>
              <w:t xml:space="preserve">For independent events, P(B|A) = P(B), so P(A and B) = P(A) × P(B).</w:t>
            </w:r>
          </w:p>
        </w:tc>
      </w:tr>
    </w:tbl>
    <w:tbl>
      <w:tblPr>
        <w:tblW w:type="pct" w:w="100%"/>
        <w:tblBorders>
          <w:top w:val="single" w:color="0F766E" w:sz="6"/>
          <w:left w:val="single" w:color="0F766E" w:sz="6"/>
          <w:bottom w:val="single" w:color="0F766E" w:sz="6"/>
          <w:right w:val="single" w:color="0F766E" w:sz="6"/>
          <w:insideH w:val="none" w:color="FFFFFF" w:sz="0"/>
          <w:insideV w:val="none" w:color="FFFFFF" w:sz="0"/>
        </w:tblBorders>
      </w:tblPr>
      <w:tblGrid>
        <w:gridCol w:w="100"/>
      </w:tblGrid>
      <w:tr>
        <w:tc>
          <w:tcPr>
            <w:shd w:fill="EAF1EF" w:color="auto" w:val="clear"/>
            <w:tcMar>
              <w:top w:type="dxa" w:w="160"/>
              <w:left w:type="dxa" w:w="220"/>
              <w:bottom w:type="dxa" w:w="160"/>
              <w:right w:type="dxa" w:w="220"/>
            </w:tcMar>
          </w:tcPr>
          <w:p>
            <w:pPr>
              <w:spacing w:after="90"/>
            </w:pPr>
            <w:r>
              <w:rPr>
                <w:b/>
                <w:bCs/>
                <w:color w:val="0F766E"/>
                <w:sz w:val="21"/>
                <w:szCs w:val="21"/>
              </w:rPr>
              <w:t xml:space="preserve">📐  FORMULA — Conditional Probability</w:t>
            </w:r>
          </w:p>
          <w:p>
            <w:pPr>
              <w:spacing w:after="60"/>
            </w:pPr>
            <w:r>
              <w:rPr>
                <w:rFonts w:ascii="Cambria Math" w:cs="Cambria Math" w:eastAsia="Cambria Math" w:hAnsi="Cambria Math"/>
                <w:b/>
                <w:bCs/>
                <w:color w:val="1F3864"/>
                <w:sz w:val="22"/>
                <w:szCs w:val="22"/>
              </w:rPr>
              <w:t xml:space="preserve">P(A|B) = P(A and B) / P(B)</w:t>
            </w:r>
          </w:p>
        </w:tc>
      </w:tr>
    </w:tbl>
    <w:p>
      <w:pPr>
        <w:spacing w:after="100" w:before="200"/>
      </w:pPr>
      <w:r>
        <w:rPr>
          <w:b/>
          <w:bCs/>
          <w:color w:val="B8860B"/>
          <w:sz w:val="22"/>
          <w:szCs w:val="22"/>
        </w:rPr>
        <w:t xml:space="preserve">Worked Example — Employee Training Status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2350"/>
        <w:gridCol w:w="2350"/>
        <w:gridCol w:w="2350"/>
      </w:tblGrid>
      <w:tr>
        <w:trPr>
          <w:tblHeader/>
        </w:trPr>
        <w:tc>
          <w:tcPr>
            <w:tcW w:type="dxa" w:w="2300"/>
            <w:shd w:fill="1F3864" w:color="auto" w:val="clear"/>
            <w:tcMar>
              <w:top w:type="dxa" w:w="80"/>
              <w:left w:type="dxa" w:w="100"/>
              <w:bottom w:type="dxa" w:w="80"/>
              <w:right w:type="dxa" w:w="100"/>
            </w:tcMar>
            <w:vAlign w:val="center"/>
          </w:tcPr>
          <w:p>
            <w:pPr>
              <w:jc w:val="center"/>
            </w:pPr>
            <w:r>
              <w:rPr>
                <w:b/>
                <w:bCs/>
                <w:color w:val="FFFFFF"/>
                <w:sz w:val="19"/>
                <w:szCs w:val="19"/>
              </w:rPr>
              <w:t xml:space="preserve"/>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Trained</w:t>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Untrained</w:t>
            </w:r>
          </w:p>
        </w:tc>
        <w:tc>
          <w:tcPr>
            <w:tcW w:type="dxa" w:w="2350"/>
            <w:shd w:fill="1F3864" w:color="auto" w:val="clear"/>
            <w:tcMar>
              <w:top w:type="dxa" w:w="80"/>
              <w:left w:type="dxa" w:w="100"/>
              <w:bottom w:type="dxa" w:w="80"/>
              <w:right w:type="dxa" w:w="100"/>
            </w:tcMar>
            <w:vAlign w:val="center"/>
          </w:tcPr>
          <w:p>
            <w:pPr>
              <w:jc w:val="center"/>
            </w:pPr>
            <w:r>
              <w:rPr>
                <w:b/>
                <w:bCs/>
                <w:color w:val="FFFFFF"/>
                <w:sz w:val="19"/>
                <w:szCs w:val="19"/>
              </w:rPr>
              <w:t xml:space="preserve">Total</w:t>
            </w:r>
          </w:p>
        </w:tc>
      </w:tr>
      <w:tr>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Male</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60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40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100</w:t>
            </w:r>
          </w:p>
        </w:tc>
      </w:tr>
      <w:tr>
        <w:tc>
          <w:tcPr>
            <w:tcW w:type="dxa" w:w="2300"/>
            <w:shd w:fill="F2F5F7" w:color="auto" w:val="clear"/>
            <w:tcMar>
              <w:top w:type="dxa" w:w="70"/>
              <w:left w:type="dxa" w:w="100"/>
              <w:bottom w:type="dxa" w:w="70"/>
              <w:right w:type="dxa" w:w="100"/>
            </w:tcMar>
            <w:vAlign w:val="center"/>
          </w:tcPr>
          <w:p>
            <w:pPr>
              <w:jc w:val="center"/>
            </w:pPr>
            <w:r>
              <w:rPr>
                <w:color w:val="222222"/>
                <w:sz w:val="19"/>
                <w:szCs w:val="19"/>
              </w:rPr>
              <w:t xml:space="preserve">Female</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70</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30</w:t>
            </w:r>
          </w:p>
        </w:tc>
        <w:tc>
          <w:tcPr>
            <w:tcW w:type="dxa" w:w="2350"/>
            <w:shd w:fill="F2F5F7" w:color="auto" w:val="clear"/>
            <w:tcMar>
              <w:top w:type="dxa" w:w="70"/>
              <w:left w:type="dxa" w:w="100"/>
              <w:bottom w:type="dxa" w:w="70"/>
              <w:right w:type="dxa" w:w="100"/>
            </w:tcMar>
            <w:vAlign w:val="center"/>
          </w:tcPr>
          <w:p>
            <w:pPr>
              <w:jc w:val="center"/>
            </w:pPr>
            <w:r>
              <w:rPr>
                <w:color w:val="222222"/>
                <w:sz w:val="19"/>
                <w:szCs w:val="19"/>
              </w:rPr>
              <w:t xml:space="preserve">100</w:t>
            </w:r>
          </w:p>
        </w:tc>
      </w:tr>
      <w:tr>
        <w:tc>
          <w:tcPr>
            <w:tcW w:type="dxa" w:w="2300"/>
            <w:shd w:fill="FFFFFF" w:color="auto" w:val="clear"/>
            <w:tcMar>
              <w:top w:type="dxa" w:w="70"/>
              <w:left w:type="dxa" w:w="100"/>
              <w:bottom w:type="dxa" w:w="70"/>
              <w:right w:type="dxa" w:w="100"/>
            </w:tcMar>
            <w:vAlign w:val="center"/>
          </w:tcPr>
          <w:p>
            <w:pPr>
              <w:jc w:val="center"/>
            </w:pPr>
            <w:r>
              <w:rPr>
                <w:color w:val="222222"/>
                <w:sz w:val="19"/>
                <w:szCs w:val="19"/>
              </w:rPr>
              <w:t xml:space="preserve">Total</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130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70</w:t>
            </w:r>
          </w:p>
        </w:tc>
        <w:tc>
          <w:tcPr>
            <w:tcW w:type="dxa" w:w="2350"/>
            <w:shd w:fill="FFFFFF" w:color="auto" w:val="clear"/>
            <w:tcMar>
              <w:top w:type="dxa" w:w="70"/>
              <w:left w:type="dxa" w:w="100"/>
              <w:bottom w:type="dxa" w:w="70"/>
              <w:right w:type="dxa" w:w="100"/>
            </w:tcMar>
            <w:vAlign w:val="center"/>
          </w:tcPr>
          <w:p>
            <w:pPr>
              <w:jc w:val="center"/>
            </w:pPr>
            <w:r>
              <w:rPr>
                <w:color w:val="222222"/>
                <w:sz w:val="19"/>
                <w:szCs w:val="19"/>
              </w:rPr>
              <w:t xml:space="preserve">200</w:t>
            </w:r>
          </w:p>
        </w:tc>
      </w:tr>
    </w:tbl>
    <w:p>
      <w:pPr>
        <w:spacing w:after="140"/>
      </w:pPr>
      <w:r>
        <w:rPr>
          <w:color w:val="222222"/>
          <w:sz w:val="21"/>
          <w:szCs w:val="21"/>
        </w:rPr>
        <w:t xml:space="preserve">P(Trained) = 130/200 = 0.65 · P(Female and Trained) = 70/200 = 0.35 · P(Trained | Female) = 70/100 = 0.70 — training coverage is higher among women in this sample.</w:t>
      </w:r>
    </w:p>
    <w:p>
      <w:pPr>
        <w:spacing w:after="100" w:before="200"/>
      </w:pPr>
      <w:r>
        <w:rPr>
          <w:b/>
          <w:bCs/>
          <w:color w:val="B8860B"/>
          <w:sz w:val="22"/>
          <w:szCs w:val="22"/>
        </w:rPr>
        <w:t xml:space="preserve">8.2 Probability Distributions (Introductory)</w:t>
      </w:r>
    </w:p>
    <w:p>
      <w:pPr>
        <w:pStyle w:val="ListParagraph"/>
        <w:numPr>
          <w:ilvl w:val="0"/>
          <w:numId w:val="2"/>
        </w:numPr>
        <w:spacing w:after="60"/>
      </w:pPr>
      <w:r>
        <w:rPr>
          <w:color w:val="222222"/>
          <w:sz w:val="21"/>
          <w:szCs w:val="21"/>
        </w:rPr>
        <w:t xml:space="preserve">Discrete: Binomial distribution — number of successes in fixed independent trials.</w:t>
      </w:r>
    </w:p>
    <w:p>
      <w:pPr>
        <w:pStyle w:val="ListParagraph"/>
        <w:numPr>
          <w:ilvl w:val="0"/>
          <w:numId w:val="2"/>
        </w:numPr>
        <w:spacing w:after="60"/>
      </w:pPr>
      <w:r>
        <w:rPr>
          <w:color w:val="222222"/>
          <w:sz w:val="21"/>
          <w:szCs w:val="21"/>
        </w:rPr>
        <w:t xml:space="preserve">Continuous: Normal distribution — the symmetric bell curve underlying most inferential statistics.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Probability laws become the mathematical basis for Hypothesis Testing, Confidence Intervals, and Decision Theory (decision trees under uncertainty) in your later Quant/Analytics courses.</w:t>
            </w:r>
          </w:p>
        </w:tc>
      </w:tr>
    </w:tbl>
    <w:p>
      <w:r>
        <w:br w:type="page"/>
      </w:r>
    </w:p>
    <w:p>
      <w:pPr>
        <w:spacing w:after="40" w:before="200"/>
      </w:pPr>
      <w:r>
        <w:rPr>
          <w:b/>
          <w:bCs/>
          <w:color w:val="B8860B"/>
          <w:spacing w:val="20"/>
          <w:sz w:val="18"/>
          <w:szCs w:val="18"/>
        </w:rPr>
        <w:t xml:space="preserve">PART V — APPLIED BUSINESS STATISTICS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9   </w:t>
            </w:r>
            <w:r>
              <w:rPr>
                <w:b/>
                <w:bCs/>
                <w:color w:val="FFFFFF"/>
                <w:sz w:val="30"/>
                <w:szCs w:val="30"/>
              </w:rPr>
              <w:t xml:space="preserve">BUSINESS DATA COLLECTION &amp; VISUALIZATION</w:t>
            </w:r>
          </w:p>
        </w:tc>
      </w:tr>
    </w:tbl>
    <w:p>
      <w:pPr>
        <w:spacing w:after="200"/>
      </w:pPr>
    </w:p>
    <w:p>
      <w:pPr>
        <w:pStyle w:val="Heading2"/>
        <w:spacing w:after="140" w:before="320"/>
      </w:pPr>
      <w:r>
        <w:rPr>
          <w:b/>
          <w:bCs/>
          <w:color w:val="0F766E"/>
          <w:sz w:val="25"/>
          <w:szCs w:val="25"/>
        </w:rPr>
        <w:t xml:space="preserve">9.1 Concept &amp; Importance of Business Data Collection</w:t>
      </w:r>
    </w:p>
    <w:p>
      <w:pPr>
        <w:spacing w:after="140"/>
      </w:pPr>
      <w:r>
        <w:rPr>
          <w:color w:val="222222"/>
          <w:sz w:val="21"/>
          <w:szCs w:val="21"/>
        </w:rPr>
        <w:t xml:space="preserve">Reliable decisions require reliable data. Poor data collection (‘garbage in’) guarantees poor analysis (‘garbage out’) no matter how advanced the statistical technique used afterward.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4300"/>
        <w:gridCol w:w="2450"/>
      </w:tblGrid>
      <w:tr>
        <w:trPr>
          <w:tblHeader/>
        </w:trPr>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Source Type</w:t>
            </w:r>
          </w:p>
        </w:tc>
        <w:tc>
          <w:tcPr>
            <w:tcW w:type="dxa" w:w="43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450"/>
            <w:shd w:fill="1F3864" w:color="auto" w:val="clear"/>
            <w:tcMar>
              <w:top w:type="dxa" w:w="80"/>
              <w:left w:type="dxa" w:w="100"/>
              <w:bottom w:type="dxa" w:w="80"/>
              <w:right w:type="dxa" w:w="100"/>
            </w:tcMar>
            <w:vAlign w:val="center"/>
          </w:tcPr>
          <w:p>
            <w:pPr>
              <w:jc w:val="center"/>
            </w:pPr>
            <w:r>
              <w:rPr>
                <w:b/>
                <w:bCs/>
                <w:color w:val="FFFFFF"/>
                <w:sz w:val="19"/>
                <w:szCs w:val="19"/>
              </w:rPr>
              <w:t xml:space="preserve">Example</w:t>
            </w:r>
          </w:p>
        </w:tc>
      </w:tr>
      <w:tr>
        <w:tc>
          <w:tcPr>
            <w:tcW w:type="dxa" w:w="2600"/>
            <w:shd w:fill="FFFFFF" w:color="auto" w:val="clear"/>
            <w:tcMar>
              <w:top w:type="dxa" w:w="70"/>
              <w:left w:type="dxa" w:w="100"/>
              <w:bottom w:type="dxa" w:w="70"/>
              <w:right w:type="dxa" w:w="100"/>
            </w:tcMar>
            <w:vAlign w:val="center"/>
          </w:tcPr>
          <w:p>
            <w:pPr>
              <w:jc w:val="center"/>
            </w:pPr>
            <w:r>
              <w:rPr>
                <w:color w:val="222222"/>
                <w:sz w:val="19"/>
                <w:szCs w:val="19"/>
              </w:rPr>
              <w:t xml:space="preserve">Primary Data</w:t>
            </w:r>
          </w:p>
        </w:tc>
        <w:tc>
          <w:tcPr>
            <w:tcW w:type="dxa" w:w="4300"/>
            <w:shd w:fill="FFFFFF" w:color="auto" w:val="clear"/>
            <w:tcMar>
              <w:top w:type="dxa" w:w="70"/>
              <w:left w:type="dxa" w:w="100"/>
              <w:bottom w:type="dxa" w:w="70"/>
              <w:right w:type="dxa" w:w="100"/>
            </w:tcMar>
            <w:vAlign w:val="center"/>
          </w:tcPr>
          <w:p>
            <w:pPr>
              <w:jc w:val="center"/>
            </w:pPr>
            <w:r>
              <w:rPr>
                <w:color w:val="222222"/>
                <w:sz w:val="19"/>
                <w:szCs w:val="19"/>
              </w:rPr>
              <w:t xml:space="preserve">Collected first-hand, for a specific purpose</w:t>
            </w:r>
          </w:p>
        </w:tc>
        <w:tc>
          <w:tcPr>
            <w:tcW w:type="dxa" w:w="2450"/>
            <w:shd w:fill="FFFFFF" w:color="auto" w:val="clear"/>
            <w:tcMar>
              <w:top w:type="dxa" w:w="70"/>
              <w:left w:type="dxa" w:w="100"/>
              <w:bottom w:type="dxa" w:w="70"/>
              <w:right w:type="dxa" w:w="100"/>
            </w:tcMar>
            <w:vAlign w:val="center"/>
          </w:tcPr>
          <w:p>
            <w:pPr>
              <w:jc w:val="center"/>
            </w:pPr>
            <w:r>
              <w:rPr>
                <w:color w:val="222222"/>
                <w:sz w:val="19"/>
                <w:szCs w:val="19"/>
              </w:rPr>
              <w:t xml:space="preserve">Surveys, interviews, experiments</w:t>
            </w:r>
          </w:p>
        </w:tc>
      </w:tr>
      <w:tr>
        <w:tc>
          <w:tcPr>
            <w:tcW w:type="dxa" w:w="2600"/>
            <w:shd w:fill="F2F5F7" w:color="auto" w:val="clear"/>
            <w:tcMar>
              <w:top w:type="dxa" w:w="70"/>
              <w:left w:type="dxa" w:w="100"/>
              <w:bottom w:type="dxa" w:w="70"/>
              <w:right w:type="dxa" w:w="100"/>
            </w:tcMar>
            <w:vAlign w:val="center"/>
          </w:tcPr>
          <w:p>
            <w:pPr>
              <w:jc w:val="center"/>
            </w:pPr>
            <w:r>
              <w:rPr>
                <w:color w:val="222222"/>
                <w:sz w:val="19"/>
                <w:szCs w:val="19"/>
              </w:rPr>
              <w:t xml:space="preserve">Secondary Data</w:t>
            </w:r>
          </w:p>
        </w:tc>
        <w:tc>
          <w:tcPr>
            <w:tcW w:type="dxa" w:w="4300"/>
            <w:shd w:fill="F2F5F7" w:color="auto" w:val="clear"/>
            <w:tcMar>
              <w:top w:type="dxa" w:w="70"/>
              <w:left w:type="dxa" w:w="100"/>
              <w:bottom w:type="dxa" w:w="70"/>
              <w:right w:type="dxa" w:w="100"/>
            </w:tcMar>
            <w:vAlign w:val="center"/>
          </w:tcPr>
          <w:p>
            <w:pPr>
              <w:jc w:val="center"/>
            </w:pPr>
            <w:r>
              <w:rPr>
                <w:color w:val="222222"/>
                <w:sz w:val="19"/>
                <w:szCs w:val="19"/>
              </w:rPr>
              <w:t xml:space="preserve">Already collected by someone else, for another purpose</w:t>
            </w:r>
          </w:p>
        </w:tc>
        <w:tc>
          <w:tcPr>
            <w:tcW w:type="dxa" w:w="2450"/>
            <w:shd w:fill="F2F5F7" w:color="auto" w:val="clear"/>
            <w:tcMar>
              <w:top w:type="dxa" w:w="70"/>
              <w:left w:type="dxa" w:w="100"/>
              <w:bottom w:type="dxa" w:w="70"/>
              <w:right w:type="dxa" w:w="100"/>
            </w:tcMar>
            <w:vAlign w:val="center"/>
          </w:tcPr>
          <w:p>
            <w:pPr>
              <w:jc w:val="center"/>
            </w:pPr>
            <w:r>
              <w:rPr>
                <w:color w:val="222222"/>
                <w:sz w:val="19"/>
                <w:szCs w:val="19"/>
              </w:rPr>
              <w:t xml:space="preserve">Government reports, industry publications, company records</w:t>
            </w:r>
          </w:p>
        </w:tc>
      </w:tr>
    </w:tbl>
    <w:p>
      <w:pPr>
        <w:pStyle w:val="Heading2"/>
        <w:spacing w:after="140" w:before="320"/>
      </w:pPr>
      <w:r>
        <w:rPr>
          <w:b/>
          <w:bCs/>
          <w:color w:val="0F766E"/>
          <w:sz w:val="25"/>
          <w:szCs w:val="25"/>
        </w:rPr>
        <w:t xml:space="preserve">9.2 Seven Ways of Collecting Data</w:t>
      </w:r>
    </w:p>
    <w:p>
      <w:pPr>
        <w:pStyle w:val="ListParagraph"/>
        <w:numPr>
          <w:ilvl w:val="0"/>
          <w:numId w:val="3"/>
        </w:numPr>
        <w:spacing w:after="60"/>
      </w:pPr>
      <w:r>
        <w:rPr>
          <w:color w:val="222222"/>
          <w:sz w:val="21"/>
          <w:szCs w:val="21"/>
        </w:rPr>
        <w:t xml:space="preserve">Surveys / Questionnaires</w:t>
      </w:r>
    </w:p>
    <w:p>
      <w:pPr>
        <w:pStyle w:val="ListParagraph"/>
        <w:numPr>
          <w:ilvl w:val="0"/>
          <w:numId w:val="3"/>
        </w:numPr>
        <w:spacing w:after="60"/>
      </w:pPr>
      <w:r>
        <w:rPr>
          <w:color w:val="222222"/>
          <w:sz w:val="21"/>
          <w:szCs w:val="21"/>
        </w:rPr>
        <w:t xml:space="preserve">Interviews (structured / unstructured)</w:t>
      </w:r>
    </w:p>
    <w:p>
      <w:pPr>
        <w:pStyle w:val="ListParagraph"/>
        <w:numPr>
          <w:ilvl w:val="0"/>
          <w:numId w:val="3"/>
        </w:numPr>
        <w:spacing w:after="60"/>
      </w:pPr>
      <w:r>
        <w:rPr>
          <w:color w:val="222222"/>
          <w:sz w:val="21"/>
          <w:szCs w:val="21"/>
        </w:rPr>
        <w:t xml:space="preserve">Observation method</w:t>
      </w:r>
    </w:p>
    <w:p>
      <w:pPr>
        <w:pStyle w:val="ListParagraph"/>
        <w:numPr>
          <w:ilvl w:val="0"/>
          <w:numId w:val="3"/>
        </w:numPr>
        <w:spacing w:after="60"/>
      </w:pPr>
      <w:r>
        <w:rPr>
          <w:color w:val="222222"/>
          <w:sz w:val="21"/>
          <w:szCs w:val="21"/>
        </w:rPr>
        <w:t xml:space="preserve">Experiments (controlled trials, A/B tests)</w:t>
      </w:r>
    </w:p>
    <w:p>
      <w:pPr>
        <w:pStyle w:val="ListParagraph"/>
        <w:numPr>
          <w:ilvl w:val="0"/>
          <w:numId w:val="3"/>
        </w:numPr>
        <w:spacing w:after="60"/>
      </w:pPr>
      <w:r>
        <w:rPr>
          <w:color w:val="222222"/>
          <w:sz w:val="21"/>
          <w:szCs w:val="21"/>
        </w:rPr>
        <w:t xml:space="preserve">Focus groups</w:t>
      </w:r>
    </w:p>
    <w:p>
      <w:pPr>
        <w:pStyle w:val="ListParagraph"/>
        <w:numPr>
          <w:ilvl w:val="0"/>
          <w:numId w:val="3"/>
        </w:numPr>
        <w:spacing w:after="60"/>
      </w:pPr>
      <w:r>
        <w:rPr>
          <w:color w:val="222222"/>
          <w:sz w:val="21"/>
          <w:szCs w:val="21"/>
        </w:rPr>
        <w:t xml:space="preserve">Existing records / company databases</w:t>
      </w:r>
    </w:p>
    <w:p>
      <w:pPr>
        <w:pStyle w:val="ListParagraph"/>
        <w:numPr>
          <w:ilvl w:val="0"/>
          <w:numId w:val="3"/>
        </w:numPr>
        <w:spacing w:after="60"/>
      </w:pPr>
      <w:r>
        <w:rPr>
          <w:color w:val="222222"/>
          <w:sz w:val="21"/>
          <w:szCs w:val="21"/>
        </w:rPr>
        <w:t xml:space="preserve">Published secondary sources (government, industry, academic)</w:t>
      </w:r>
    </w:p>
    <w:p>
      <w:pPr>
        <w:pStyle w:val="Heading2"/>
        <w:spacing w:after="140" w:before="320"/>
      </w:pPr>
      <w:r>
        <w:rPr>
          <w:b/>
          <w:bCs/>
          <w:color w:val="0F766E"/>
          <w:sz w:val="25"/>
          <w:szCs w:val="25"/>
        </w:rPr>
        <w:t xml:space="preserve">9.3 Organizing, Managing &amp; Visualizing Data</w:t>
      </w:r>
    </w:p>
    <w:p>
      <w:pPr>
        <w:pStyle w:val="ListParagraph"/>
        <w:numPr>
          <w:ilvl w:val="0"/>
          <w:numId w:val="2"/>
        </w:numPr>
        <w:spacing w:after="60"/>
      </w:pPr>
      <w:r>
        <w:rPr>
          <w:color w:val="222222"/>
          <w:sz w:val="21"/>
          <w:szCs w:val="21"/>
        </w:rPr>
        <w:t xml:space="preserve">Organizing — classification into tables, frequency distributions, and cross-tabs.</w:t>
      </w:r>
    </w:p>
    <w:p>
      <w:pPr>
        <w:pStyle w:val="ListParagraph"/>
        <w:numPr>
          <w:ilvl w:val="0"/>
          <w:numId w:val="2"/>
        </w:numPr>
        <w:spacing w:after="60"/>
      </w:pPr>
      <w:r>
        <w:rPr>
          <w:color w:val="222222"/>
          <w:sz w:val="21"/>
          <w:szCs w:val="21"/>
        </w:rPr>
        <w:t xml:space="preserve">Managing — cleaning, validating, and storing data (spreadsheets, databases) for consistent reuse.</w:t>
      </w:r>
    </w:p>
    <w:p>
      <w:pPr>
        <w:pStyle w:val="ListParagraph"/>
        <w:numPr>
          <w:ilvl w:val="0"/>
          <w:numId w:val="2"/>
        </w:numPr>
        <w:spacing w:after="60"/>
      </w:pPr>
      <w:r>
        <w:rPr>
          <w:color w:val="222222"/>
          <w:sz w:val="21"/>
          <w:szCs w:val="21"/>
        </w:rPr>
        <w:t xml:space="preserve">Visualizing — turning organized data into charts that communicate a finding instantly.</w:t>
      </w:r>
    </w:p>
    <w:p>
      <w:pPr>
        <w:spacing w:after="100" w:before="200"/>
      </w:pPr>
      <w:r>
        <w:rPr>
          <w:b/>
          <w:bCs/>
          <w:color w:val="B8860B"/>
          <w:sz w:val="22"/>
          <w:szCs w:val="22"/>
        </w:rPr>
        <w:t xml:space="preserve">Choosing the Right Chart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5150"/>
        <w:gridCol w:w="4200"/>
      </w:tblGrid>
      <w:tr>
        <w:trPr>
          <w:tblHeader/>
        </w:trPr>
        <w:tc>
          <w:tcPr>
            <w:tcW w:type="dxa" w:w="5150"/>
            <w:shd w:fill="1F3864" w:color="auto" w:val="clear"/>
            <w:tcMar>
              <w:top w:type="dxa" w:w="80"/>
              <w:left w:type="dxa" w:w="100"/>
              <w:bottom w:type="dxa" w:w="80"/>
              <w:right w:type="dxa" w:w="100"/>
            </w:tcMar>
            <w:vAlign w:val="center"/>
          </w:tcPr>
          <w:p>
            <w:pPr>
              <w:jc w:val="center"/>
            </w:pPr>
            <w:r>
              <w:rPr>
                <w:b/>
                <w:bCs/>
                <w:color w:val="FFFFFF"/>
                <w:sz w:val="19"/>
                <w:szCs w:val="19"/>
              </w:rPr>
              <w:t xml:space="preserve">Goal</w:t>
            </w:r>
          </w:p>
        </w:tc>
        <w:tc>
          <w:tcPr>
            <w:tcW w:type="dxa" w:w="4200"/>
            <w:shd w:fill="1F3864" w:color="auto" w:val="clear"/>
            <w:tcMar>
              <w:top w:type="dxa" w:w="80"/>
              <w:left w:type="dxa" w:w="100"/>
              <w:bottom w:type="dxa" w:w="80"/>
              <w:right w:type="dxa" w:w="100"/>
            </w:tcMar>
            <w:vAlign w:val="center"/>
          </w:tcPr>
          <w:p>
            <w:pPr>
              <w:jc w:val="center"/>
            </w:pPr>
            <w:r>
              <w:rPr>
                <w:b/>
                <w:bCs/>
                <w:color w:val="FFFFFF"/>
                <w:sz w:val="19"/>
                <w:szCs w:val="19"/>
              </w:rPr>
              <w:t xml:space="preserve">Best Chart</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Compare categories</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Bar chart</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change over time</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Line chart</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Show proportion of a whole</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Pie chart (≤6 slices)</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distribution shape</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Histogram</w:t>
            </w:r>
          </w:p>
        </w:tc>
      </w:tr>
      <w:tr>
        <w:tc>
          <w:tcPr>
            <w:tcW w:type="dxa" w:w="5150"/>
            <w:shd w:fill="FFFFFF" w:color="auto" w:val="clear"/>
            <w:tcMar>
              <w:top w:type="dxa" w:w="70"/>
              <w:left w:type="dxa" w:w="100"/>
              <w:bottom w:type="dxa" w:w="70"/>
              <w:right w:type="dxa" w:w="100"/>
            </w:tcMar>
            <w:vAlign w:val="center"/>
          </w:tcPr>
          <w:p>
            <w:pPr>
              <w:jc w:val="center"/>
            </w:pPr>
            <w:r>
              <w:rPr>
                <w:color w:val="222222"/>
                <w:sz w:val="19"/>
                <w:szCs w:val="19"/>
              </w:rPr>
              <w:t xml:space="preserve">Show relationship between 2 variables</w:t>
            </w:r>
          </w:p>
        </w:tc>
        <w:tc>
          <w:tcPr>
            <w:tcW w:type="dxa" w:w="4200"/>
            <w:shd w:fill="FFFFFF" w:color="auto" w:val="clear"/>
            <w:tcMar>
              <w:top w:type="dxa" w:w="70"/>
              <w:left w:type="dxa" w:w="100"/>
              <w:bottom w:type="dxa" w:w="70"/>
              <w:right w:type="dxa" w:w="100"/>
            </w:tcMar>
            <w:vAlign w:val="center"/>
          </w:tcPr>
          <w:p>
            <w:pPr>
              <w:jc w:val="center"/>
            </w:pPr>
            <w:r>
              <w:rPr>
                <w:color w:val="222222"/>
                <w:sz w:val="19"/>
                <w:szCs w:val="19"/>
              </w:rPr>
              <w:t xml:space="preserve">Scatter plot</w:t>
            </w:r>
          </w:p>
        </w:tc>
      </w:tr>
      <w:tr>
        <w:tc>
          <w:tcPr>
            <w:tcW w:type="dxa" w:w="5150"/>
            <w:shd w:fill="F2F5F7" w:color="auto" w:val="clear"/>
            <w:tcMar>
              <w:top w:type="dxa" w:w="70"/>
              <w:left w:type="dxa" w:w="100"/>
              <w:bottom w:type="dxa" w:w="70"/>
              <w:right w:type="dxa" w:w="100"/>
            </w:tcMar>
            <w:vAlign w:val="center"/>
          </w:tcPr>
          <w:p>
            <w:pPr>
              <w:jc w:val="center"/>
            </w:pPr>
            <w:r>
              <w:rPr>
                <w:color w:val="222222"/>
                <w:sz w:val="19"/>
                <w:szCs w:val="19"/>
              </w:rPr>
              <w:t xml:space="preserve">Show spread &amp; outliers</w:t>
            </w:r>
          </w:p>
        </w:tc>
        <w:tc>
          <w:tcPr>
            <w:tcW w:type="dxa" w:w="4200"/>
            <w:shd w:fill="F2F5F7" w:color="auto" w:val="clear"/>
            <w:tcMar>
              <w:top w:type="dxa" w:w="70"/>
              <w:left w:type="dxa" w:w="100"/>
              <w:bottom w:type="dxa" w:w="70"/>
              <w:right w:type="dxa" w:w="100"/>
            </w:tcMar>
            <w:vAlign w:val="center"/>
          </w:tcPr>
          <w:p>
            <w:pPr>
              <w:jc w:val="center"/>
            </w:pPr>
            <w:r>
              <w:rPr>
                <w:color w:val="222222"/>
                <w:sz w:val="19"/>
                <w:szCs w:val="19"/>
              </w:rPr>
              <w:t xml:space="preserve">Box-and-whisker plot</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This chart-selection logic is what you’ll apply on repeat in Power BI/Tableau dashboards for Business Analytics, and in every consulting-style case presentation.</w:t>
            </w:r>
          </w:p>
        </w:tc>
      </w:tr>
    </w:tbl>
    <w:p>
      <w:r>
        <w:br w:type="page"/>
      </w:r>
    </w:p>
    <w:p>
      <w:pPr>
        <w:spacing w:after="40" w:before="200"/>
      </w:pPr>
      <w:r>
        <w:rPr>
          <w:b/>
          <w:bCs/>
          <w:color w:val="B8860B"/>
          <w:spacing w:val="20"/>
          <w:sz w:val="18"/>
          <w:szCs w:val="18"/>
        </w:rPr>
        <w:t xml:space="preserve">PART V — APPLIED BUSINESS STATISTICS</w:t>
      </w:r>
    </w:p>
    <w:tbl>
      <w:tblPr>
        <w:tblW w:type="pct" w:w="100%"/>
        <w:tblBorders>
          <w:top w:val="none" w:color="FFFFFF" w:sz="0"/>
          <w:left w:val="none" w:color="FFFFFF" w:sz="0"/>
          <w:bottom w:val="single" w:color="1F3864" w:sz="16"/>
          <w:right w:val="none" w:color="FFFFFF" w:sz="0"/>
          <w:insideH w:val="none" w:color="FFFFFF" w:sz="0"/>
          <w:insideV w:val="none" w:color="FFFFFF" w:sz="0"/>
        </w:tblBorders>
      </w:tblPr>
      <w:tblGrid>
        <w:gridCol w:w="100"/>
      </w:tblGrid>
      <w:tr>
        <w:tc>
          <w:tcPr>
            <w:shd w:fill="1F3864" w:color="auto" w:val="clear"/>
            <w:tcMar>
              <w:top w:type="dxa" w:w="180"/>
              <w:left w:type="dxa" w:w="260"/>
              <w:bottom w:type="dxa" w:w="180"/>
              <w:right w:type="dxa" w:w="260"/>
            </w:tcMar>
          </w:tcPr>
          <w:p>
            <w:r>
              <w:rPr>
                <w:b/>
                <w:bCs/>
                <w:color w:val="B8860B"/>
                <w:sz w:val="22"/>
                <w:szCs w:val="22"/>
              </w:rPr>
              <w:t xml:space="preserve">CHAPTER 10   </w:t>
            </w:r>
            <w:r>
              <w:rPr>
                <w:b/>
                <w:bCs/>
                <w:color w:val="FFFFFF"/>
                <w:sz w:val="30"/>
                <w:szCs w:val="30"/>
              </w:rPr>
              <w:t xml:space="preserve">SAMPLING THEORY</w:t>
            </w:r>
          </w:p>
        </w:tc>
      </w:tr>
    </w:tbl>
    <w:p>
      <w:pPr>
        <w:spacing w:after="200"/>
      </w:pPr>
    </w:p>
    <w:p>
      <w:pPr>
        <w:pStyle w:val="Heading2"/>
        <w:spacing w:after="140" w:before="320"/>
      </w:pPr>
      <w:r>
        <w:rPr>
          <w:b/>
          <w:bCs/>
          <w:color w:val="0F766E"/>
          <w:sz w:val="25"/>
          <w:szCs w:val="25"/>
        </w:rPr>
        <w:t xml:space="preserve">10.1 Why Sample?</w:t>
      </w:r>
    </w:p>
    <w:p>
      <w:pPr>
        <w:spacing w:after="140"/>
      </w:pPr>
      <w:r>
        <w:rPr>
          <w:color w:val="222222"/>
          <w:sz w:val="21"/>
          <w:szCs w:val="21"/>
        </w:rPr>
        <w:t xml:space="preserve">Since studying an entire population is usually costly or impossible, we study a representative sample and infer conclusions about the population.</w:t>
      </w:r>
    </w:p>
    <w:p>
      <w:pPr>
        <w:spacing w:after="100" w:before="200"/>
      </w:pPr>
      <w:r>
        <w:rPr>
          <w:b/>
          <w:bCs/>
          <w:color w:val="B8860B"/>
          <w:sz w:val="22"/>
          <w:szCs w:val="22"/>
        </w:rPr>
        <w:t xml:space="preserve">Sampling Design Steps</w:t>
      </w:r>
    </w:p>
    <w:p>
      <w:pPr>
        <w:pStyle w:val="ListParagraph"/>
        <w:numPr>
          <w:ilvl w:val="0"/>
          <w:numId w:val="3"/>
        </w:numPr>
        <w:spacing w:after="60"/>
      </w:pPr>
      <w:r>
        <w:rPr>
          <w:color w:val="222222"/>
          <w:sz w:val="21"/>
          <w:szCs w:val="21"/>
        </w:rPr>
        <w:t xml:space="preserve">Define the target population.</w:t>
      </w:r>
    </w:p>
    <w:p>
      <w:pPr>
        <w:pStyle w:val="ListParagraph"/>
        <w:numPr>
          <w:ilvl w:val="0"/>
          <w:numId w:val="3"/>
        </w:numPr>
        <w:spacing w:after="60"/>
      </w:pPr>
      <w:r>
        <w:rPr>
          <w:color w:val="222222"/>
          <w:sz w:val="21"/>
          <w:szCs w:val="21"/>
        </w:rPr>
        <w:t xml:space="preserve">Determine the sampling frame (the list to sample from).</w:t>
      </w:r>
    </w:p>
    <w:p>
      <w:pPr>
        <w:pStyle w:val="ListParagraph"/>
        <w:numPr>
          <w:ilvl w:val="0"/>
          <w:numId w:val="3"/>
        </w:numPr>
        <w:spacing w:after="60"/>
      </w:pPr>
      <w:r>
        <w:rPr>
          <w:color w:val="222222"/>
          <w:sz w:val="21"/>
          <w:szCs w:val="21"/>
        </w:rPr>
        <w:t xml:space="preserve">Choose the sampling method.</w:t>
      </w:r>
    </w:p>
    <w:p>
      <w:pPr>
        <w:pStyle w:val="ListParagraph"/>
        <w:numPr>
          <w:ilvl w:val="0"/>
          <w:numId w:val="3"/>
        </w:numPr>
        <w:spacing w:after="60"/>
      </w:pPr>
      <w:r>
        <w:rPr>
          <w:color w:val="222222"/>
          <w:sz w:val="21"/>
          <w:szCs w:val="21"/>
        </w:rPr>
        <w:t xml:space="preserve">Decide the sample size.</w:t>
      </w:r>
    </w:p>
    <w:p>
      <w:pPr>
        <w:pStyle w:val="ListParagraph"/>
        <w:numPr>
          <w:ilvl w:val="0"/>
          <w:numId w:val="3"/>
        </w:numPr>
        <w:spacing w:after="60"/>
      </w:pPr>
      <w:r>
        <w:rPr>
          <w:color w:val="222222"/>
          <w:sz w:val="21"/>
          <w:szCs w:val="21"/>
        </w:rPr>
        <w:t xml:space="preserve">Collect and validate the sample.</w:t>
      </w:r>
    </w:p>
    <w:p>
      <w:pPr>
        <w:pStyle w:val="Heading2"/>
        <w:spacing w:after="140" w:before="320"/>
      </w:pPr>
      <w:r>
        <w:rPr>
          <w:b/>
          <w:bCs/>
          <w:color w:val="0F766E"/>
          <w:sz w:val="25"/>
          <w:szCs w:val="25"/>
        </w:rPr>
        <w:t xml:space="preserve">10.2 Types of Samples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2100"/>
        <w:gridCol w:w="3350"/>
        <w:gridCol w:w="3900"/>
      </w:tblGrid>
      <w:tr>
        <w:trPr>
          <w:tblHeader/>
        </w:trPr>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3350"/>
            <w:shd w:fill="1F3864" w:color="auto" w:val="clear"/>
            <w:tcMar>
              <w:top w:type="dxa" w:w="80"/>
              <w:left w:type="dxa" w:w="100"/>
              <w:bottom w:type="dxa" w:w="80"/>
              <w:right w:type="dxa" w:w="100"/>
            </w:tcMar>
            <w:vAlign w:val="center"/>
          </w:tcPr>
          <w:p>
            <w:pPr>
              <w:jc w:val="center"/>
            </w:pPr>
            <w:r>
              <w:rPr>
                <w:b/>
                <w:bCs/>
                <w:color w:val="FFFFFF"/>
                <w:sz w:val="19"/>
                <w:szCs w:val="19"/>
              </w:rPr>
              <w:t xml:space="preserve">Method</w:t>
            </w:r>
          </w:p>
        </w:tc>
        <w:tc>
          <w:tcPr>
            <w:tcW w:type="dxa" w:w="39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Simple Random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Every unit has an equal chance of selection</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Stratified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Population divided into strata (e.g., by region), sampled within each</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Systematic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Every k-th unit selected from a list</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Cluster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Entire naturally-occurring groups selected (e.g., all customers in a city)</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Convenience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Easiest-to-reach respondents (quick, but biased)</w:t>
            </w:r>
          </w:p>
        </w:tc>
      </w:tr>
      <w:tr>
        <w:tc>
          <w:tcPr>
            <w:tcW w:type="dxa" w:w="2100"/>
            <w:shd w:fill="F2F5F7"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2F5F7" w:color="auto" w:val="clear"/>
            <w:tcMar>
              <w:top w:type="dxa" w:w="70"/>
              <w:left w:type="dxa" w:w="100"/>
              <w:bottom w:type="dxa" w:w="70"/>
              <w:right w:type="dxa" w:w="100"/>
            </w:tcMar>
            <w:vAlign w:val="center"/>
          </w:tcPr>
          <w:p>
            <w:pPr>
              <w:jc w:val="center"/>
            </w:pPr>
            <w:r>
              <w:rPr>
                <w:color w:val="222222"/>
                <w:sz w:val="19"/>
                <w:szCs w:val="19"/>
              </w:rPr>
              <w:t xml:space="preserve">Judgmental / Purposive Sampling</w:t>
            </w:r>
          </w:p>
        </w:tc>
        <w:tc>
          <w:tcPr>
            <w:tcW w:type="dxa" w:w="3900"/>
            <w:shd w:fill="F2F5F7" w:color="auto" w:val="clear"/>
            <w:tcMar>
              <w:top w:type="dxa" w:w="70"/>
              <w:left w:type="dxa" w:w="100"/>
              <w:bottom w:type="dxa" w:w="70"/>
              <w:right w:type="dxa" w:w="100"/>
            </w:tcMar>
            <w:vAlign w:val="center"/>
          </w:tcPr>
          <w:p>
            <w:pPr>
              <w:jc w:val="center"/>
            </w:pPr>
            <w:r>
              <w:rPr>
                <w:color w:val="222222"/>
                <w:sz w:val="19"/>
                <w:szCs w:val="19"/>
              </w:rPr>
              <w:t xml:space="preserve">Researcher selects based on expert judgment</w:t>
            </w:r>
          </w:p>
        </w:tc>
      </w:tr>
      <w:tr>
        <w:tc>
          <w:tcPr>
            <w:tcW w:type="dxa" w:w="2100"/>
            <w:shd w:fill="FFFFFF" w:color="auto" w:val="clear"/>
            <w:tcMar>
              <w:top w:type="dxa" w:w="70"/>
              <w:left w:type="dxa" w:w="100"/>
              <w:bottom w:type="dxa" w:w="70"/>
              <w:right w:type="dxa" w:w="100"/>
            </w:tcMar>
            <w:vAlign w:val="center"/>
          </w:tcPr>
          <w:p>
            <w:pPr>
              <w:jc w:val="center"/>
            </w:pPr>
            <w:r>
              <w:rPr>
                <w:color w:val="222222"/>
                <w:sz w:val="19"/>
                <w:szCs w:val="19"/>
              </w:rPr>
              <w:t xml:space="preserve">Non-Probability</w:t>
            </w:r>
          </w:p>
        </w:tc>
        <w:tc>
          <w:tcPr>
            <w:tcW w:type="dxa" w:w="3350"/>
            <w:shd w:fill="FFFFFF" w:color="auto" w:val="clear"/>
            <w:tcMar>
              <w:top w:type="dxa" w:w="70"/>
              <w:left w:type="dxa" w:w="100"/>
              <w:bottom w:type="dxa" w:w="70"/>
              <w:right w:type="dxa" w:w="100"/>
            </w:tcMar>
            <w:vAlign w:val="center"/>
          </w:tcPr>
          <w:p>
            <w:pPr>
              <w:jc w:val="center"/>
            </w:pPr>
            <w:r>
              <w:rPr>
                <w:color w:val="222222"/>
                <w:sz w:val="19"/>
                <w:szCs w:val="19"/>
              </w:rPr>
              <w:t xml:space="preserve">Quota Sampling</w:t>
            </w:r>
          </w:p>
        </w:tc>
        <w:tc>
          <w:tcPr>
            <w:tcW w:type="dxa" w:w="3900"/>
            <w:shd w:fill="FFFFFF" w:color="auto" w:val="clear"/>
            <w:tcMar>
              <w:top w:type="dxa" w:w="70"/>
              <w:left w:type="dxa" w:w="100"/>
              <w:bottom w:type="dxa" w:w="70"/>
              <w:right w:type="dxa" w:w="100"/>
            </w:tcMar>
            <w:vAlign w:val="center"/>
          </w:tcPr>
          <w:p>
            <w:pPr>
              <w:jc w:val="center"/>
            </w:pPr>
            <w:r>
              <w:rPr>
                <w:color w:val="222222"/>
                <w:sz w:val="19"/>
                <w:szCs w:val="19"/>
              </w:rPr>
              <w:t xml:space="preserve">Fixed quotas per subgroup, non-random within group</w:t>
            </w:r>
          </w:p>
        </w:tc>
      </w:tr>
    </w:tbl>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BF3E3" w:color="auto" w:val="clear"/>
            <w:tcMar>
              <w:top w:type="dxa" w:w="160"/>
              <w:left w:type="dxa" w:w="220"/>
              <w:bottom w:type="dxa" w:w="160"/>
              <w:right w:type="dxa" w:w="220"/>
            </w:tcMar>
          </w:tcPr>
          <w:p>
            <w:pPr>
              <w:spacing w:after="90"/>
            </w:pPr>
            <w:r>
              <w:rPr>
                <w:b/>
                <w:bCs/>
                <w:color w:val="B8860B"/>
                <w:sz w:val="21"/>
                <w:szCs w:val="21"/>
              </w:rPr>
              <w:t xml:space="preserve">🔮  LOOKING AHEAD IN YOUR PGDM</w:t>
            </w:r>
          </w:p>
          <w:p>
            <w:r>
              <w:rPr>
                <w:color w:val="3A2E00"/>
                <w:sz w:val="20"/>
                <w:szCs w:val="20"/>
              </w:rPr>
              <w:t xml:space="preserve">Sampling design is the single most-tested foundation of Marketing Research — the validity of every survey-based project you run in your PGDM depends on getting this step right before any statistic is even calculated.</w:t>
            </w:r>
          </w:p>
        </w:tc>
      </w:tr>
    </w:tbl>
    <w:p>
      <w:r>
        <w:br w:type="page"/>
      </w:r>
    </w:p>
    <w:p>
      <w:pPr>
        <w:pStyle w:val="Heading1"/>
        <w:pBdr>
          <w:bottom w:val="single" w:color="1F3864" w:sz="12" w:space="4"/>
        </w:pBdr>
        <w:spacing w:after="200" w:before="200"/>
      </w:pPr>
      <w:r>
        <w:rPr>
          <w:b/>
          <w:bCs/>
          <w:color w:val="1F3864"/>
          <w:sz w:val="32"/>
          <w:szCs w:val="32"/>
        </w:rPr>
        <w:t xml:space="preserve">Part VI — Your PGDM Statistics Roadmap</w:t>
      </w:r>
    </w:p>
    <w:p>
      <w:pPr>
        <w:spacing w:after="140"/>
      </w:pPr>
      <w:r>
        <w:rPr>
          <w:color w:val="222222"/>
          <w:sz w:val="21"/>
          <w:szCs w:val="21"/>
        </w:rPr>
        <w:t xml:space="preserve">A quick map of where these Statistics 101 foundations reappear across your program:</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4600"/>
        <w:gridCol w:w="4750"/>
      </w:tblGrid>
      <w:tr>
        <w:trPr>
          <w:tblHeader/>
        </w:trPr>
        <w:tc>
          <w:tcPr>
            <w:tcW w:type="dxa" w:w="4600"/>
            <w:shd w:fill="1F3864" w:color="auto" w:val="clear"/>
            <w:tcMar>
              <w:top w:type="dxa" w:w="80"/>
              <w:left w:type="dxa" w:w="100"/>
              <w:bottom w:type="dxa" w:w="80"/>
              <w:right w:type="dxa" w:w="100"/>
            </w:tcMar>
            <w:vAlign w:val="center"/>
          </w:tcPr>
          <w:p>
            <w:pPr>
              <w:jc w:val="center"/>
            </w:pPr>
            <w:r>
              <w:rPr>
                <w:b/>
                <w:bCs/>
                <w:color w:val="FFFFFF"/>
                <w:sz w:val="19"/>
                <w:szCs w:val="19"/>
              </w:rPr>
              <w:t xml:space="preserve">This Guide’s Foundation</w:t>
            </w:r>
          </w:p>
        </w:tc>
        <w:tc>
          <w:tcPr>
            <w:tcW w:type="dxa" w:w="4750"/>
            <w:shd w:fill="1F3864" w:color="auto" w:val="clear"/>
            <w:tcMar>
              <w:top w:type="dxa" w:w="80"/>
              <w:left w:type="dxa" w:w="100"/>
              <w:bottom w:type="dxa" w:w="80"/>
              <w:right w:type="dxa" w:w="100"/>
            </w:tcMar>
            <w:vAlign w:val="center"/>
          </w:tcPr>
          <w:p>
            <w:pPr>
              <w:jc w:val="center"/>
            </w:pPr>
            <w:r>
              <w:rPr>
                <w:b/>
                <w:bCs/>
                <w:color w:val="FFFFFF"/>
                <w:sz w:val="19"/>
                <w:szCs w:val="19"/>
              </w:rPr>
              <w:t xml:space="preserve">Resurfaces Later In</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Definitions, nature &amp; scope of statistics</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Research Methodology — framing a research problem statistically</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Levels of measurement, data types</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Research Methodology — choosing the right statistical test</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Frequency distribution &amp; classification</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Business Analytics — preparing raw data for dashboards</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Mean, median, mode, dispersion</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descriptive dashboards, HR/Finance reporting</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Skewness &amp; distribution shape</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Quantitative Techniques — normality checks before modeling</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Correlation &amp; regression coefficients</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Econometrics — predictive modeling</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Probability &amp; conditional probability</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Decision Sciences — decision trees, hypothesis testing</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Index numbers</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Managerial Economics — CPI, WPI, market indices</w:t>
            </w:r>
          </w:p>
        </w:tc>
      </w:tr>
      <w:tr>
        <w:tc>
          <w:tcPr>
            <w:tcW w:type="dxa" w:w="4600"/>
            <w:shd w:fill="FFFFFF" w:color="auto" w:val="clear"/>
            <w:tcMar>
              <w:top w:type="dxa" w:w="70"/>
              <w:left w:type="dxa" w:w="100"/>
              <w:bottom w:type="dxa" w:w="70"/>
              <w:right w:type="dxa" w:w="100"/>
            </w:tcMar>
            <w:vAlign w:val="center"/>
          </w:tcPr>
          <w:p>
            <w:pPr>
              <w:jc w:val="center"/>
            </w:pPr>
            <w:r>
              <w:rPr>
                <w:color w:val="222222"/>
                <w:sz w:val="19"/>
                <w:szCs w:val="19"/>
              </w:rPr>
              <w:t xml:space="preserve">Sampling theory</w:t>
            </w:r>
          </w:p>
        </w:tc>
        <w:tc>
          <w:tcPr>
            <w:tcW w:type="dxa" w:w="4750"/>
            <w:shd w:fill="FFFFFF" w:color="auto" w:val="clear"/>
            <w:tcMar>
              <w:top w:type="dxa" w:w="70"/>
              <w:left w:type="dxa" w:w="100"/>
              <w:bottom w:type="dxa" w:w="70"/>
              <w:right w:type="dxa" w:w="100"/>
            </w:tcMar>
            <w:vAlign w:val="center"/>
          </w:tcPr>
          <w:p>
            <w:pPr>
              <w:jc w:val="center"/>
            </w:pPr>
            <w:r>
              <w:rPr>
                <w:color w:val="222222"/>
                <w:sz w:val="19"/>
                <w:szCs w:val="19"/>
              </w:rPr>
              <w:t xml:space="preserve">Marketing Research — survey design and validity</w:t>
            </w:r>
          </w:p>
        </w:tc>
      </w:tr>
      <w:tr>
        <w:tc>
          <w:tcPr>
            <w:tcW w:type="dxa" w:w="4600"/>
            <w:shd w:fill="F2F5F7" w:color="auto" w:val="clear"/>
            <w:tcMar>
              <w:top w:type="dxa" w:w="70"/>
              <w:left w:type="dxa" w:w="100"/>
              <w:bottom w:type="dxa" w:w="70"/>
              <w:right w:type="dxa" w:w="100"/>
            </w:tcMar>
            <w:vAlign w:val="center"/>
          </w:tcPr>
          <w:p>
            <w:pPr>
              <w:jc w:val="center"/>
            </w:pPr>
            <w:r>
              <w:rPr>
                <w:color w:val="222222"/>
                <w:sz w:val="19"/>
                <w:szCs w:val="19"/>
              </w:rPr>
              <w:t xml:space="preserve">Data visualization</w:t>
            </w:r>
          </w:p>
        </w:tc>
        <w:tc>
          <w:tcPr>
            <w:tcW w:type="dxa" w:w="4750"/>
            <w:shd w:fill="F2F5F7" w:color="auto" w:val="clear"/>
            <w:tcMar>
              <w:top w:type="dxa" w:w="70"/>
              <w:left w:type="dxa" w:w="100"/>
              <w:bottom w:type="dxa" w:w="70"/>
              <w:right w:type="dxa" w:w="100"/>
            </w:tcMar>
            <w:vAlign w:val="center"/>
          </w:tcPr>
          <w:p>
            <w:pPr>
              <w:jc w:val="center"/>
            </w:pPr>
            <w:r>
              <w:rPr>
                <w:color w:val="222222"/>
                <w:sz w:val="19"/>
                <w:szCs w:val="19"/>
              </w:rPr>
              <w:t xml:space="preserve">Business Analytics — Power BI / Tableau dashboards</w:t>
            </w:r>
          </w:p>
        </w:tc>
      </w:tr>
    </w:tbl>
    <w:p>
      <w:pPr>
        <w:spacing w:after="200"/>
      </w:pPr>
    </w:p>
    <w:p>
      <w:pPr>
        <w:spacing w:after="140"/>
      </w:pPr>
      <w:r>
        <w:rPr>
          <w:i/>
          <w:iCs/>
          <w:color w:val="5A5A5A"/>
          <w:sz w:val="20"/>
          <w:szCs w:val="20"/>
        </w:rPr>
        <w:t xml:space="preserve">Suggested next step: once Chapters 1–5 are solid, revisit Chapter 7 and 8’s correlation/probability worked examples with a small real dataset (even 10–15 rows in Excel) — the fastest way to make regression, which follows right after, feel intuitive rather than memorized.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r>
      <w:rPr>
        <w:color w:val="5A5A5A"/>
        <w:sz w:val="16"/>
        <w:szCs w:val="16"/>
      </w:rPr>
      <w:t xml:space="preserve">  |  PGDM Statistics 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Business Statistics — 101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2026-08-16T11:51:14.846Z</dcterms:created>
  <dcterms:modified xsi:type="dcterms:W3CDTF">2026-08-16T11:51:14.847Z</dcterms:modified>
</cp:coreProperties>
</file>

<file path=docProps/custom.xml><?xml version="1.0" encoding="utf-8"?>
<Properties xmlns="http://schemas.openxmlformats.org/officeDocument/2006/custom-properties" xmlns:vt="http://schemas.openxmlformats.org/officeDocument/2006/docPropsVTypes"/>
</file>