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60"/>
          <w:szCs w:val="60"/>
        </w:rPr>
        <w:t xml:space="preserve">BUSINESS STATISTICS</w:t>
      </w:r>
    </w:p>
    <w:p>
      <w:pPr>
        <w:spacing w:after="100" w:before="200"/>
        <w:jc w:val="center"/>
      </w:pPr>
      <w:r>
        <w:rPr>
          <w:b/>
          <w:bCs/>
          <w:color w:val="0F766E"/>
          <w:sz w:val="32"/>
          <w:szCs w:val="32"/>
        </w:rPr>
        <w:t xml:space="preserve">Statistics 101 — Foundational Notes</w:t>
      </w:r>
    </w:p>
    <w:p>
      <w:pPr>
        <w:spacing w:after="600"/>
        <w:jc w:val="center"/>
      </w:pPr>
      <w:r>
        <w:rPr>
          <w:i/>
          <w:iCs/>
          <w:color w:val="5A5A5A"/>
          <w:sz w:val="21"/>
          <w:szCs w:val="21"/>
        </w:rPr>
        <w:t xml:space="preserve">A first-principles, exam-and-industry-ready guide built on international statistical
standards — theory, formulas, and worked examples, aligned to your PGDM syllabus.</w:t>
      </w:r>
    </w:p>
    <w:tbl>
      <w:tblPr>
        <w:tblW w:type="pct" w:w="70%"/>
        <w:jc w:val="center"/>
        <w:tblBorders>
          <w:top w:val="single" w:color="B8860B" w:sz="8"/>
          <w:left w:val="single" w:color="B8860B" w:sz="8"/>
          <w:bottom w:val="single" w:color="B8860B" w:sz="8"/>
          <w:right w:val="single" w:color="B8860B" w:sz="8"/>
          <w:insideH w:val="none" w:color="FFFFFF" w:sz="0"/>
          <w:insideV w:val="none" w:color="FFFFFF" w:sz="0"/>
        </w:tblBorders>
      </w:tblPr>
      <w:tblGrid>
        <w:gridCol w:w="100"/>
      </w:tblGrid>
      <w:tr>
        <w:tc>
          <w:tcPr>
            <w:shd w:fill="F2F5F7" w:color="auto" w:val="clear"/>
            <w:tcMar>
              <w:top w:type="dxa" w:w="200"/>
              <w:left w:type="dxa" w:w="300"/>
              <w:bottom w:type="dxa" w:w="200"/>
              <w:right w:type="dxa" w:w="300"/>
            </w:tcMar>
          </w:tcPr>
          <w:p>
            <w:pPr>
              <w:spacing w:after="80"/>
              <w:jc w:val="center"/>
            </w:pPr>
            <w:r>
              <w:rPr>
                <w:b/>
                <w:bCs/>
                <w:color w:val="1F3864"/>
                <w:sz w:val="20"/>
                <w:szCs w:val="20"/>
              </w:rPr>
              <w:t xml:space="preserve">Covers</w:t>
            </w:r>
          </w:p>
          <w:p>
            <w:pPr>
              <w:jc w:val="center"/>
            </w:pPr>
            <w:r>
              <w:rPr>
                <w:sz w:val="19"/>
                <w:szCs w:val="19"/>
              </w:rPr>
              <w:t xml:space="preserve">Unit 1 — Data &amp; Statistics Foundation</w:t>
            </w:r>
          </w:p>
          <w:p>
            <w:pPr>
              <w:jc w:val="center"/>
            </w:pPr>
            <w:r>
              <w:rPr>
                <w:sz w:val="19"/>
                <w:szCs w:val="19"/>
              </w:rPr>
              <w:t xml:space="preserve">Unit 2 — Statistical Methods I (Central Tendency &amp; Dispersion)</w:t>
            </w:r>
          </w:p>
          <w:p>
            <w:pPr>
              <w:jc w:val="center"/>
            </w:pPr>
            <w:r>
              <w:rPr>
                <w:sz w:val="19"/>
                <w:szCs w:val="19"/>
              </w:rPr>
              <w:t xml:space="preserve">Unit 3 — Statistical Methods II (Skewness, Correlation, Probability)</w:t>
            </w:r>
          </w:p>
          <w:p>
            <w:pPr>
              <w:jc w:val="center"/>
            </w:pPr>
            <w:r>
              <w:rPr>
                <w:sz w:val="19"/>
                <w:szCs w:val="19"/>
              </w:rPr>
              <w:t xml:space="preserve">Unit 4 — Business Data Collection &amp; Visualization</w:t>
            </w:r>
          </w:p>
        </w:tc>
      </w:tr>
    </w:tbl>
    <w:p>
      <w:pPr>
        <w:spacing w:before="2000"/>
        <w:jc w:val="center"/>
      </w:pPr>
      <w:r>
        <w:rPr>
          <w:color w:val="5A5A5A"/>
          <w:sz w:val="18"/>
          <w:szCs w:val="18"/>
        </w:rPr>
        <w:t xml:space="preserve">Prepared for: PGDM Coursework</w:t>
      </w:r>
    </w:p>
    <w:p>
      <w:pPr>
        <w:jc w:val="center"/>
      </w:pPr>
      <w:r>
        <w:rPr>
          <w:color w:val="5A5A5A"/>
          <w:sz w:val="18"/>
          <w:szCs w:val="18"/>
        </w:rPr>
        <w:t xml:space="preserve">Format: Concept → Formula → Worked Example → Where this leads next in PGDM</w:t>
      </w:r>
    </w:p>
    <w:p>
      <w:r>
        <w:br w:type="page"/>
      </w:r>
    </w:p>
    <w:p>
      <w:pPr>
        <w:pStyle w:val="Heading1"/>
        <w:pBdr>
          <w:bottom w:val="single" w:color="1F3864" w:sz="12" w:space="4"/>
        </w:pBdr>
        <w:spacing w:after="200" w:before="480"/>
      </w:pPr>
      <w:r>
        <w:rPr>
          <w:b/>
          <w:bCs/>
          <w:color w:val="1F3864"/>
          <w:sz w:val="32"/>
          <w:szCs w:val="32"/>
        </w:rPr>
        <w:t xml:space="preserve">How to Use These Notes</w:t>
      </w:r>
    </w:p>
    <w:p>
      <w:pPr>
        <w:spacing w:after="140"/>
      </w:pPr>
      <w:r>
        <w:rPr>
          <w:color w:val="222222"/>
          <w:sz w:val="21"/>
          <w:szCs w:val="21"/>
        </w:rPr>
        <w:t xml:space="preserve">Each topic in this guide follows one consistent structure so you can revise fast before exams and still build real intuition for the workplace:</w:t>
      </w:r>
    </w:p>
    <w:p>
      <w:pPr>
        <w:pStyle w:val="ListParagraph"/>
        <w:numPr>
          <w:ilvl w:val="0"/>
          <w:numId w:val="2"/>
        </w:numPr>
        <w:spacing w:after="60"/>
      </w:pPr>
      <w:r>
        <w:rPr>
          <w:color w:val="222222"/>
          <w:sz w:val="21"/>
          <w:szCs w:val="21"/>
        </w:rPr>
        <w:t xml:space="preserve">Concept — plain-language explanation, the way it's taught internationally (as in Statistics for Business &amp; Economics standards).</w:t>
      </w:r>
    </w:p>
    <w:p>
      <w:pPr>
        <w:pStyle w:val="ListParagraph"/>
        <w:numPr>
          <w:ilvl w:val="0"/>
          <w:numId w:val="2"/>
        </w:numPr>
        <w:spacing w:after="60"/>
      </w:pPr>
      <w:r>
        <w:rPr>
          <w:color w:val="222222"/>
          <w:sz w:val="21"/>
          <w:szCs w:val="21"/>
        </w:rPr>
        <w:t xml:space="preserve">Formula — boxed and highlighted for quick recall.</w:t>
      </w:r>
    </w:p>
    <w:p>
      <w:pPr>
        <w:pStyle w:val="ListParagraph"/>
        <w:numPr>
          <w:ilvl w:val="0"/>
          <w:numId w:val="2"/>
        </w:numPr>
        <w:spacing w:after="60"/>
      </w:pPr>
      <w:r>
        <w:rPr>
          <w:color w:val="222222"/>
          <w:sz w:val="21"/>
          <w:szCs w:val="21"/>
        </w:rPr>
        <w:t xml:space="preserve">Worked Example — a small, realistic business dataset solved step by step.</w:t>
      </w:r>
    </w:p>
    <w:p>
      <w:pPr>
        <w:pStyle w:val="ListParagraph"/>
        <w:numPr>
          <w:ilvl w:val="0"/>
          <w:numId w:val="2"/>
        </w:numPr>
        <w:spacing w:after="60"/>
      </w:pPr>
      <w:r>
        <w:rPr>
          <w:color w:val="222222"/>
          <w:sz w:val="21"/>
          <w:szCs w:val="21"/>
        </w:rPr>
        <w:t xml:space="preserve">Looking Ahead in your PGDM — where this exact concept reappears in later subjects (Marketing Research, Business Analytics, Finance, Operations, HR Analytics).</w:t>
      </w:r>
    </w:p>
    <w:p>
      <w:pPr>
        <w:spacing w:after="120"/>
      </w:pPr>
    </w:p>
    <w:p>
      <w:pPr>
        <w:spacing w:after="100" w:before="200"/>
      </w:pPr>
      <w:r>
        <w:rPr>
          <w:b/>
          <w:bCs/>
          <w:color w:val="B8860B"/>
          <w:sz w:val="22"/>
          <w:szCs w:val="22"/>
        </w:rPr>
        <w:t xml:space="preserve">Notation you'll see throughout</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500"/>
        <w:gridCol w:w="6850"/>
      </w:tblGrid>
      <w:tr>
        <w:trPr>
          <w:tblHeader/>
        </w:trPr>
        <w:tc>
          <w:tcPr>
            <w:tcW w:type="dxa" w:w="2500"/>
            <w:shd w:fill="1F3864" w:color="auto" w:val="clear"/>
            <w:tcMar>
              <w:top w:type="dxa" w:w="80"/>
              <w:left w:type="dxa" w:w="100"/>
              <w:bottom w:type="dxa" w:w="80"/>
              <w:right w:type="dxa" w:w="100"/>
            </w:tcMar>
            <w:vAlign w:val="center"/>
          </w:tcPr>
          <w:p>
            <w:pPr>
              <w:jc w:val="center"/>
            </w:pPr>
            <w:r>
              <w:rPr>
                <w:b/>
                <w:bCs/>
                <w:color w:val="FFFFFF"/>
                <w:sz w:val="19"/>
                <w:szCs w:val="19"/>
              </w:rPr>
              <w:t xml:space="preserve">Symbol</w:t>
            </w:r>
          </w:p>
        </w:tc>
        <w:tc>
          <w:tcPr>
            <w:tcW w:type="dxa" w:w="6850"/>
            <w:shd w:fill="1F3864" w:color="auto" w:val="clear"/>
            <w:tcMar>
              <w:top w:type="dxa" w:w="80"/>
              <w:left w:type="dxa" w:w="100"/>
              <w:bottom w:type="dxa" w:w="80"/>
              <w:right w:type="dxa" w:w="100"/>
            </w:tcMar>
            <w:vAlign w:val="center"/>
          </w:tcPr>
          <w:p>
            <w:pPr>
              <w:jc w:val="center"/>
            </w:pPr>
            <w:r>
              <w:rPr>
                <w:b/>
                <w:bCs/>
                <w:color w:val="FFFFFF"/>
                <w:sz w:val="19"/>
                <w:szCs w:val="19"/>
              </w:rPr>
              <w:t xml:space="preserve">Meaning</w:t>
            </w:r>
          </w:p>
        </w:tc>
      </w:tr>
      <w:tr>
        <w:tc>
          <w:tcPr>
            <w:tcW w:type="dxa" w:w="2500"/>
            <w:shd w:fill="FFFFFF" w:color="auto" w:val="clear"/>
            <w:tcMar>
              <w:top w:type="dxa" w:w="70"/>
              <w:left w:type="dxa" w:w="100"/>
              <w:bottom w:type="dxa" w:w="70"/>
              <w:right w:type="dxa" w:w="100"/>
            </w:tcMar>
            <w:vAlign w:val="center"/>
          </w:tcPr>
          <w:p>
            <w:pPr>
              <w:jc w:val="center"/>
            </w:pPr>
            <w:r>
              <w:rPr>
                <w:color w:val="222222"/>
                <w:sz w:val="19"/>
                <w:szCs w:val="19"/>
              </w:rPr>
              <w:t xml:space="preserve">n</w:t>
            </w:r>
          </w:p>
        </w:tc>
        <w:tc>
          <w:tcPr>
            <w:tcW w:type="dxa" w:w="6850"/>
            <w:shd w:fill="FFFFFF" w:color="auto" w:val="clear"/>
            <w:tcMar>
              <w:top w:type="dxa" w:w="70"/>
              <w:left w:type="dxa" w:w="100"/>
              <w:bottom w:type="dxa" w:w="70"/>
              <w:right w:type="dxa" w:w="100"/>
            </w:tcMar>
            <w:vAlign w:val="center"/>
          </w:tcPr>
          <w:p>
            <w:pPr>
              <w:jc w:val="center"/>
            </w:pPr>
            <w:r>
              <w:rPr>
                <w:color w:val="222222"/>
                <w:sz w:val="19"/>
                <w:szCs w:val="19"/>
              </w:rPr>
              <w:t xml:space="preserve">Number of observations (sample size)</w:t>
            </w:r>
          </w:p>
        </w:tc>
      </w:tr>
      <w:tr>
        <w:tc>
          <w:tcPr>
            <w:tcW w:type="dxa" w:w="2500"/>
            <w:shd w:fill="F2F5F7" w:color="auto" w:val="clear"/>
            <w:tcMar>
              <w:top w:type="dxa" w:w="70"/>
              <w:left w:type="dxa" w:w="100"/>
              <w:bottom w:type="dxa" w:w="70"/>
              <w:right w:type="dxa" w:w="100"/>
            </w:tcMar>
            <w:vAlign w:val="center"/>
          </w:tcPr>
          <w:p>
            <w:pPr>
              <w:jc w:val="center"/>
            </w:pPr>
            <w:r>
              <w:rPr>
                <w:color w:val="222222"/>
                <w:sz w:val="19"/>
                <w:szCs w:val="19"/>
              </w:rPr>
              <w:t xml:space="preserve">N</w:t>
            </w:r>
          </w:p>
        </w:tc>
        <w:tc>
          <w:tcPr>
            <w:tcW w:type="dxa" w:w="6850"/>
            <w:shd w:fill="F2F5F7" w:color="auto" w:val="clear"/>
            <w:tcMar>
              <w:top w:type="dxa" w:w="70"/>
              <w:left w:type="dxa" w:w="100"/>
              <w:bottom w:type="dxa" w:w="70"/>
              <w:right w:type="dxa" w:w="100"/>
            </w:tcMar>
            <w:vAlign w:val="center"/>
          </w:tcPr>
          <w:p>
            <w:pPr>
              <w:jc w:val="center"/>
            </w:pPr>
            <w:r>
              <w:rPr>
                <w:color w:val="222222"/>
                <w:sz w:val="19"/>
                <w:szCs w:val="19"/>
              </w:rPr>
              <w:t xml:space="preserve">Population size</w:t>
            </w:r>
          </w:p>
        </w:tc>
      </w:tr>
      <w:tr>
        <w:tc>
          <w:tcPr>
            <w:tcW w:type="dxa" w:w="2500"/>
            <w:shd w:fill="FFFFFF" w:color="auto" w:val="clear"/>
            <w:tcMar>
              <w:top w:type="dxa" w:w="70"/>
              <w:left w:type="dxa" w:w="100"/>
              <w:bottom w:type="dxa" w:w="70"/>
              <w:right w:type="dxa" w:w="100"/>
            </w:tcMar>
            <w:vAlign w:val="center"/>
          </w:tcPr>
          <w:p>
            <w:pPr>
              <w:jc w:val="center"/>
            </w:pPr>
            <w:r>
              <w:rPr>
                <w:color w:val="222222"/>
                <w:sz w:val="19"/>
                <w:szCs w:val="19"/>
              </w:rPr>
              <w:t xml:space="preserve">xᵢ</w:t>
            </w:r>
          </w:p>
        </w:tc>
        <w:tc>
          <w:tcPr>
            <w:tcW w:type="dxa" w:w="6850"/>
            <w:shd w:fill="FFFFFF" w:color="auto" w:val="clear"/>
            <w:tcMar>
              <w:top w:type="dxa" w:w="70"/>
              <w:left w:type="dxa" w:w="100"/>
              <w:bottom w:type="dxa" w:w="70"/>
              <w:right w:type="dxa" w:w="100"/>
            </w:tcMar>
            <w:vAlign w:val="center"/>
          </w:tcPr>
          <w:p>
            <w:pPr>
              <w:jc w:val="center"/>
            </w:pPr>
            <w:r>
              <w:rPr>
                <w:color w:val="222222"/>
                <w:sz w:val="19"/>
                <w:szCs w:val="19"/>
              </w:rPr>
              <w:t xml:space="preserve">Individual data value</w:t>
            </w:r>
          </w:p>
        </w:tc>
      </w:tr>
      <w:tr>
        <w:tc>
          <w:tcPr>
            <w:tcW w:type="dxa" w:w="2500"/>
            <w:shd w:fill="F2F5F7" w:color="auto" w:val="clear"/>
            <w:tcMar>
              <w:top w:type="dxa" w:w="70"/>
              <w:left w:type="dxa" w:w="100"/>
              <w:bottom w:type="dxa" w:w="70"/>
              <w:right w:type="dxa" w:w="100"/>
            </w:tcMar>
            <w:vAlign w:val="center"/>
          </w:tcPr>
          <w:p>
            <w:pPr>
              <w:jc w:val="center"/>
            </w:pPr>
            <w:r>
              <w:rPr>
                <w:color w:val="222222"/>
                <w:sz w:val="19"/>
                <w:szCs w:val="19"/>
              </w:rPr>
              <w:t xml:space="preserve">x̄ (x-bar)</w:t>
            </w:r>
          </w:p>
        </w:tc>
        <w:tc>
          <w:tcPr>
            <w:tcW w:type="dxa" w:w="6850"/>
            <w:shd w:fill="F2F5F7" w:color="auto" w:val="clear"/>
            <w:tcMar>
              <w:top w:type="dxa" w:w="70"/>
              <w:left w:type="dxa" w:w="100"/>
              <w:bottom w:type="dxa" w:w="70"/>
              <w:right w:type="dxa" w:w="100"/>
            </w:tcMar>
            <w:vAlign w:val="center"/>
          </w:tcPr>
          <w:p>
            <w:pPr>
              <w:jc w:val="center"/>
            </w:pPr>
            <w:r>
              <w:rPr>
                <w:color w:val="222222"/>
                <w:sz w:val="19"/>
                <w:szCs w:val="19"/>
              </w:rPr>
              <w:t xml:space="preserve">Sample mean</w:t>
            </w:r>
          </w:p>
        </w:tc>
      </w:tr>
      <w:tr>
        <w:tc>
          <w:tcPr>
            <w:tcW w:type="dxa" w:w="2500"/>
            <w:shd w:fill="FFFFFF" w:color="auto" w:val="clear"/>
            <w:tcMar>
              <w:top w:type="dxa" w:w="70"/>
              <w:left w:type="dxa" w:w="100"/>
              <w:bottom w:type="dxa" w:w="70"/>
              <w:right w:type="dxa" w:w="100"/>
            </w:tcMar>
            <w:vAlign w:val="center"/>
          </w:tcPr>
          <w:p>
            <w:pPr>
              <w:jc w:val="center"/>
            </w:pPr>
            <w:r>
              <w:rPr>
                <w:color w:val="222222"/>
                <w:sz w:val="19"/>
                <w:szCs w:val="19"/>
              </w:rPr>
              <w:t xml:space="preserve">μ (mu)</w:t>
            </w:r>
          </w:p>
        </w:tc>
        <w:tc>
          <w:tcPr>
            <w:tcW w:type="dxa" w:w="6850"/>
            <w:shd w:fill="FFFFFF" w:color="auto" w:val="clear"/>
            <w:tcMar>
              <w:top w:type="dxa" w:w="70"/>
              <w:left w:type="dxa" w:w="100"/>
              <w:bottom w:type="dxa" w:w="70"/>
              <w:right w:type="dxa" w:w="100"/>
            </w:tcMar>
            <w:vAlign w:val="center"/>
          </w:tcPr>
          <w:p>
            <w:pPr>
              <w:jc w:val="center"/>
            </w:pPr>
            <w:r>
              <w:rPr>
                <w:color w:val="222222"/>
                <w:sz w:val="19"/>
                <w:szCs w:val="19"/>
              </w:rPr>
              <w:t xml:space="preserve">Population mean</w:t>
            </w:r>
          </w:p>
        </w:tc>
      </w:tr>
      <w:tr>
        <w:tc>
          <w:tcPr>
            <w:tcW w:type="dxa" w:w="2500"/>
            <w:shd w:fill="F2F5F7" w:color="auto" w:val="clear"/>
            <w:tcMar>
              <w:top w:type="dxa" w:w="70"/>
              <w:left w:type="dxa" w:w="100"/>
              <w:bottom w:type="dxa" w:w="70"/>
              <w:right w:type="dxa" w:w="100"/>
            </w:tcMar>
            <w:vAlign w:val="center"/>
          </w:tcPr>
          <w:p>
            <w:pPr>
              <w:jc w:val="center"/>
            </w:pPr>
            <w:r>
              <w:rPr>
                <w:color w:val="222222"/>
                <w:sz w:val="19"/>
                <w:szCs w:val="19"/>
              </w:rPr>
              <w:t xml:space="preserve">σ (sigma)</w:t>
            </w:r>
          </w:p>
        </w:tc>
        <w:tc>
          <w:tcPr>
            <w:tcW w:type="dxa" w:w="6850"/>
            <w:shd w:fill="F2F5F7" w:color="auto" w:val="clear"/>
            <w:tcMar>
              <w:top w:type="dxa" w:w="70"/>
              <w:left w:type="dxa" w:w="100"/>
              <w:bottom w:type="dxa" w:w="70"/>
              <w:right w:type="dxa" w:w="100"/>
            </w:tcMar>
            <w:vAlign w:val="center"/>
          </w:tcPr>
          <w:p>
            <w:pPr>
              <w:jc w:val="center"/>
            </w:pPr>
            <w:r>
              <w:rPr>
                <w:color w:val="222222"/>
                <w:sz w:val="19"/>
                <w:szCs w:val="19"/>
              </w:rPr>
              <w:t xml:space="preserve">Population standard deviation</w:t>
            </w:r>
          </w:p>
        </w:tc>
      </w:tr>
      <w:tr>
        <w:tc>
          <w:tcPr>
            <w:tcW w:type="dxa" w:w="2500"/>
            <w:shd w:fill="FFFFFF" w:color="auto" w:val="clear"/>
            <w:tcMar>
              <w:top w:type="dxa" w:w="70"/>
              <w:left w:type="dxa" w:w="100"/>
              <w:bottom w:type="dxa" w:w="70"/>
              <w:right w:type="dxa" w:w="100"/>
            </w:tcMar>
            <w:vAlign w:val="center"/>
          </w:tcPr>
          <w:p>
            <w:pPr>
              <w:jc w:val="center"/>
            </w:pPr>
            <w:r>
              <w:rPr>
                <w:color w:val="222222"/>
                <w:sz w:val="19"/>
                <w:szCs w:val="19"/>
              </w:rPr>
              <w:t xml:space="preserve">s</w:t>
            </w:r>
          </w:p>
        </w:tc>
        <w:tc>
          <w:tcPr>
            <w:tcW w:type="dxa" w:w="6850"/>
            <w:shd w:fill="FFFFFF" w:color="auto" w:val="clear"/>
            <w:tcMar>
              <w:top w:type="dxa" w:w="70"/>
              <w:left w:type="dxa" w:w="100"/>
              <w:bottom w:type="dxa" w:w="70"/>
              <w:right w:type="dxa" w:w="100"/>
            </w:tcMar>
            <w:vAlign w:val="center"/>
          </w:tcPr>
          <w:p>
            <w:pPr>
              <w:jc w:val="center"/>
            </w:pPr>
            <w:r>
              <w:rPr>
                <w:color w:val="222222"/>
                <w:sz w:val="19"/>
                <w:szCs w:val="19"/>
              </w:rPr>
              <w:t xml:space="preserve">Sample standard deviation</w:t>
            </w:r>
          </w:p>
        </w:tc>
      </w:tr>
      <w:tr>
        <w:tc>
          <w:tcPr>
            <w:tcW w:type="dxa" w:w="2500"/>
            <w:shd w:fill="F2F5F7" w:color="auto" w:val="clear"/>
            <w:tcMar>
              <w:top w:type="dxa" w:w="70"/>
              <w:left w:type="dxa" w:w="100"/>
              <w:bottom w:type="dxa" w:w="70"/>
              <w:right w:type="dxa" w:w="100"/>
            </w:tcMar>
            <w:vAlign w:val="center"/>
          </w:tcPr>
          <w:p>
            <w:pPr>
              <w:jc w:val="center"/>
            </w:pPr>
            <w:r>
              <w:rPr>
                <w:color w:val="222222"/>
                <w:sz w:val="19"/>
                <w:szCs w:val="19"/>
              </w:rPr>
              <w:t xml:space="preserve">Σ (sigma, capital)</w:t>
            </w:r>
          </w:p>
        </w:tc>
        <w:tc>
          <w:tcPr>
            <w:tcW w:type="dxa" w:w="6850"/>
            <w:shd w:fill="F2F5F7" w:color="auto" w:val="clear"/>
            <w:tcMar>
              <w:top w:type="dxa" w:w="70"/>
              <w:left w:type="dxa" w:w="100"/>
              <w:bottom w:type="dxa" w:w="70"/>
              <w:right w:type="dxa" w:w="100"/>
            </w:tcMar>
            <w:vAlign w:val="center"/>
          </w:tcPr>
          <w:p>
            <w:pPr>
              <w:jc w:val="center"/>
            </w:pPr>
            <w:r>
              <w:rPr>
                <w:color w:val="222222"/>
                <w:sz w:val="19"/>
                <w:szCs w:val="19"/>
              </w:rPr>
              <w:t xml:space="preserve">"Sum of"</w:t>
            </w:r>
          </w:p>
        </w:tc>
      </w:tr>
      <w:tr>
        <w:tc>
          <w:tcPr>
            <w:tcW w:type="dxa" w:w="2500"/>
            <w:shd w:fill="FFFFFF" w:color="auto" w:val="clear"/>
            <w:tcMar>
              <w:top w:type="dxa" w:w="70"/>
              <w:left w:type="dxa" w:w="100"/>
              <w:bottom w:type="dxa" w:w="70"/>
              <w:right w:type="dxa" w:w="100"/>
            </w:tcMar>
            <w:vAlign w:val="center"/>
          </w:tcPr>
          <w:p>
            <w:pPr>
              <w:jc w:val="center"/>
            </w:pPr>
            <w:r>
              <w:rPr>
                <w:color w:val="222222"/>
                <w:sz w:val="19"/>
                <w:szCs w:val="19"/>
              </w:rPr>
              <w:t xml:space="preserve">f</w:t>
            </w:r>
          </w:p>
        </w:tc>
        <w:tc>
          <w:tcPr>
            <w:tcW w:type="dxa" w:w="6850"/>
            <w:shd w:fill="FFFFFF" w:color="auto" w:val="clear"/>
            <w:tcMar>
              <w:top w:type="dxa" w:w="70"/>
              <w:left w:type="dxa" w:w="100"/>
              <w:bottom w:type="dxa" w:w="70"/>
              <w:right w:type="dxa" w:w="100"/>
            </w:tcMar>
            <w:vAlign w:val="center"/>
          </w:tcPr>
          <w:p>
            <w:pPr>
              <w:jc w:val="center"/>
            </w:pPr>
            <w:r>
              <w:rPr>
                <w:color w:val="222222"/>
                <w:sz w:val="19"/>
                <w:szCs w:val="19"/>
              </w:rPr>
              <w:t xml:space="preserve">Frequency</w:t>
            </w:r>
          </w:p>
        </w:tc>
      </w:tr>
    </w:tbl>
    <w:p>
      <w:r>
        <w:br w:type="page"/>
      </w:r>
    </w:p>
    <w:p>
      <w:pPr>
        <w:pStyle w:val="Heading1"/>
        <w:pBdr>
          <w:bottom w:val="single" w:color="1F3864" w:sz="12" w:space="4"/>
        </w:pBdr>
        <w:spacing w:after="200" w:before="480"/>
      </w:pPr>
      <w:r>
        <w:rPr>
          <w:b/>
          <w:bCs/>
          <w:color w:val="1F3864"/>
          <w:sz w:val="32"/>
          <w:szCs w:val="32"/>
        </w:rPr>
        <w:t xml:space="preserve">UNIT 1 — Data &amp; Statistics Foundation</w:t>
      </w:r>
    </w:p>
    <w:p>
      <w:pPr>
        <w:pStyle w:val="Heading2"/>
        <w:spacing w:after="140" w:before="320"/>
      </w:pPr>
      <w:r>
        <w:rPr>
          <w:b/>
          <w:bCs/>
          <w:color w:val="0F766E"/>
          <w:sz w:val="25"/>
          <w:szCs w:val="25"/>
        </w:rPr>
        <w:t xml:space="preserve">1.1 What Is Statistics?</w:t>
      </w:r>
    </w:p>
    <w:p>
      <w:pPr>
        <w:spacing w:after="140"/>
      </w:pPr>
      <w:r>
        <w:rPr>
          <w:color w:val="222222"/>
          <w:sz w:val="21"/>
          <w:szCs w:val="21"/>
        </w:rPr>
        <w:t xml:space="preserve">Statistics is the science of collecting, organizing, analyzing, interpreting, and presenting data to support decision-making under uncertainty. In business, it converts raw numbers — sales, survey responses, defect counts, stock prices — into insight.</w:t>
      </w:r>
    </w:p>
    <w:p>
      <w:pPr>
        <w:spacing w:after="100" w:before="200"/>
      </w:pPr>
      <w:r>
        <w:rPr>
          <w:b/>
          <w:bCs/>
          <w:color w:val="B8860B"/>
          <w:sz w:val="22"/>
          <w:szCs w:val="22"/>
        </w:rPr>
        <w:t xml:space="preserve">Two Branches (the global standard split)</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3600"/>
        <w:gridCol w:w="3150"/>
      </w:tblGrid>
      <w:tr>
        <w:trPr>
          <w:tblHeader/>
        </w:trPr>
        <w:tc>
          <w:tcPr>
            <w:tcW w:type="dxa" w:w="2600"/>
            <w:shd w:fill="1F3864" w:color="auto" w:val="clear"/>
            <w:tcMar>
              <w:top w:type="dxa" w:w="80"/>
              <w:left w:type="dxa" w:w="100"/>
              <w:bottom w:type="dxa" w:w="80"/>
              <w:right w:type="dxa" w:w="100"/>
            </w:tcMar>
            <w:vAlign w:val="center"/>
          </w:tcPr>
          <w:p>
            <w:pPr>
              <w:jc w:val="center"/>
            </w:pPr>
            <w:r>
              <w:rPr>
                <w:b/>
                <w:bCs/>
                <w:color w:val="FFFFFF"/>
                <w:sz w:val="19"/>
                <w:szCs w:val="19"/>
              </w:rPr>
              <w:t xml:space="preserve">Branch</w:t>
            </w:r>
          </w:p>
        </w:tc>
        <w:tc>
          <w:tcPr>
            <w:tcW w:type="dxa" w:w="3600"/>
            <w:shd w:fill="1F3864" w:color="auto" w:val="clear"/>
            <w:tcMar>
              <w:top w:type="dxa" w:w="80"/>
              <w:left w:type="dxa" w:w="100"/>
              <w:bottom w:type="dxa" w:w="80"/>
              <w:right w:type="dxa" w:w="100"/>
            </w:tcMar>
            <w:vAlign w:val="center"/>
          </w:tcPr>
          <w:p>
            <w:pPr>
              <w:jc w:val="center"/>
            </w:pPr>
            <w:r>
              <w:rPr>
                <w:b/>
                <w:bCs/>
                <w:color w:val="FFFFFF"/>
                <w:sz w:val="19"/>
                <w:szCs w:val="19"/>
              </w:rPr>
              <w:t xml:space="preserve">What it does</w:t>
            </w:r>
          </w:p>
        </w:tc>
        <w:tc>
          <w:tcPr>
            <w:tcW w:type="dxa" w:w="3150"/>
            <w:shd w:fill="1F3864" w:color="auto" w:val="clear"/>
            <w:tcMar>
              <w:top w:type="dxa" w:w="80"/>
              <w:left w:type="dxa" w:w="100"/>
              <w:bottom w:type="dxa" w:w="80"/>
              <w:right w:type="dxa" w:w="100"/>
            </w:tcMar>
            <w:vAlign w:val="center"/>
          </w:tcPr>
          <w:p>
            <w:pPr>
              <w:jc w:val="center"/>
            </w:pPr>
            <w:r>
              <w:rPr>
                <w:b/>
                <w:bCs/>
                <w:color w:val="FFFFFF"/>
                <w:sz w:val="19"/>
                <w:szCs w:val="19"/>
              </w:rPr>
              <w:t xml:space="preserve">Business Example</w:t>
            </w:r>
          </w:p>
        </w:tc>
      </w:tr>
      <w:tr>
        <w:tc>
          <w:tcPr>
            <w:tcW w:type="dxa" w:w="2600"/>
            <w:shd w:fill="FFFFFF" w:color="auto" w:val="clear"/>
            <w:tcMar>
              <w:top w:type="dxa" w:w="70"/>
              <w:left w:type="dxa" w:w="100"/>
              <w:bottom w:type="dxa" w:w="70"/>
              <w:right w:type="dxa" w:w="100"/>
            </w:tcMar>
            <w:vAlign w:val="center"/>
          </w:tcPr>
          <w:p>
            <w:pPr>
              <w:jc w:val="center"/>
            </w:pPr>
            <w:r>
              <w:rPr>
                <w:color w:val="222222"/>
                <w:sz w:val="19"/>
                <w:szCs w:val="19"/>
              </w:rPr>
              <w:t xml:space="preserve">Descriptive Statistics</w:t>
            </w:r>
          </w:p>
        </w:tc>
        <w:tc>
          <w:tcPr>
            <w:tcW w:type="dxa" w:w="3600"/>
            <w:shd w:fill="FFFFFF" w:color="auto" w:val="clear"/>
            <w:tcMar>
              <w:top w:type="dxa" w:w="70"/>
              <w:left w:type="dxa" w:w="100"/>
              <w:bottom w:type="dxa" w:w="70"/>
              <w:right w:type="dxa" w:w="100"/>
            </w:tcMar>
            <w:vAlign w:val="center"/>
          </w:tcPr>
          <w:p>
            <w:pPr>
              <w:jc w:val="center"/>
            </w:pPr>
            <w:r>
              <w:rPr>
                <w:color w:val="222222"/>
                <w:sz w:val="19"/>
                <w:szCs w:val="19"/>
              </w:rPr>
              <w:t xml:space="preserve">Summarizes and presents data (charts, averages, spread)</w:t>
            </w:r>
          </w:p>
        </w:tc>
        <w:tc>
          <w:tcPr>
            <w:tcW w:type="dxa" w:w="3150"/>
            <w:shd w:fill="FFFFFF" w:color="auto" w:val="clear"/>
            <w:tcMar>
              <w:top w:type="dxa" w:w="70"/>
              <w:left w:type="dxa" w:w="100"/>
              <w:bottom w:type="dxa" w:w="70"/>
              <w:right w:type="dxa" w:w="100"/>
            </w:tcMar>
            <w:vAlign w:val="center"/>
          </w:tcPr>
          <w:p>
            <w:pPr>
              <w:jc w:val="center"/>
            </w:pPr>
            <w:r>
              <w:rPr>
                <w:color w:val="222222"/>
                <w:sz w:val="19"/>
                <w:szCs w:val="19"/>
              </w:rPr>
              <w:t xml:space="preserve">"Average monthly sales were ₹12.4 lakh"</w:t>
            </w:r>
          </w:p>
        </w:tc>
      </w:tr>
      <w:tr>
        <w:tc>
          <w:tcPr>
            <w:tcW w:type="dxa" w:w="2600"/>
            <w:shd w:fill="F2F5F7" w:color="auto" w:val="clear"/>
            <w:tcMar>
              <w:top w:type="dxa" w:w="70"/>
              <w:left w:type="dxa" w:w="100"/>
              <w:bottom w:type="dxa" w:w="70"/>
              <w:right w:type="dxa" w:w="100"/>
            </w:tcMar>
            <w:vAlign w:val="center"/>
          </w:tcPr>
          <w:p>
            <w:pPr>
              <w:jc w:val="center"/>
            </w:pPr>
            <w:r>
              <w:rPr>
                <w:color w:val="222222"/>
                <w:sz w:val="19"/>
                <w:szCs w:val="19"/>
              </w:rPr>
              <w:t xml:space="preserve">Inferential Statistics</w:t>
            </w:r>
          </w:p>
        </w:tc>
        <w:tc>
          <w:tcPr>
            <w:tcW w:type="dxa" w:w="3600"/>
            <w:shd w:fill="F2F5F7" w:color="auto" w:val="clear"/>
            <w:tcMar>
              <w:top w:type="dxa" w:w="70"/>
              <w:left w:type="dxa" w:w="100"/>
              <w:bottom w:type="dxa" w:w="70"/>
              <w:right w:type="dxa" w:w="100"/>
            </w:tcMar>
            <w:vAlign w:val="center"/>
          </w:tcPr>
          <w:p>
            <w:pPr>
              <w:jc w:val="center"/>
            </w:pPr>
            <w:r>
              <w:rPr>
                <w:color w:val="222222"/>
                <w:sz w:val="19"/>
                <w:szCs w:val="19"/>
              </w:rPr>
              <w:t xml:space="preserve">Draws conclusions about a population from a sample, with a stated confidence level</w:t>
            </w:r>
          </w:p>
        </w:tc>
        <w:tc>
          <w:tcPr>
            <w:tcW w:type="dxa" w:w="3150"/>
            <w:shd w:fill="F2F5F7" w:color="auto" w:val="clear"/>
            <w:tcMar>
              <w:top w:type="dxa" w:w="70"/>
              <w:left w:type="dxa" w:w="100"/>
              <w:bottom w:type="dxa" w:w="70"/>
              <w:right w:type="dxa" w:w="100"/>
            </w:tcMar>
            <w:vAlign w:val="center"/>
          </w:tcPr>
          <w:p>
            <w:pPr>
              <w:jc w:val="center"/>
            </w:pPr>
            <w:r>
              <w:rPr>
                <w:color w:val="222222"/>
                <w:sz w:val="19"/>
                <w:szCs w:val="19"/>
              </w:rPr>
              <w:t xml:space="preserve">"We are 95% confident that the new ad increases sales"</w:t>
            </w:r>
          </w:p>
        </w:tc>
      </w:tr>
    </w:tbl>
    <w:p>
      <w:pPr>
        <w:spacing w:after="120"/>
      </w:pP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Descriptive stats is what you'll compute in every Excel/Power BI dashboard task in Business Analytics. Inferential statistics (hypothesis testing, confidence intervals, regression) is the backbone of Marketing Research and Econometrics — this unit is literally the entry ticket to both.</w:t>
            </w:r>
          </w:p>
        </w:tc>
      </w:tr>
    </w:tbl>
    <w:p>
      <w:pPr>
        <w:pStyle w:val="Heading2"/>
        <w:spacing w:after="140" w:before="320"/>
      </w:pPr>
      <w:r>
        <w:rPr>
          <w:b/>
          <w:bCs/>
          <w:color w:val="0F766E"/>
          <w:sz w:val="25"/>
          <w:szCs w:val="25"/>
        </w:rPr>
        <w:t xml:space="preserve">1.2 Applications of Statistics in Business</w:t>
      </w:r>
    </w:p>
    <w:p>
      <w:pPr>
        <w:pStyle w:val="ListParagraph"/>
        <w:numPr>
          <w:ilvl w:val="0"/>
          <w:numId w:val="2"/>
        </w:numPr>
        <w:spacing w:after="60"/>
      </w:pPr>
      <w:r>
        <w:rPr>
          <w:color w:val="222222"/>
          <w:sz w:val="21"/>
          <w:szCs w:val="21"/>
        </w:rPr>
        <w:t xml:space="preserve">Marketing — customer segmentation, A/B testing, brand tracking</w:t>
      </w:r>
    </w:p>
    <w:p>
      <w:pPr>
        <w:pStyle w:val="ListParagraph"/>
        <w:numPr>
          <w:ilvl w:val="0"/>
          <w:numId w:val="2"/>
        </w:numPr>
        <w:spacing w:after="60"/>
      </w:pPr>
      <w:r>
        <w:rPr>
          <w:color w:val="222222"/>
          <w:sz w:val="21"/>
          <w:szCs w:val="21"/>
        </w:rPr>
        <w:t xml:space="preserve">Finance — risk measurement, portfolio variance, forecasting</w:t>
      </w:r>
    </w:p>
    <w:p>
      <w:pPr>
        <w:pStyle w:val="ListParagraph"/>
        <w:numPr>
          <w:ilvl w:val="0"/>
          <w:numId w:val="2"/>
        </w:numPr>
        <w:spacing w:after="60"/>
      </w:pPr>
      <w:r>
        <w:rPr>
          <w:color w:val="222222"/>
          <w:sz w:val="21"/>
          <w:szCs w:val="21"/>
        </w:rPr>
        <w:t xml:space="preserve">Operations — quality control (Six Sigma), inventory demand forecasting</w:t>
      </w:r>
    </w:p>
    <w:p>
      <w:pPr>
        <w:pStyle w:val="ListParagraph"/>
        <w:numPr>
          <w:ilvl w:val="0"/>
          <w:numId w:val="2"/>
        </w:numPr>
        <w:spacing w:after="60"/>
      </w:pPr>
      <w:r>
        <w:rPr>
          <w:color w:val="222222"/>
          <w:sz w:val="21"/>
          <w:szCs w:val="21"/>
        </w:rPr>
        <w:t xml:space="preserve">HR — attrition analysis, compensation benchmarking</w:t>
      </w:r>
    </w:p>
    <w:p>
      <w:pPr>
        <w:pStyle w:val="ListParagraph"/>
        <w:numPr>
          <w:ilvl w:val="0"/>
          <w:numId w:val="2"/>
        </w:numPr>
        <w:spacing w:after="60"/>
      </w:pPr>
      <w:r>
        <w:rPr>
          <w:color w:val="222222"/>
          <w:sz w:val="21"/>
          <w:szCs w:val="21"/>
        </w:rPr>
        <w:t xml:space="preserve">Strategy — market sizing, competitive benchmarking</w:t>
      </w:r>
    </w:p>
    <w:p>
      <w:pPr>
        <w:pStyle w:val="Heading2"/>
        <w:spacing w:after="140" w:before="320"/>
      </w:pPr>
      <w:r>
        <w:rPr>
          <w:b/>
          <w:bCs/>
          <w:color w:val="0F766E"/>
          <w:sz w:val="25"/>
          <w:szCs w:val="25"/>
        </w:rPr>
        <w:t xml:space="preserve">1.3 Describing Data — Types &amp; Variables</w:t>
      </w:r>
    </w:p>
    <w:p>
      <w:pPr>
        <w:spacing w:after="100" w:before="200"/>
      </w:pPr>
      <w:r>
        <w:rPr>
          <w:b/>
          <w:bCs/>
          <w:color w:val="B8860B"/>
          <w:sz w:val="22"/>
          <w:szCs w:val="22"/>
        </w:rPr>
        <w:t xml:space="preserve">By Nature</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3000"/>
        <w:gridCol w:w="4500"/>
        <w:gridCol w:w="1850"/>
      </w:tblGrid>
      <w:tr>
        <w:trPr>
          <w:tblHeader/>
        </w:trPr>
        <w:tc>
          <w:tcPr>
            <w:tcW w:type="dxa" w:w="3000"/>
            <w:shd w:fill="1F3864" w:color="auto" w:val="clear"/>
            <w:tcMar>
              <w:top w:type="dxa" w:w="80"/>
              <w:left w:type="dxa" w:w="100"/>
              <w:bottom w:type="dxa" w:w="80"/>
              <w:right w:type="dxa" w:w="100"/>
            </w:tcMar>
            <w:vAlign w:val="center"/>
          </w:tcPr>
          <w:p>
            <w:pPr>
              <w:jc w:val="center"/>
            </w:pPr>
            <w:r>
              <w:rPr>
                <w:b/>
                <w:bCs/>
                <w:color w:val="FFFFFF"/>
                <w:sz w:val="19"/>
                <w:szCs w:val="19"/>
              </w:rPr>
              <w:t xml:space="preserve">Type</w:t>
            </w:r>
          </w:p>
        </w:tc>
        <w:tc>
          <w:tcPr>
            <w:tcW w:type="dxa" w:w="4500"/>
            <w:shd w:fill="1F3864" w:color="auto" w:val="clear"/>
            <w:tcMar>
              <w:top w:type="dxa" w:w="80"/>
              <w:left w:type="dxa" w:w="100"/>
              <w:bottom w:type="dxa" w:w="80"/>
              <w:right w:type="dxa" w:w="100"/>
            </w:tcMar>
            <w:vAlign w:val="center"/>
          </w:tcPr>
          <w:p>
            <w:pPr>
              <w:jc w:val="center"/>
            </w:pPr>
            <w:r>
              <w:rPr>
                <w:b/>
                <w:bCs/>
                <w:color w:val="FFFFFF"/>
                <w:sz w:val="19"/>
                <w:szCs w:val="19"/>
              </w:rPr>
              <w:t xml:space="preserve">Definition</w:t>
            </w:r>
          </w:p>
        </w:tc>
        <w:tc>
          <w:tcPr>
            <w:tcW w:type="dxa" w:w="1850"/>
            <w:shd w:fill="1F3864" w:color="auto" w:val="clear"/>
            <w:tcMar>
              <w:top w:type="dxa" w:w="80"/>
              <w:left w:type="dxa" w:w="100"/>
              <w:bottom w:type="dxa" w:w="80"/>
              <w:right w:type="dxa" w:w="100"/>
            </w:tcMar>
            <w:vAlign w:val="center"/>
          </w:tcPr>
          <w:p>
            <w:pPr>
              <w:jc w:val="center"/>
            </w:pPr>
            <w:r>
              <w:rPr>
                <w:b/>
                <w:bCs/>
                <w:color w:val="FFFFFF"/>
                <w:sz w:val="19"/>
                <w:szCs w:val="19"/>
              </w:rPr>
              <w:t xml:space="preserve">Example</w:t>
            </w:r>
          </w:p>
        </w:tc>
      </w:tr>
      <w:tr>
        <w:tc>
          <w:tcPr>
            <w:tcW w:type="dxa" w:w="3000"/>
            <w:shd w:fill="FFFFFF" w:color="auto" w:val="clear"/>
            <w:tcMar>
              <w:top w:type="dxa" w:w="70"/>
              <w:left w:type="dxa" w:w="100"/>
              <w:bottom w:type="dxa" w:w="70"/>
              <w:right w:type="dxa" w:w="100"/>
            </w:tcMar>
            <w:vAlign w:val="center"/>
          </w:tcPr>
          <w:p>
            <w:pPr>
              <w:jc w:val="center"/>
            </w:pPr>
            <w:r>
              <w:rPr>
                <w:color w:val="222222"/>
                <w:sz w:val="19"/>
                <w:szCs w:val="19"/>
              </w:rPr>
              <w:t xml:space="preserve">Qualitative (Categorical)</w:t>
            </w:r>
          </w:p>
        </w:tc>
        <w:tc>
          <w:tcPr>
            <w:tcW w:type="dxa" w:w="4500"/>
            <w:shd w:fill="FFFFFF" w:color="auto" w:val="clear"/>
            <w:tcMar>
              <w:top w:type="dxa" w:w="70"/>
              <w:left w:type="dxa" w:w="100"/>
              <w:bottom w:type="dxa" w:w="70"/>
              <w:right w:type="dxa" w:w="100"/>
            </w:tcMar>
            <w:vAlign w:val="center"/>
          </w:tcPr>
          <w:p>
            <w:pPr>
              <w:jc w:val="center"/>
            </w:pPr>
            <w:r>
              <w:rPr>
                <w:color w:val="222222"/>
                <w:sz w:val="19"/>
                <w:szCs w:val="19"/>
              </w:rPr>
              <w:t xml:space="preserve">Describes a quality/attribute; cannot be meaningfully averaged</w:t>
            </w:r>
          </w:p>
        </w:tc>
        <w:tc>
          <w:tcPr>
            <w:tcW w:type="dxa" w:w="1850"/>
            <w:shd w:fill="FFFFFF" w:color="auto" w:val="clear"/>
            <w:tcMar>
              <w:top w:type="dxa" w:w="70"/>
              <w:left w:type="dxa" w:w="100"/>
              <w:bottom w:type="dxa" w:w="70"/>
              <w:right w:type="dxa" w:w="100"/>
            </w:tcMar>
            <w:vAlign w:val="center"/>
          </w:tcPr>
          <w:p>
            <w:pPr>
              <w:jc w:val="center"/>
            </w:pPr>
            <w:r>
              <w:rPr>
                <w:color w:val="222222"/>
                <w:sz w:val="19"/>
                <w:szCs w:val="19"/>
              </w:rPr>
              <w:t xml:space="preserve">Gender, City, Product Category</w:t>
            </w:r>
          </w:p>
        </w:tc>
      </w:tr>
      <w:tr>
        <w:tc>
          <w:tcPr>
            <w:tcW w:type="dxa" w:w="3000"/>
            <w:shd w:fill="F2F5F7" w:color="auto" w:val="clear"/>
            <w:tcMar>
              <w:top w:type="dxa" w:w="70"/>
              <w:left w:type="dxa" w:w="100"/>
              <w:bottom w:type="dxa" w:w="70"/>
              <w:right w:type="dxa" w:w="100"/>
            </w:tcMar>
            <w:vAlign w:val="center"/>
          </w:tcPr>
          <w:p>
            <w:pPr>
              <w:jc w:val="center"/>
            </w:pPr>
            <w:r>
              <w:rPr>
                <w:color w:val="222222"/>
                <w:sz w:val="19"/>
                <w:szCs w:val="19"/>
              </w:rPr>
              <w:t xml:space="preserve">Quantitative (Numerical)</w:t>
            </w:r>
          </w:p>
        </w:tc>
        <w:tc>
          <w:tcPr>
            <w:tcW w:type="dxa" w:w="4500"/>
            <w:shd w:fill="F2F5F7" w:color="auto" w:val="clear"/>
            <w:tcMar>
              <w:top w:type="dxa" w:w="70"/>
              <w:left w:type="dxa" w:w="100"/>
              <w:bottom w:type="dxa" w:w="70"/>
              <w:right w:type="dxa" w:w="100"/>
            </w:tcMar>
            <w:vAlign w:val="center"/>
          </w:tcPr>
          <w:p>
            <w:pPr>
              <w:jc w:val="center"/>
            </w:pPr>
            <w:r>
              <w:rPr>
                <w:color w:val="222222"/>
                <w:sz w:val="19"/>
                <w:szCs w:val="19"/>
              </w:rPr>
              <w:t xml:space="preserve">Expressed as a number; supports arithmetic</w:t>
            </w:r>
          </w:p>
        </w:tc>
        <w:tc>
          <w:tcPr>
            <w:tcW w:type="dxa" w:w="1850"/>
            <w:shd w:fill="F2F5F7" w:color="auto" w:val="clear"/>
            <w:tcMar>
              <w:top w:type="dxa" w:w="70"/>
              <w:left w:type="dxa" w:w="100"/>
              <w:bottom w:type="dxa" w:w="70"/>
              <w:right w:type="dxa" w:w="100"/>
            </w:tcMar>
            <w:vAlign w:val="center"/>
          </w:tcPr>
          <w:p>
            <w:pPr>
              <w:jc w:val="center"/>
            </w:pPr>
            <w:r>
              <w:rPr>
                <w:color w:val="222222"/>
                <w:sz w:val="19"/>
                <w:szCs w:val="19"/>
              </w:rPr>
              <w:t xml:space="preserve">Revenue, Age, Units Sold</w:t>
            </w:r>
          </w:p>
        </w:tc>
      </w:tr>
    </w:tbl>
    <w:p>
      <w:pPr>
        <w:spacing w:after="120"/>
      </w:pPr>
    </w:p>
    <w:p>
      <w:pPr>
        <w:spacing w:after="100" w:before="200"/>
      </w:pPr>
      <w:r>
        <w:rPr>
          <w:b/>
          <w:bCs/>
          <w:color w:val="B8860B"/>
          <w:sz w:val="22"/>
          <w:szCs w:val="22"/>
        </w:rPr>
        <w:t xml:space="preserve">Quantitative sub-types</w:t>
      </w:r>
    </w:p>
    <w:p>
      <w:pPr>
        <w:pStyle w:val="ListParagraph"/>
        <w:numPr>
          <w:ilvl w:val="0"/>
          <w:numId w:val="2"/>
        </w:numPr>
        <w:spacing w:after="60"/>
      </w:pPr>
      <w:r>
        <w:rPr>
          <w:color w:val="222222"/>
          <w:sz w:val="21"/>
          <w:szCs w:val="21"/>
        </w:rPr>
        <w:t xml:space="preserve">Discrete — countable, whole-number values (number of employees, number of orders)</w:t>
      </w:r>
    </w:p>
    <w:p>
      <w:pPr>
        <w:pStyle w:val="ListParagraph"/>
        <w:numPr>
          <w:ilvl w:val="0"/>
          <w:numId w:val="2"/>
        </w:numPr>
        <w:spacing w:after="60"/>
      </w:pPr>
      <w:r>
        <w:rPr>
          <w:color w:val="222222"/>
          <w:sz w:val="21"/>
          <w:szCs w:val="21"/>
        </w:rPr>
        <w:t xml:space="preserve">Continuous — can take any value in a range (height, weight, revenue in ₹)</w:t>
      </w:r>
    </w:p>
    <w:p>
      <w:pPr>
        <w:spacing w:after="120"/>
      </w:pPr>
    </w:p>
    <w:p>
      <w:pPr>
        <w:spacing w:after="100" w:before="200"/>
      </w:pPr>
      <w:r>
        <w:rPr>
          <w:b/>
          <w:bCs/>
          <w:color w:val="B8860B"/>
          <w:sz w:val="22"/>
          <w:szCs w:val="22"/>
        </w:rPr>
        <w:t xml:space="preserve">Levels of Measurement (Stevens' scale — the international standard)</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600"/>
        <w:gridCol w:w="2300"/>
        <w:gridCol w:w="2900"/>
        <w:gridCol w:w="2550"/>
      </w:tblGrid>
      <w:tr>
        <w:trPr>
          <w:tblHeader/>
        </w:trPr>
        <w:tc>
          <w:tcPr>
            <w:tcW w:type="dxa" w:w="1600"/>
            <w:shd w:fill="1F3864" w:color="auto" w:val="clear"/>
            <w:tcMar>
              <w:top w:type="dxa" w:w="80"/>
              <w:left w:type="dxa" w:w="100"/>
              <w:bottom w:type="dxa" w:w="80"/>
              <w:right w:type="dxa" w:w="100"/>
            </w:tcMar>
            <w:vAlign w:val="center"/>
          </w:tcPr>
          <w:p>
            <w:pPr>
              <w:jc w:val="center"/>
            </w:pPr>
            <w:r>
              <w:rPr>
                <w:b/>
                <w:bCs/>
                <w:color w:val="FFFFFF"/>
                <w:sz w:val="19"/>
                <w:szCs w:val="19"/>
              </w:rPr>
              <w:t xml:space="preserve">Scale</w:t>
            </w:r>
          </w:p>
        </w:tc>
        <w:tc>
          <w:tcPr>
            <w:tcW w:type="dxa" w:w="2300"/>
            <w:shd w:fill="1F3864" w:color="auto" w:val="clear"/>
            <w:tcMar>
              <w:top w:type="dxa" w:w="80"/>
              <w:left w:type="dxa" w:w="100"/>
              <w:bottom w:type="dxa" w:w="80"/>
              <w:right w:type="dxa" w:w="100"/>
            </w:tcMar>
            <w:vAlign w:val="center"/>
          </w:tcPr>
          <w:p>
            <w:pPr>
              <w:jc w:val="center"/>
            </w:pPr>
            <w:r>
              <w:rPr>
                <w:b/>
                <w:bCs/>
                <w:color w:val="FFFFFF"/>
                <w:sz w:val="19"/>
                <w:szCs w:val="19"/>
              </w:rPr>
              <w:t xml:space="preserve">Property</w:t>
            </w:r>
          </w:p>
        </w:tc>
        <w:tc>
          <w:tcPr>
            <w:tcW w:type="dxa" w:w="2900"/>
            <w:shd w:fill="1F3864" w:color="auto" w:val="clear"/>
            <w:tcMar>
              <w:top w:type="dxa" w:w="80"/>
              <w:left w:type="dxa" w:w="100"/>
              <w:bottom w:type="dxa" w:w="80"/>
              <w:right w:type="dxa" w:w="100"/>
            </w:tcMar>
            <w:vAlign w:val="center"/>
          </w:tcPr>
          <w:p>
            <w:pPr>
              <w:jc w:val="center"/>
            </w:pPr>
            <w:r>
              <w:rPr>
                <w:b/>
                <w:bCs/>
                <w:color w:val="FFFFFF"/>
                <w:sz w:val="19"/>
                <w:szCs w:val="19"/>
              </w:rPr>
              <w:t xml:space="preserve">Example</w:t>
            </w:r>
          </w:p>
        </w:tc>
        <w:tc>
          <w:tcPr>
            <w:tcW w:type="dxa" w:w="2550"/>
            <w:shd w:fill="1F3864" w:color="auto" w:val="clear"/>
            <w:tcMar>
              <w:top w:type="dxa" w:w="80"/>
              <w:left w:type="dxa" w:w="100"/>
              <w:bottom w:type="dxa" w:w="80"/>
              <w:right w:type="dxa" w:w="100"/>
            </w:tcMar>
            <w:vAlign w:val="center"/>
          </w:tcPr>
          <w:p>
            <w:pPr>
              <w:jc w:val="center"/>
            </w:pPr>
            <w:r>
              <w:rPr>
                <w:b/>
                <w:bCs/>
                <w:color w:val="FFFFFF"/>
                <w:sz w:val="19"/>
                <w:szCs w:val="19"/>
              </w:rPr>
              <w:t xml:space="preserve">Valid Operations</w:t>
            </w:r>
          </w:p>
        </w:tc>
      </w:tr>
      <w:tr>
        <w:tc>
          <w:tcPr>
            <w:tcW w:type="dxa" w:w="1600"/>
            <w:shd w:fill="FFFFFF" w:color="auto" w:val="clear"/>
            <w:tcMar>
              <w:top w:type="dxa" w:w="70"/>
              <w:left w:type="dxa" w:w="100"/>
              <w:bottom w:type="dxa" w:w="70"/>
              <w:right w:type="dxa" w:w="100"/>
            </w:tcMar>
            <w:vAlign w:val="center"/>
          </w:tcPr>
          <w:p>
            <w:pPr>
              <w:jc w:val="center"/>
            </w:pPr>
            <w:r>
              <w:rPr>
                <w:color w:val="222222"/>
                <w:sz w:val="19"/>
                <w:szCs w:val="19"/>
              </w:rPr>
              <w:t xml:space="preserve">Nominal</w:t>
            </w:r>
          </w:p>
        </w:tc>
        <w:tc>
          <w:tcPr>
            <w:tcW w:type="dxa" w:w="2300"/>
            <w:shd w:fill="FFFFFF" w:color="auto" w:val="clear"/>
            <w:tcMar>
              <w:top w:type="dxa" w:w="70"/>
              <w:left w:type="dxa" w:w="100"/>
              <w:bottom w:type="dxa" w:w="70"/>
              <w:right w:type="dxa" w:w="100"/>
            </w:tcMar>
            <w:vAlign w:val="center"/>
          </w:tcPr>
          <w:p>
            <w:pPr>
              <w:jc w:val="center"/>
            </w:pPr>
            <w:r>
              <w:rPr>
                <w:color w:val="222222"/>
                <w:sz w:val="19"/>
                <w:szCs w:val="19"/>
              </w:rPr>
              <w:t xml:space="preserve">Labels only, no order</w:t>
            </w:r>
          </w:p>
        </w:tc>
        <w:tc>
          <w:tcPr>
            <w:tcW w:type="dxa" w:w="2900"/>
            <w:shd w:fill="FFFFFF" w:color="auto" w:val="clear"/>
            <w:tcMar>
              <w:top w:type="dxa" w:w="70"/>
              <w:left w:type="dxa" w:w="100"/>
              <w:bottom w:type="dxa" w:w="70"/>
              <w:right w:type="dxa" w:w="100"/>
            </w:tcMar>
            <w:vAlign w:val="center"/>
          </w:tcPr>
          <w:p>
            <w:pPr>
              <w:jc w:val="center"/>
            </w:pPr>
            <w:r>
              <w:rPr>
                <w:color w:val="222222"/>
                <w:sz w:val="19"/>
                <w:szCs w:val="19"/>
              </w:rPr>
              <w:t xml:space="preserve">Blood group, Brand name</w:t>
            </w:r>
          </w:p>
        </w:tc>
        <w:tc>
          <w:tcPr>
            <w:tcW w:type="dxa" w:w="2550"/>
            <w:shd w:fill="FFFFFF" w:color="auto" w:val="clear"/>
            <w:tcMar>
              <w:top w:type="dxa" w:w="70"/>
              <w:left w:type="dxa" w:w="100"/>
              <w:bottom w:type="dxa" w:w="70"/>
              <w:right w:type="dxa" w:w="100"/>
            </w:tcMar>
            <w:vAlign w:val="center"/>
          </w:tcPr>
          <w:p>
            <w:pPr>
              <w:jc w:val="center"/>
            </w:pPr>
            <w:r>
              <w:rPr>
                <w:color w:val="222222"/>
                <w:sz w:val="19"/>
                <w:szCs w:val="19"/>
              </w:rPr>
              <w:t xml:space="preserve">Count, Mode</w:t>
            </w:r>
          </w:p>
        </w:tc>
      </w:tr>
      <w:tr>
        <w:tc>
          <w:tcPr>
            <w:tcW w:type="dxa" w:w="1600"/>
            <w:shd w:fill="F2F5F7" w:color="auto" w:val="clear"/>
            <w:tcMar>
              <w:top w:type="dxa" w:w="70"/>
              <w:left w:type="dxa" w:w="100"/>
              <w:bottom w:type="dxa" w:w="70"/>
              <w:right w:type="dxa" w:w="100"/>
            </w:tcMar>
            <w:vAlign w:val="center"/>
          </w:tcPr>
          <w:p>
            <w:pPr>
              <w:jc w:val="center"/>
            </w:pPr>
            <w:r>
              <w:rPr>
                <w:color w:val="222222"/>
                <w:sz w:val="19"/>
                <w:szCs w:val="19"/>
              </w:rPr>
              <w:t xml:space="preserve">Ordinal</w:t>
            </w:r>
          </w:p>
        </w:tc>
        <w:tc>
          <w:tcPr>
            <w:tcW w:type="dxa" w:w="2300"/>
            <w:shd w:fill="F2F5F7" w:color="auto" w:val="clear"/>
            <w:tcMar>
              <w:top w:type="dxa" w:w="70"/>
              <w:left w:type="dxa" w:w="100"/>
              <w:bottom w:type="dxa" w:w="70"/>
              <w:right w:type="dxa" w:w="100"/>
            </w:tcMar>
            <w:vAlign w:val="center"/>
          </w:tcPr>
          <w:p>
            <w:pPr>
              <w:jc w:val="center"/>
            </w:pPr>
            <w:r>
              <w:rPr>
                <w:color w:val="222222"/>
                <w:sz w:val="19"/>
                <w:szCs w:val="19"/>
              </w:rPr>
              <w:t xml:space="preserve">Ordered, gaps not equal</w:t>
            </w:r>
          </w:p>
        </w:tc>
        <w:tc>
          <w:tcPr>
            <w:tcW w:type="dxa" w:w="2900"/>
            <w:shd w:fill="F2F5F7" w:color="auto" w:val="clear"/>
            <w:tcMar>
              <w:top w:type="dxa" w:w="70"/>
              <w:left w:type="dxa" w:w="100"/>
              <w:bottom w:type="dxa" w:w="70"/>
              <w:right w:type="dxa" w:w="100"/>
            </w:tcMar>
            <w:vAlign w:val="center"/>
          </w:tcPr>
          <w:p>
            <w:pPr>
              <w:jc w:val="center"/>
            </w:pPr>
            <w:r>
              <w:rPr>
                <w:color w:val="222222"/>
                <w:sz w:val="19"/>
                <w:szCs w:val="19"/>
              </w:rPr>
              <w:t xml:space="preserve">Customer satisfaction (Low/Med/High)</w:t>
            </w:r>
          </w:p>
        </w:tc>
        <w:tc>
          <w:tcPr>
            <w:tcW w:type="dxa" w:w="2550"/>
            <w:shd w:fill="F2F5F7" w:color="auto" w:val="clear"/>
            <w:tcMar>
              <w:top w:type="dxa" w:w="70"/>
              <w:left w:type="dxa" w:w="100"/>
              <w:bottom w:type="dxa" w:w="70"/>
              <w:right w:type="dxa" w:w="100"/>
            </w:tcMar>
            <w:vAlign w:val="center"/>
          </w:tcPr>
          <w:p>
            <w:pPr>
              <w:jc w:val="center"/>
            </w:pPr>
            <w:r>
              <w:rPr>
                <w:color w:val="222222"/>
                <w:sz w:val="19"/>
                <w:szCs w:val="19"/>
              </w:rPr>
              <w:t xml:space="preserve">Median, Mode, ranking</w:t>
            </w:r>
          </w:p>
        </w:tc>
      </w:tr>
      <w:tr>
        <w:tc>
          <w:tcPr>
            <w:tcW w:type="dxa" w:w="1600"/>
            <w:shd w:fill="FFFFFF" w:color="auto" w:val="clear"/>
            <w:tcMar>
              <w:top w:type="dxa" w:w="70"/>
              <w:left w:type="dxa" w:w="100"/>
              <w:bottom w:type="dxa" w:w="70"/>
              <w:right w:type="dxa" w:w="100"/>
            </w:tcMar>
            <w:vAlign w:val="center"/>
          </w:tcPr>
          <w:p>
            <w:pPr>
              <w:jc w:val="center"/>
            </w:pPr>
            <w:r>
              <w:rPr>
                <w:color w:val="222222"/>
                <w:sz w:val="19"/>
                <w:szCs w:val="19"/>
              </w:rPr>
              <w:t xml:space="preserve">Interval</w:t>
            </w:r>
          </w:p>
        </w:tc>
        <w:tc>
          <w:tcPr>
            <w:tcW w:type="dxa" w:w="2300"/>
            <w:shd w:fill="FFFFFF" w:color="auto" w:val="clear"/>
            <w:tcMar>
              <w:top w:type="dxa" w:w="70"/>
              <w:left w:type="dxa" w:w="100"/>
              <w:bottom w:type="dxa" w:w="70"/>
              <w:right w:type="dxa" w:w="100"/>
            </w:tcMar>
            <w:vAlign w:val="center"/>
          </w:tcPr>
          <w:p>
            <w:pPr>
              <w:jc w:val="center"/>
            </w:pPr>
            <w:r>
              <w:rPr>
                <w:color w:val="222222"/>
                <w:sz w:val="19"/>
                <w:szCs w:val="19"/>
              </w:rPr>
              <w:t xml:space="preserve">Ordered, equal gaps, no true zero</w:t>
            </w:r>
          </w:p>
        </w:tc>
        <w:tc>
          <w:tcPr>
            <w:tcW w:type="dxa" w:w="2900"/>
            <w:shd w:fill="FFFFFF" w:color="auto" w:val="clear"/>
            <w:tcMar>
              <w:top w:type="dxa" w:w="70"/>
              <w:left w:type="dxa" w:w="100"/>
              <w:bottom w:type="dxa" w:w="70"/>
              <w:right w:type="dxa" w:w="100"/>
            </w:tcMar>
            <w:vAlign w:val="center"/>
          </w:tcPr>
          <w:p>
            <w:pPr>
              <w:jc w:val="center"/>
            </w:pPr>
            <w:r>
              <w:rPr>
                <w:color w:val="222222"/>
                <w:sz w:val="19"/>
                <w:szCs w:val="19"/>
              </w:rPr>
              <w:t xml:space="preserve">Temperature (°C), Year</w:t>
            </w:r>
          </w:p>
        </w:tc>
        <w:tc>
          <w:tcPr>
            <w:tcW w:type="dxa" w:w="2550"/>
            <w:shd w:fill="FFFFFF" w:color="auto" w:val="clear"/>
            <w:tcMar>
              <w:top w:type="dxa" w:w="70"/>
              <w:left w:type="dxa" w:w="100"/>
              <w:bottom w:type="dxa" w:w="70"/>
              <w:right w:type="dxa" w:w="100"/>
            </w:tcMar>
            <w:vAlign w:val="center"/>
          </w:tcPr>
          <w:p>
            <w:pPr>
              <w:jc w:val="center"/>
            </w:pPr>
            <w:r>
              <w:rPr>
                <w:color w:val="222222"/>
                <w:sz w:val="19"/>
                <w:szCs w:val="19"/>
              </w:rPr>
              <w:t xml:space="preserve">Mean, +/-</w:t>
            </w:r>
          </w:p>
        </w:tc>
      </w:tr>
      <w:tr>
        <w:tc>
          <w:tcPr>
            <w:tcW w:type="dxa" w:w="1600"/>
            <w:shd w:fill="F2F5F7" w:color="auto" w:val="clear"/>
            <w:tcMar>
              <w:top w:type="dxa" w:w="70"/>
              <w:left w:type="dxa" w:w="100"/>
              <w:bottom w:type="dxa" w:w="70"/>
              <w:right w:type="dxa" w:w="100"/>
            </w:tcMar>
            <w:vAlign w:val="center"/>
          </w:tcPr>
          <w:p>
            <w:pPr>
              <w:jc w:val="center"/>
            </w:pPr>
            <w:r>
              <w:rPr>
                <w:color w:val="222222"/>
                <w:sz w:val="19"/>
                <w:szCs w:val="19"/>
              </w:rPr>
              <w:t xml:space="preserve">Ratio</w:t>
            </w:r>
          </w:p>
        </w:tc>
        <w:tc>
          <w:tcPr>
            <w:tcW w:type="dxa" w:w="2300"/>
            <w:shd w:fill="F2F5F7" w:color="auto" w:val="clear"/>
            <w:tcMar>
              <w:top w:type="dxa" w:w="70"/>
              <w:left w:type="dxa" w:w="100"/>
              <w:bottom w:type="dxa" w:w="70"/>
              <w:right w:type="dxa" w:w="100"/>
            </w:tcMar>
            <w:vAlign w:val="center"/>
          </w:tcPr>
          <w:p>
            <w:pPr>
              <w:jc w:val="center"/>
            </w:pPr>
            <w:r>
              <w:rPr>
                <w:color w:val="222222"/>
                <w:sz w:val="19"/>
                <w:szCs w:val="19"/>
              </w:rPr>
              <w:t xml:space="preserve">Ordered, equal gaps, true zero</w:t>
            </w:r>
          </w:p>
        </w:tc>
        <w:tc>
          <w:tcPr>
            <w:tcW w:type="dxa" w:w="2900"/>
            <w:shd w:fill="F2F5F7" w:color="auto" w:val="clear"/>
            <w:tcMar>
              <w:top w:type="dxa" w:w="70"/>
              <w:left w:type="dxa" w:w="100"/>
              <w:bottom w:type="dxa" w:w="70"/>
              <w:right w:type="dxa" w:w="100"/>
            </w:tcMar>
            <w:vAlign w:val="center"/>
          </w:tcPr>
          <w:p>
            <w:pPr>
              <w:jc w:val="center"/>
            </w:pPr>
            <w:r>
              <w:rPr>
                <w:color w:val="222222"/>
                <w:sz w:val="19"/>
                <w:szCs w:val="19"/>
              </w:rPr>
              <w:t xml:space="preserve">Sales revenue, Age, Weight</w:t>
            </w:r>
          </w:p>
        </w:tc>
        <w:tc>
          <w:tcPr>
            <w:tcW w:type="dxa" w:w="2550"/>
            <w:shd w:fill="F2F5F7" w:color="auto" w:val="clear"/>
            <w:tcMar>
              <w:top w:type="dxa" w:w="70"/>
              <w:left w:type="dxa" w:w="100"/>
              <w:bottom w:type="dxa" w:w="70"/>
              <w:right w:type="dxa" w:w="100"/>
            </w:tcMar>
            <w:vAlign w:val="center"/>
          </w:tcPr>
          <w:p>
            <w:pPr>
              <w:jc w:val="center"/>
            </w:pPr>
            <w:r>
              <w:rPr>
                <w:color w:val="222222"/>
                <w:sz w:val="19"/>
                <w:szCs w:val="19"/>
              </w:rPr>
              <w:t xml:space="preserve">Mean, ratios, all operations</w:t>
            </w:r>
          </w:p>
        </w:tc>
      </w:tr>
    </w:tbl>
    <w:p>
      <w:pPr>
        <w:spacing w:after="120"/>
      </w:pP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The scale of measurement decides which statistical test you are even allowed to run later — e.g., you cannot compute a 'mean' city name (nominal), but you can for revenue (ratio). This exact rule resurfaces when you choose between a Chi-square test, ANOVA, or regression in Research Methodology.</w:t>
            </w:r>
          </w:p>
        </w:tc>
      </w:tr>
    </w:tbl>
    <w:p>
      <w:pPr>
        <w:pStyle w:val="Heading2"/>
        <w:spacing w:after="140" w:before="320"/>
      </w:pPr>
      <w:r>
        <w:rPr>
          <w:b/>
          <w:bCs/>
          <w:color w:val="0F766E"/>
          <w:sz w:val="25"/>
          <w:szCs w:val="25"/>
        </w:rPr>
        <w:t xml:space="preserve">1.4 Univariate and Bivariate Data</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100"/>
        <w:gridCol w:w="3400"/>
        <w:gridCol w:w="2700"/>
        <w:gridCol w:w="1150"/>
      </w:tblGrid>
      <w:tr>
        <w:trPr>
          <w:tblHeader/>
        </w:trPr>
        <w:tc>
          <w:tcPr>
            <w:tcW w:type="dxa" w:w="2100"/>
            <w:shd w:fill="1F3864" w:color="auto" w:val="clear"/>
            <w:tcMar>
              <w:top w:type="dxa" w:w="80"/>
              <w:left w:type="dxa" w:w="100"/>
              <w:bottom w:type="dxa" w:w="80"/>
              <w:right w:type="dxa" w:w="100"/>
            </w:tcMar>
            <w:vAlign w:val="center"/>
          </w:tcPr>
          <w:p>
            <w:pPr>
              <w:jc w:val="center"/>
            </w:pPr>
            <w:r>
              <w:rPr>
                <w:b/>
                <w:bCs/>
                <w:color w:val="FFFFFF"/>
                <w:sz w:val="19"/>
                <w:szCs w:val="19"/>
              </w:rPr>
              <w:t xml:space="preserve">Type</w:t>
            </w:r>
          </w:p>
        </w:tc>
        <w:tc>
          <w:tcPr>
            <w:tcW w:type="dxa" w:w="3400"/>
            <w:shd w:fill="1F3864" w:color="auto" w:val="clear"/>
            <w:tcMar>
              <w:top w:type="dxa" w:w="80"/>
              <w:left w:type="dxa" w:w="100"/>
              <w:bottom w:type="dxa" w:w="80"/>
              <w:right w:type="dxa" w:w="100"/>
            </w:tcMar>
            <w:vAlign w:val="center"/>
          </w:tcPr>
          <w:p>
            <w:pPr>
              <w:jc w:val="center"/>
            </w:pPr>
            <w:r>
              <w:rPr>
                <w:b/>
                <w:bCs/>
                <w:color w:val="FFFFFF"/>
                <w:sz w:val="19"/>
                <w:szCs w:val="19"/>
              </w:rPr>
              <w:t xml:space="preserve">Meaning</w:t>
            </w:r>
          </w:p>
        </w:tc>
        <w:tc>
          <w:tcPr>
            <w:tcW w:type="dxa" w:w="2700"/>
            <w:shd w:fill="1F3864" w:color="auto" w:val="clear"/>
            <w:tcMar>
              <w:top w:type="dxa" w:w="80"/>
              <w:left w:type="dxa" w:w="100"/>
              <w:bottom w:type="dxa" w:w="80"/>
              <w:right w:type="dxa" w:w="100"/>
            </w:tcMar>
            <w:vAlign w:val="center"/>
          </w:tcPr>
          <w:p>
            <w:pPr>
              <w:jc w:val="center"/>
            </w:pPr>
            <w:r>
              <w:rPr>
                <w:b/>
                <w:bCs/>
                <w:color w:val="FFFFFF"/>
                <w:sz w:val="19"/>
                <w:szCs w:val="19"/>
              </w:rPr>
              <w:t xml:space="preserve">Tools Used</w:t>
            </w:r>
          </w:p>
        </w:tc>
        <w:tc>
          <w:tcPr>
            <w:tcW w:type="dxa" w:w="1150"/>
            <w:shd w:fill="1F3864" w:color="auto" w:val="clear"/>
            <w:tcMar>
              <w:top w:type="dxa" w:w="80"/>
              <w:left w:type="dxa" w:w="100"/>
              <w:bottom w:type="dxa" w:w="80"/>
              <w:right w:type="dxa" w:w="100"/>
            </w:tcMar>
            <w:vAlign w:val="center"/>
          </w:tcPr>
          <w:p>
            <w:pPr>
              <w:jc w:val="center"/>
            </w:pPr>
            <w:r>
              <w:rPr>
                <w:b/>
                <w:bCs/>
                <w:color w:val="FFFFFF"/>
                <w:sz w:val="19"/>
                <w:szCs w:val="19"/>
              </w:rPr>
              <w:t xml:space="preserve">Example</w:t>
            </w:r>
          </w:p>
        </w:tc>
      </w:tr>
      <w:tr>
        <w:tc>
          <w:tcPr>
            <w:tcW w:type="dxa" w:w="2100"/>
            <w:shd w:fill="FFFFFF" w:color="auto" w:val="clear"/>
            <w:tcMar>
              <w:top w:type="dxa" w:w="70"/>
              <w:left w:type="dxa" w:w="100"/>
              <w:bottom w:type="dxa" w:w="70"/>
              <w:right w:type="dxa" w:w="100"/>
            </w:tcMar>
            <w:vAlign w:val="center"/>
          </w:tcPr>
          <w:p>
            <w:pPr>
              <w:jc w:val="center"/>
            </w:pPr>
            <w:r>
              <w:rPr>
                <w:color w:val="222222"/>
                <w:sz w:val="19"/>
                <w:szCs w:val="19"/>
              </w:rPr>
              <w:t xml:space="preserve">Univariate</w:t>
            </w:r>
          </w:p>
        </w:tc>
        <w:tc>
          <w:tcPr>
            <w:tcW w:type="dxa" w:w="3400"/>
            <w:shd w:fill="FFFFFF" w:color="auto" w:val="clear"/>
            <w:tcMar>
              <w:top w:type="dxa" w:w="70"/>
              <w:left w:type="dxa" w:w="100"/>
              <w:bottom w:type="dxa" w:w="70"/>
              <w:right w:type="dxa" w:w="100"/>
            </w:tcMar>
            <w:vAlign w:val="center"/>
          </w:tcPr>
          <w:p>
            <w:pPr>
              <w:jc w:val="center"/>
            </w:pPr>
            <w:r>
              <w:rPr>
                <w:color w:val="222222"/>
                <w:sz w:val="19"/>
                <w:szCs w:val="19"/>
              </w:rPr>
              <w:t xml:space="preserve">One variable studied at a time</w:t>
            </w:r>
          </w:p>
        </w:tc>
        <w:tc>
          <w:tcPr>
            <w:tcW w:type="dxa" w:w="2700"/>
            <w:shd w:fill="FFFFFF" w:color="auto" w:val="clear"/>
            <w:tcMar>
              <w:top w:type="dxa" w:w="70"/>
              <w:left w:type="dxa" w:w="100"/>
              <w:bottom w:type="dxa" w:w="70"/>
              <w:right w:type="dxa" w:w="100"/>
            </w:tcMar>
            <w:vAlign w:val="center"/>
          </w:tcPr>
          <w:p>
            <w:pPr>
              <w:jc w:val="center"/>
            </w:pPr>
            <w:r>
              <w:rPr>
                <w:color w:val="222222"/>
                <w:sz w:val="19"/>
                <w:szCs w:val="19"/>
              </w:rPr>
              <w:t xml:space="preserve">Mean, median, mode, std. dev, bar chart</w:t>
            </w:r>
          </w:p>
        </w:tc>
        <w:tc>
          <w:tcPr>
            <w:tcW w:type="dxa" w:w="1150"/>
            <w:shd w:fill="FFFFFF" w:color="auto" w:val="clear"/>
            <w:tcMar>
              <w:top w:type="dxa" w:w="70"/>
              <w:left w:type="dxa" w:w="100"/>
              <w:bottom w:type="dxa" w:w="70"/>
              <w:right w:type="dxa" w:w="100"/>
            </w:tcMar>
            <w:vAlign w:val="center"/>
          </w:tcPr>
          <w:p>
            <w:pPr>
              <w:jc w:val="center"/>
            </w:pPr>
            <w:r>
              <w:rPr>
                <w:color w:val="222222"/>
                <w:sz w:val="19"/>
                <w:szCs w:val="19"/>
              </w:rPr>
              <w:t xml:space="preserve">Monthly sales figures alone</w:t>
            </w:r>
          </w:p>
        </w:tc>
      </w:tr>
      <w:tr>
        <w:tc>
          <w:tcPr>
            <w:tcW w:type="dxa" w:w="2100"/>
            <w:shd w:fill="F2F5F7" w:color="auto" w:val="clear"/>
            <w:tcMar>
              <w:top w:type="dxa" w:w="70"/>
              <w:left w:type="dxa" w:w="100"/>
              <w:bottom w:type="dxa" w:w="70"/>
              <w:right w:type="dxa" w:w="100"/>
            </w:tcMar>
            <w:vAlign w:val="center"/>
          </w:tcPr>
          <w:p>
            <w:pPr>
              <w:jc w:val="center"/>
            </w:pPr>
            <w:r>
              <w:rPr>
                <w:color w:val="222222"/>
                <w:sz w:val="19"/>
                <w:szCs w:val="19"/>
              </w:rPr>
              <w:t xml:space="preserve">Bivariate</w:t>
            </w:r>
          </w:p>
        </w:tc>
        <w:tc>
          <w:tcPr>
            <w:tcW w:type="dxa" w:w="3400"/>
            <w:shd w:fill="F2F5F7" w:color="auto" w:val="clear"/>
            <w:tcMar>
              <w:top w:type="dxa" w:w="70"/>
              <w:left w:type="dxa" w:w="100"/>
              <w:bottom w:type="dxa" w:w="70"/>
              <w:right w:type="dxa" w:w="100"/>
            </w:tcMar>
            <w:vAlign w:val="center"/>
          </w:tcPr>
          <w:p>
            <w:pPr>
              <w:jc w:val="center"/>
            </w:pPr>
            <w:r>
              <w:rPr>
                <w:color w:val="222222"/>
                <w:sz w:val="19"/>
                <w:szCs w:val="19"/>
              </w:rPr>
              <w:t xml:space="preserve">Two variables studied together, for relationship</w:t>
            </w:r>
          </w:p>
        </w:tc>
        <w:tc>
          <w:tcPr>
            <w:tcW w:type="dxa" w:w="2700"/>
            <w:shd w:fill="F2F5F7" w:color="auto" w:val="clear"/>
            <w:tcMar>
              <w:top w:type="dxa" w:w="70"/>
              <w:left w:type="dxa" w:w="100"/>
              <w:bottom w:type="dxa" w:w="70"/>
              <w:right w:type="dxa" w:w="100"/>
            </w:tcMar>
            <w:vAlign w:val="center"/>
          </w:tcPr>
          <w:p>
            <w:pPr>
              <w:jc w:val="center"/>
            </w:pPr>
            <w:r>
              <w:rPr>
                <w:color w:val="222222"/>
                <w:sz w:val="19"/>
                <w:szCs w:val="19"/>
              </w:rPr>
              <w:t xml:space="preserve">Scatter plot, correlation, regression</w:t>
            </w:r>
          </w:p>
        </w:tc>
        <w:tc>
          <w:tcPr>
            <w:tcW w:type="dxa" w:w="1150"/>
            <w:shd w:fill="F2F5F7" w:color="auto" w:val="clear"/>
            <w:tcMar>
              <w:top w:type="dxa" w:w="70"/>
              <w:left w:type="dxa" w:w="100"/>
              <w:bottom w:type="dxa" w:w="70"/>
              <w:right w:type="dxa" w:w="100"/>
            </w:tcMar>
            <w:vAlign w:val="center"/>
          </w:tcPr>
          <w:p>
            <w:pPr>
              <w:jc w:val="center"/>
            </w:pPr>
            <w:r>
              <w:rPr>
                <w:color w:val="222222"/>
                <w:sz w:val="19"/>
                <w:szCs w:val="19"/>
              </w:rPr>
              <w:t xml:space="preserve">Advertising spend vs. Sales</w:t>
            </w:r>
          </w:p>
        </w:tc>
      </w:tr>
    </w:tbl>
    <w:p>
      <w:pPr>
        <w:spacing w:after="120"/>
      </w:pP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Bivariate analysis is the doorway to Simple Linear Regression, which you'll formally build in Business Analytics/Econometrics to predict sales, demand, or price sensitivity.</w:t>
            </w:r>
          </w:p>
        </w:tc>
      </w:tr>
    </w:tbl>
    <w:p>
      <w:pPr>
        <w:pStyle w:val="Heading2"/>
        <w:spacing w:after="140" w:before="320"/>
      </w:pPr>
      <w:r>
        <w:rPr>
          <w:b/>
          <w:bCs/>
          <w:color w:val="0F766E"/>
          <w:sz w:val="25"/>
          <w:szCs w:val="25"/>
        </w:rPr>
        <w:t xml:space="preserve">1.5 Statistical Data Analysis — The Process</w:t>
      </w:r>
    </w:p>
    <w:p>
      <w:pPr>
        <w:pStyle w:val="ListParagraph"/>
        <w:numPr>
          <w:ilvl w:val="0"/>
          <w:numId w:val="2"/>
        </w:numPr>
        <w:spacing w:after="60"/>
      </w:pPr>
      <w:r>
        <w:rPr>
          <w:color w:val="222222"/>
          <w:sz w:val="21"/>
          <w:szCs w:val="21"/>
        </w:rPr>
        <w:t xml:space="preserve">1. Define the objective / business question</w:t>
      </w:r>
    </w:p>
    <w:p>
      <w:pPr>
        <w:pStyle w:val="ListParagraph"/>
        <w:numPr>
          <w:ilvl w:val="0"/>
          <w:numId w:val="2"/>
        </w:numPr>
        <w:spacing w:after="60"/>
      </w:pPr>
      <w:r>
        <w:rPr>
          <w:color w:val="222222"/>
          <w:sz w:val="21"/>
          <w:szCs w:val="21"/>
        </w:rPr>
        <w:t xml:space="preserve">2. Collect data (primary or secondary)</w:t>
      </w:r>
    </w:p>
    <w:p>
      <w:pPr>
        <w:pStyle w:val="ListParagraph"/>
        <w:numPr>
          <w:ilvl w:val="0"/>
          <w:numId w:val="2"/>
        </w:numPr>
        <w:spacing w:after="60"/>
      </w:pPr>
      <w:r>
        <w:rPr>
          <w:color w:val="222222"/>
          <w:sz w:val="21"/>
          <w:szCs w:val="21"/>
        </w:rPr>
        <w:t xml:space="preserve">3. Prepare / clean data (handle missing values, outliers, formatting)</w:t>
      </w:r>
    </w:p>
    <w:p>
      <w:pPr>
        <w:pStyle w:val="ListParagraph"/>
        <w:numPr>
          <w:ilvl w:val="0"/>
          <w:numId w:val="2"/>
        </w:numPr>
        <w:spacing w:after="60"/>
      </w:pPr>
      <w:r>
        <w:rPr>
          <w:color w:val="222222"/>
          <w:sz w:val="21"/>
          <w:szCs w:val="21"/>
        </w:rPr>
        <w:t xml:space="preserve">4. Analyze (descriptive, then inferential if needed)</w:t>
      </w:r>
    </w:p>
    <w:p>
      <w:pPr>
        <w:pStyle w:val="ListParagraph"/>
        <w:numPr>
          <w:ilvl w:val="0"/>
          <w:numId w:val="2"/>
        </w:numPr>
        <w:spacing w:after="60"/>
      </w:pPr>
      <w:r>
        <w:rPr>
          <w:color w:val="222222"/>
          <w:sz w:val="21"/>
          <w:szCs w:val="21"/>
        </w:rPr>
        <w:t xml:space="preserve">5. Interpret and present (charts, dashboards, reports)</w:t>
      </w:r>
    </w:p>
    <w:p>
      <w:pPr>
        <w:pStyle w:val="ListParagraph"/>
        <w:numPr>
          <w:ilvl w:val="0"/>
          <w:numId w:val="2"/>
        </w:numPr>
        <w:spacing w:after="60"/>
      </w:pPr>
      <w:r>
        <w:rPr>
          <w:color w:val="222222"/>
          <w:sz w:val="21"/>
          <w:szCs w:val="21"/>
        </w:rPr>
        <w:t xml:space="preserve">6. Decide and act</w:t>
      </w:r>
    </w:p>
    <w:p>
      <w:pPr>
        <w:pStyle w:val="Heading2"/>
        <w:spacing w:after="140" w:before="320"/>
      </w:pPr>
      <w:r>
        <w:rPr>
          <w:b/>
          <w:bCs/>
          <w:color w:val="0F766E"/>
          <w:sz w:val="25"/>
          <w:szCs w:val="25"/>
        </w:rPr>
        <w:t xml:space="preserve">1.6 Collecting, Preparing &amp; Managing Data — Excel Toolkit</w:t>
      </w:r>
    </w:p>
    <w:p>
      <w:pPr>
        <w:spacing w:after="140"/>
      </w:pPr>
      <w:r>
        <w:rPr>
          <w:color w:val="222222"/>
          <w:sz w:val="21"/>
          <w:szCs w:val="21"/>
        </w:rPr>
        <w:t xml:space="preserve">At the basic (101) level, Excel remains the international entry-level standard for handling this workflow:</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4200"/>
        <w:gridCol w:w="5150"/>
      </w:tblGrid>
      <w:tr>
        <w:trPr>
          <w:tblHeader/>
        </w:trPr>
        <w:tc>
          <w:tcPr>
            <w:tcW w:type="dxa" w:w="4200"/>
            <w:shd w:fill="1F3864" w:color="auto" w:val="clear"/>
            <w:tcMar>
              <w:top w:type="dxa" w:w="80"/>
              <w:left w:type="dxa" w:w="100"/>
              <w:bottom w:type="dxa" w:w="80"/>
              <w:right w:type="dxa" w:w="100"/>
            </w:tcMar>
            <w:vAlign w:val="center"/>
          </w:tcPr>
          <w:p>
            <w:pPr>
              <w:jc w:val="center"/>
            </w:pPr>
            <w:r>
              <w:rPr>
                <w:b/>
                <w:bCs/>
                <w:color w:val="FFFFFF"/>
                <w:sz w:val="19"/>
                <w:szCs w:val="19"/>
              </w:rPr>
              <w:t xml:space="preserve">Task</w:t>
            </w:r>
          </w:p>
        </w:tc>
        <w:tc>
          <w:tcPr>
            <w:tcW w:type="dxa" w:w="5150"/>
            <w:shd w:fill="1F3864" w:color="auto" w:val="clear"/>
            <w:tcMar>
              <w:top w:type="dxa" w:w="80"/>
              <w:left w:type="dxa" w:w="100"/>
              <w:bottom w:type="dxa" w:w="80"/>
              <w:right w:type="dxa" w:w="100"/>
            </w:tcMar>
            <w:vAlign w:val="center"/>
          </w:tcPr>
          <w:p>
            <w:pPr>
              <w:jc w:val="center"/>
            </w:pPr>
            <w:r>
              <w:rPr>
                <w:b/>
                <w:bCs/>
                <w:color w:val="FFFFFF"/>
                <w:sz w:val="19"/>
                <w:szCs w:val="19"/>
              </w:rPr>
              <w:t xml:space="preserve">Excel Tool</w:t>
            </w:r>
          </w:p>
        </w:tc>
      </w:tr>
      <w:tr>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Remove duplicates / clean text</w:t>
            </w:r>
          </w:p>
        </w:tc>
        <w:tc>
          <w:tcPr>
            <w:tcW w:type="dxa" w:w="5150"/>
            <w:shd w:fill="FFFFFF" w:color="auto" w:val="clear"/>
            <w:tcMar>
              <w:top w:type="dxa" w:w="70"/>
              <w:left w:type="dxa" w:w="100"/>
              <w:bottom w:type="dxa" w:w="70"/>
              <w:right w:type="dxa" w:w="100"/>
            </w:tcMar>
            <w:vAlign w:val="center"/>
          </w:tcPr>
          <w:p>
            <w:pPr>
              <w:jc w:val="center"/>
            </w:pPr>
            <w:r>
              <w:rPr>
                <w:color w:val="222222"/>
                <w:sz w:val="19"/>
                <w:szCs w:val="19"/>
              </w:rPr>
              <w:t xml:space="preserve">Data &gt; Remove Duplicates, TRIM(), CLEAN()</w:t>
            </w:r>
          </w:p>
        </w:tc>
      </w:tr>
      <w:tr>
        <w:tc>
          <w:tcPr>
            <w:tcW w:type="dxa" w:w="4200"/>
            <w:shd w:fill="F2F5F7" w:color="auto" w:val="clear"/>
            <w:tcMar>
              <w:top w:type="dxa" w:w="70"/>
              <w:left w:type="dxa" w:w="100"/>
              <w:bottom w:type="dxa" w:w="70"/>
              <w:right w:type="dxa" w:w="100"/>
            </w:tcMar>
            <w:vAlign w:val="center"/>
          </w:tcPr>
          <w:p>
            <w:pPr>
              <w:jc w:val="center"/>
            </w:pPr>
            <w:r>
              <w:rPr>
                <w:color w:val="222222"/>
                <w:sz w:val="19"/>
                <w:szCs w:val="19"/>
              </w:rPr>
              <w:t xml:space="preserve">Summarize quickly</w:t>
            </w:r>
          </w:p>
        </w:tc>
        <w:tc>
          <w:tcPr>
            <w:tcW w:type="dxa" w:w="5150"/>
            <w:shd w:fill="F2F5F7" w:color="auto" w:val="clear"/>
            <w:tcMar>
              <w:top w:type="dxa" w:w="70"/>
              <w:left w:type="dxa" w:w="100"/>
              <w:bottom w:type="dxa" w:w="70"/>
              <w:right w:type="dxa" w:w="100"/>
            </w:tcMar>
            <w:vAlign w:val="center"/>
          </w:tcPr>
          <w:p>
            <w:pPr>
              <w:jc w:val="center"/>
            </w:pPr>
            <w:r>
              <w:rPr>
                <w:color w:val="222222"/>
                <w:sz w:val="19"/>
                <w:szCs w:val="19"/>
              </w:rPr>
              <w:t xml:space="preserve">PivotTable</w:t>
            </w:r>
          </w:p>
        </w:tc>
      </w:tr>
      <w:tr>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Compute central tendency</w:t>
            </w:r>
          </w:p>
        </w:tc>
        <w:tc>
          <w:tcPr>
            <w:tcW w:type="dxa" w:w="5150"/>
            <w:shd w:fill="FFFFFF" w:color="auto" w:val="clear"/>
            <w:tcMar>
              <w:top w:type="dxa" w:w="70"/>
              <w:left w:type="dxa" w:w="100"/>
              <w:bottom w:type="dxa" w:w="70"/>
              <w:right w:type="dxa" w:w="100"/>
            </w:tcMar>
            <w:vAlign w:val="center"/>
          </w:tcPr>
          <w:p>
            <w:pPr>
              <w:jc w:val="center"/>
            </w:pPr>
            <w:r>
              <w:rPr>
                <w:color w:val="222222"/>
                <w:sz w:val="19"/>
                <w:szCs w:val="19"/>
              </w:rPr>
              <w:t xml:space="preserve">AVERAGE(), MEDIAN(), MODE.SNGL()</w:t>
            </w:r>
          </w:p>
        </w:tc>
      </w:tr>
      <w:tr>
        <w:tc>
          <w:tcPr>
            <w:tcW w:type="dxa" w:w="4200"/>
            <w:shd w:fill="F2F5F7" w:color="auto" w:val="clear"/>
            <w:tcMar>
              <w:top w:type="dxa" w:w="70"/>
              <w:left w:type="dxa" w:w="100"/>
              <w:bottom w:type="dxa" w:w="70"/>
              <w:right w:type="dxa" w:w="100"/>
            </w:tcMar>
            <w:vAlign w:val="center"/>
          </w:tcPr>
          <w:p>
            <w:pPr>
              <w:jc w:val="center"/>
            </w:pPr>
            <w:r>
              <w:rPr>
                <w:color w:val="222222"/>
                <w:sz w:val="19"/>
                <w:szCs w:val="19"/>
              </w:rPr>
              <w:t xml:space="preserve">Compute spread</w:t>
            </w:r>
          </w:p>
        </w:tc>
        <w:tc>
          <w:tcPr>
            <w:tcW w:type="dxa" w:w="5150"/>
            <w:shd w:fill="F2F5F7" w:color="auto" w:val="clear"/>
            <w:tcMar>
              <w:top w:type="dxa" w:w="70"/>
              <w:left w:type="dxa" w:w="100"/>
              <w:bottom w:type="dxa" w:w="70"/>
              <w:right w:type="dxa" w:w="100"/>
            </w:tcMar>
            <w:vAlign w:val="center"/>
          </w:tcPr>
          <w:p>
            <w:pPr>
              <w:jc w:val="center"/>
            </w:pPr>
            <w:r>
              <w:rPr>
                <w:color w:val="222222"/>
                <w:sz w:val="19"/>
                <w:szCs w:val="19"/>
              </w:rPr>
              <w:t xml:space="preserve">STDEV.S(), VAR.S(), STDEV.P()</w:t>
            </w:r>
          </w:p>
        </w:tc>
      </w:tr>
      <w:tr>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Visualize</w:t>
            </w:r>
          </w:p>
        </w:tc>
        <w:tc>
          <w:tcPr>
            <w:tcW w:type="dxa" w:w="5150"/>
            <w:shd w:fill="FFFFFF" w:color="auto" w:val="clear"/>
            <w:tcMar>
              <w:top w:type="dxa" w:w="70"/>
              <w:left w:type="dxa" w:w="100"/>
              <w:bottom w:type="dxa" w:w="70"/>
              <w:right w:type="dxa" w:w="100"/>
            </w:tcMar>
            <w:vAlign w:val="center"/>
          </w:tcPr>
          <w:p>
            <w:pPr>
              <w:jc w:val="center"/>
            </w:pPr>
            <w:r>
              <w:rPr>
                <w:color w:val="222222"/>
                <w:sz w:val="19"/>
                <w:szCs w:val="19"/>
              </w:rPr>
              <w:t xml:space="preserve">Insert &gt; Charts (Bar, Histogram, Scatter, Box &amp; Whisker)</w:t>
            </w:r>
          </w:p>
        </w:tc>
      </w:tr>
      <w:tr>
        <w:tc>
          <w:tcPr>
            <w:tcW w:type="dxa" w:w="4200"/>
            <w:shd w:fill="F2F5F7" w:color="auto" w:val="clear"/>
            <w:tcMar>
              <w:top w:type="dxa" w:w="70"/>
              <w:left w:type="dxa" w:w="100"/>
              <w:bottom w:type="dxa" w:w="70"/>
              <w:right w:type="dxa" w:w="100"/>
            </w:tcMar>
            <w:vAlign w:val="center"/>
          </w:tcPr>
          <w:p>
            <w:pPr>
              <w:jc w:val="center"/>
            </w:pPr>
            <w:r>
              <w:rPr>
                <w:color w:val="222222"/>
                <w:sz w:val="19"/>
                <w:szCs w:val="19"/>
              </w:rPr>
              <w:t xml:space="preserve">Sample data</w:t>
            </w:r>
          </w:p>
        </w:tc>
        <w:tc>
          <w:tcPr>
            <w:tcW w:type="dxa" w:w="5150"/>
            <w:shd w:fill="F2F5F7" w:color="auto" w:val="clear"/>
            <w:tcMar>
              <w:top w:type="dxa" w:w="70"/>
              <w:left w:type="dxa" w:w="100"/>
              <w:bottom w:type="dxa" w:w="70"/>
              <w:right w:type="dxa" w:w="100"/>
            </w:tcMar>
            <w:vAlign w:val="center"/>
          </w:tcPr>
          <w:p>
            <w:pPr>
              <w:jc w:val="center"/>
            </w:pPr>
            <w:r>
              <w:rPr>
                <w:color w:val="222222"/>
                <w:sz w:val="19"/>
                <w:szCs w:val="19"/>
              </w:rPr>
              <w:t xml:space="preserve">Data Analysis ToolPak &gt; Sampling</w:t>
            </w:r>
          </w:p>
        </w:tc>
      </w:tr>
    </w:tbl>
    <w:p>
      <w:pPr>
        <w:spacing w:after="120"/>
      </w:pP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This exact Excel workflow scales up later into Power BI / Tableau dashboards and Python's pandas library — the logic (clean → summarize → visualize) never changes, only the tool gets more powerful.</w:t>
            </w:r>
          </w:p>
        </w:tc>
      </w:tr>
    </w:tbl>
    <w:p>
      <w:r>
        <w:br w:type="page"/>
      </w:r>
    </w:p>
    <w:p>
      <w:pPr>
        <w:pStyle w:val="Heading1"/>
        <w:pBdr>
          <w:bottom w:val="single" w:color="1F3864" w:sz="12" w:space="4"/>
        </w:pBdr>
        <w:spacing w:after="200" w:before="480"/>
      </w:pPr>
      <w:r>
        <w:rPr>
          <w:b/>
          <w:bCs/>
          <w:color w:val="1F3864"/>
          <w:sz w:val="32"/>
          <w:szCs w:val="32"/>
        </w:rPr>
        <w:t xml:space="preserve">UNIT 2 — Statistical Methods I: Central Tendency &amp; Dispersion</w:t>
      </w:r>
    </w:p>
    <w:p>
      <w:pPr>
        <w:pStyle w:val="Heading2"/>
        <w:spacing w:after="140" w:before="320"/>
      </w:pPr>
      <w:r>
        <w:rPr>
          <w:b/>
          <w:bCs/>
          <w:color w:val="0F766E"/>
          <w:sz w:val="25"/>
          <w:szCs w:val="25"/>
        </w:rPr>
        <w:t xml:space="preserve">2.1 Measures of Central Tendency</w:t>
      </w:r>
    </w:p>
    <w:p>
      <w:pPr>
        <w:spacing w:after="140"/>
      </w:pPr>
      <w:r>
        <w:rPr>
          <w:color w:val="222222"/>
          <w:sz w:val="21"/>
          <w:szCs w:val="21"/>
        </w:rPr>
        <w:t xml:space="preserve">A single value that represents the "center" or typical value of a dataset.</w:t>
      </w:r>
    </w:p>
    <w:p>
      <w:pPr>
        <w:spacing w:after="100" w:before="200"/>
      </w:pPr>
      <w:r>
        <w:rPr>
          <w:b/>
          <w:bCs/>
          <w:color w:val="B8860B"/>
          <w:sz w:val="22"/>
          <w:szCs w:val="22"/>
        </w:rPr>
        <w:t xml:space="preserve">Running Example — Monthly sales (₹ '000) of 9 sales reps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920"/>
        <w:gridCol w:w="920"/>
        <w:gridCol w:w="920"/>
        <w:gridCol w:w="920"/>
        <w:gridCol w:w="920"/>
        <w:gridCol w:w="920"/>
        <w:gridCol w:w="920"/>
        <w:gridCol w:w="920"/>
        <w:gridCol w:w="92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19"/>
                <w:szCs w:val="19"/>
              </w:rPr>
              <w:t xml:space="preserve">Rep</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R1</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R2</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R3</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R4</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R5</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R6</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R7</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R8</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R9</w:t>
            </w:r>
          </w:p>
        </w:tc>
      </w:tr>
      <w:tr>
        <w:tc>
          <w:tcPr>
            <w:tcW w:type="dxa" w:w="900"/>
            <w:shd w:fill="FFFFFF" w:color="auto" w:val="clear"/>
            <w:tcMar>
              <w:top w:type="dxa" w:w="70"/>
              <w:left w:type="dxa" w:w="100"/>
              <w:bottom w:type="dxa" w:w="70"/>
              <w:right w:type="dxa" w:w="100"/>
            </w:tcMar>
            <w:vAlign w:val="center"/>
          </w:tcPr>
          <w:p>
            <w:pPr>
              <w:jc w:val="center"/>
            </w:pPr>
            <w:r>
              <w:rPr>
                <w:color w:val="222222"/>
                <w:sz w:val="19"/>
                <w:szCs w:val="19"/>
              </w:rPr>
              <w:t xml:space="preserve">Sales</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42</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45</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45</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48</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50</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52</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55</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58</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95</w:t>
            </w:r>
          </w:p>
        </w:tc>
      </w:tr>
    </w:tbl>
    <w:p>
      <w:pPr>
        <w:spacing w:after="200" w:before="60"/>
      </w:pPr>
      <w:r>
        <w:rPr>
          <w:i/>
          <w:iCs/>
          <w:color w:val="5A5A5A"/>
          <w:sz w:val="18"/>
          <w:szCs w:val="18"/>
        </w:rPr>
        <w:t xml:space="preserve">Note the outlier (95) — deliberately included to show why mean, median and mode can diverge.</w:t>
      </w:r>
    </w:p>
    <w:p>
      <w:pPr>
        <w:spacing w:after="100" w:before="200"/>
      </w:pPr>
      <w:r>
        <w:rPr>
          <w:b/>
          <w:bCs/>
          <w:color w:val="B8860B"/>
          <w:sz w:val="22"/>
          <w:szCs w:val="22"/>
        </w:rPr>
        <w:t xml:space="preserve">Mean (Arithmetic Average)</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Mean</w:t>
            </w:r>
          </w:p>
          <w:p>
            <w:pPr>
              <w:spacing w:after="60"/>
            </w:pPr>
            <w:r>
              <w:rPr>
                <w:rFonts w:ascii="Cambria Math" w:cs="Cambria Math" w:eastAsia="Cambria Math" w:hAnsi="Cambria Math"/>
                <w:b/>
                <w:bCs/>
                <w:color w:val="1F3864"/>
                <w:sz w:val="22"/>
                <w:szCs w:val="22"/>
              </w:rPr>
              <w:t xml:space="preserve">x̄ = (Σxᵢ) / n</w:t>
            </w:r>
          </w:p>
          <w:p>
            <w:pPr>
              <w:spacing w:before="60"/>
            </w:pPr>
            <w:r>
              <w:rPr>
                <w:i/>
                <w:iCs/>
                <w:color w:val="5A5A5A"/>
                <w:sz w:val="19"/>
                <w:szCs w:val="19"/>
              </w:rPr>
              <w:t xml:space="preserve">Sensitive to extreme values / outliers.</w:t>
            </w:r>
          </w:p>
        </w:tc>
      </w:tr>
    </w:tbl>
    <w:p>
      <w:pPr>
        <w:spacing w:after="140"/>
      </w:pPr>
      <w:r>
        <w:rPr>
          <w:color w:val="222222"/>
          <w:sz w:val="21"/>
          <w:szCs w:val="21"/>
        </w:rPr>
        <w:t xml:space="preserve">Worked example: x̄ = (42+45+45+48+50+52+55+58+95) / 9 = 490 / 9 = 54.4</w:t>
      </w:r>
    </w:p>
    <w:p>
      <w:pPr>
        <w:spacing w:after="100" w:before="200"/>
      </w:pPr>
      <w:r>
        <w:rPr>
          <w:b/>
          <w:bCs/>
          <w:color w:val="B8860B"/>
          <w:sz w:val="22"/>
          <w:szCs w:val="22"/>
        </w:rPr>
        <w:t xml:space="preserve">Median (Middle Value)</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Median (odd n)</w:t>
            </w:r>
          </w:p>
          <w:p>
            <w:pPr>
              <w:spacing w:after="60"/>
            </w:pPr>
            <w:r>
              <w:rPr>
                <w:rFonts w:ascii="Cambria Math" w:cs="Cambria Math" w:eastAsia="Cambria Math" w:hAnsi="Cambria Math"/>
                <w:b/>
                <w:bCs/>
                <w:color w:val="1F3864"/>
                <w:sz w:val="22"/>
                <w:szCs w:val="22"/>
              </w:rPr>
              <w:t xml:space="preserve">Median = value at position (n+1)/2, after sorting</w:t>
            </w:r>
          </w:p>
          <w:p>
            <w:pPr>
              <w:spacing w:before="60"/>
            </w:pPr>
            <w:r>
              <w:rPr>
                <w:i/>
                <w:iCs/>
                <w:color w:val="5A5A5A"/>
                <w:sz w:val="19"/>
                <w:szCs w:val="19"/>
              </w:rPr>
              <w:t xml:space="preserve">Not affected by outliers — a 'robust' measure.</w:t>
            </w:r>
          </w:p>
        </w:tc>
      </w:tr>
    </w:tbl>
    <w:p>
      <w:pPr>
        <w:spacing w:after="140"/>
      </w:pPr>
      <w:r>
        <w:rPr>
          <w:color w:val="222222"/>
          <w:sz w:val="21"/>
          <w:szCs w:val="21"/>
        </w:rPr>
        <w:t xml:space="preserve">Worked example: sorted data is already in order; n = 9, position = (9+1)/2 = 5th value → Median = 50.</w:t>
      </w:r>
    </w:p>
    <w:p>
      <w:pPr>
        <w:spacing w:after="100" w:before="200"/>
      </w:pPr>
      <w:r>
        <w:rPr>
          <w:b/>
          <w:bCs/>
          <w:color w:val="B8860B"/>
          <w:sz w:val="22"/>
          <w:szCs w:val="22"/>
        </w:rPr>
        <w:t xml:space="preserve">Mode (Most Frequent Value)</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Mode</w:t>
            </w:r>
          </w:p>
          <w:p>
            <w:pPr>
              <w:spacing w:after="60"/>
            </w:pPr>
            <w:r>
              <w:rPr>
                <w:rFonts w:ascii="Cambria Math" w:cs="Cambria Math" w:eastAsia="Cambria Math" w:hAnsi="Cambria Math"/>
                <w:b/>
                <w:bCs/>
                <w:color w:val="1F3864"/>
                <w:sz w:val="22"/>
                <w:szCs w:val="22"/>
              </w:rPr>
              <w:t xml:space="preserve">Mode = value(s) that occur most frequently</w:t>
            </w:r>
          </w:p>
        </w:tc>
      </w:tr>
    </w:tbl>
    <w:p>
      <w:pPr>
        <w:spacing w:after="140"/>
      </w:pPr>
      <w:r>
        <w:rPr>
          <w:color w:val="222222"/>
          <w:sz w:val="21"/>
          <w:szCs w:val="21"/>
        </w:rPr>
        <w:t xml:space="preserve">Worked example: 45 appears twice, more than any other value → Mode = 45.</w:t>
      </w:r>
    </w:p>
    <w:p>
      <w:pPr>
        <w:spacing w:after="120"/>
      </w:pPr>
    </w:p>
    <w:p>
      <w:pPr>
        <w:spacing w:after="100" w:before="200"/>
      </w:pPr>
      <w:r>
        <w:rPr>
          <w:b/>
          <w:bCs/>
          <w:color w:val="B8860B"/>
          <w:sz w:val="22"/>
          <w:szCs w:val="22"/>
        </w:rPr>
        <w:t xml:space="preserve">Why they differ here</w:t>
      </w:r>
    </w:p>
    <w:p>
      <w:pPr>
        <w:spacing w:after="140"/>
      </w:pPr>
      <w:r>
        <w:rPr>
          <w:color w:val="222222"/>
          <w:sz w:val="21"/>
          <w:szCs w:val="21"/>
        </w:rPr>
        <w:t xml:space="preserve">Mean (54.4) &gt; Median (50) &gt; Mode (45) — a classic sign of a right-skewed (positively skewed) dataset, pulled upward by the outlier rep who sold ₹95,000.</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This mean-median-mode comparison is your first informal skewness test — formalized later in Unit 3 with Karl Pearson's Coefficient of Skewness, and again in Business Analytics when you decide whether to report 'average' salary as mean or median (HR always prefers median for skewed pay data).</w:t>
            </w:r>
          </w:p>
        </w:tc>
      </w:tr>
    </w:tbl>
    <w:p>
      <w:pPr>
        <w:spacing w:after="100" w:before="200"/>
      </w:pPr>
      <w:r>
        <w:rPr>
          <w:b/>
          <w:bCs/>
          <w:color w:val="B8860B"/>
          <w:sz w:val="22"/>
          <w:szCs w:val="22"/>
        </w:rPr>
        <w:t xml:space="preserve">Grouped Data — Mean, Median, Mode</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Mean of grouped data</w:t>
            </w:r>
          </w:p>
          <w:p>
            <w:pPr>
              <w:spacing w:after="60"/>
            </w:pPr>
            <w:r>
              <w:rPr>
                <w:rFonts w:ascii="Cambria Math" w:cs="Cambria Math" w:eastAsia="Cambria Math" w:hAnsi="Cambria Math"/>
                <w:b/>
                <w:bCs/>
                <w:color w:val="1F3864"/>
                <w:sz w:val="22"/>
                <w:szCs w:val="22"/>
              </w:rPr>
              <w:t xml:space="preserve">x̄ = Σ(f·x) / Σf</w:t>
            </w:r>
          </w:p>
          <w:p>
            <w:pPr>
              <w:spacing w:before="60"/>
            </w:pPr>
            <w:r>
              <w:rPr>
                <w:i/>
                <w:iCs/>
                <w:color w:val="5A5A5A"/>
                <w:sz w:val="19"/>
                <w:szCs w:val="19"/>
              </w:rPr>
              <w:t xml:space="preserve">x = class midpoint, f = class frequency</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Median of grouped data</w:t>
            </w:r>
          </w:p>
          <w:p>
            <w:pPr>
              <w:spacing w:after="60"/>
            </w:pPr>
            <w:r>
              <w:rPr>
                <w:rFonts w:ascii="Cambria Math" w:cs="Cambria Math" w:eastAsia="Cambria Math" w:hAnsi="Cambria Math"/>
                <w:b/>
                <w:bCs/>
                <w:color w:val="1F3864"/>
                <w:sz w:val="22"/>
                <w:szCs w:val="22"/>
              </w:rPr>
              <w:t xml:space="preserve">Median = L + [ (n/2 − cf) / f ] × h</w:t>
            </w:r>
          </w:p>
          <w:p>
            <w:pPr>
              <w:spacing w:before="60"/>
            </w:pPr>
            <w:r>
              <w:rPr>
                <w:i/>
                <w:iCs/>
                <w:color w:val="5A5A5A"/>
                <w:sz w:val="19"/>
                <w:szCs w:val="19"/>
              </w:rPr>
              <w:t xml:space="preserve">L = lower boundary of median class, cf = cumulative frequency before it, f = frequency of median class, h = class width</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Mode of grouped data</w:t>
            </w:r>
          </w:p>
          <w:p>
            <w:pPr>
              <w:spacing w:after="60"/>
            </w:pPr>
            <w:r>
              <w:rPr>
                <w:rFonts w:ascii="Cambria Math" w:cs="Cambria Math" w:eastAsia="Cambria Math" w:hAnsi="Cambria Math"/>
                <w:b/>
                <w:bCs/>
                <w:color w:val="1F3864"/>
                <w:sz w:val="22"/>
                <w:szCs w:val="22"/>
              </w:rPr>
              <w:t xml:space="preserve">Mode = L + [ (f₁ − f₀) / (2f₁ − f₀ − f₂) ] × h</w:t>
            </w:r>
          </w:p>
          <w:p>
            <w:pPr>
              <w:spacing w:before="60"/>
            </w:pPr>
            <w:r>
              <w:rPr>
                <w:i/>
                <w:iCs/>
                <w:color w:val="5A5A5A"/>
                <w:sz w:val="19"/>
                <w:szCs w:val="19"/>
              </w:rPr>
              <w:t xml:space="preserve">f₁ = modal class frequency, f₀ = preceding class frequency, f₂ = succeeding class frequency</w:t>
            </w:r>
          </w:p>
        </w:tc>
      </w:tr>
    </w:tbl>
    <w:p>
      <w:pPr>
        <w:spacing w:after="100" w:before="200"/>
      </w:pPr>
      <w:r>
        <w:rPr>
          <w:b/>
          <w:bCs/>
          <w:color w:val="B8860B"/>
          <w:sz w:val="22"/>
          <w:szCs w:val="22"/>
        </w:rPr>
        <w:t xml:space="preserve">Worked Example — Grouped frequency table</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900"/>
        <w:gridCol w:w="1900"/>
        <w:gridCol w:w="1900"/>
        <w:gridCol w:w="1900"/>
        <w:gridCol w:w="1750"/>
      </w:tblGrid>
      <w:tr>
        <w:trPr>
          <w:tblHeader/>
        </w:trPr>
        <w:tc>
          <w:tcPr>
            <w:tcW w:type="dxa" w:w="1900"/>
            <w:shd w:fill="1F3864" w:color="auto" w:val="clear"/>
            <w:tcMar>
              <w:top w:type="dxa" w:w="80"/>
              <w:left w:type="dxa" w:w="100"/>
              <w:bottom w:type="dxa" w:w="80"/>
              <w:right w:type="dxa" w:w="100"/>
            </w:tcMar>
            <w:vAlign w:val="center"/>
          </w:tcPr>
          <w:p>
            <w:pPr>
              <w:jc w:val="center"/>
            </w:pPr>
            <w:r>
              <w:rPr>
                <w:b/>
                <w:bCs/>
                <w:color w:val="FFFFFF"/>
                <w:sz w:val="19"/>
                <w:szCs w:val="19"/>
              </w:rPr>
              <w:t xml:space="preserve">Class (₹'000)</w:t>
            </w:r>
          </w:p>
        </w:tc>
        <w:tc>
          <w:tcPr>
            <w:tcW w:type="dxa" w:w="1900"/>
            <w:shd w:fill="1F3864" w:color="auto" w:val="clear"/>
            <w:tcMar>
              <w:top w:type="dxa" w:w="80"/>
              <w:left w:type="dxa" w:w="100"/>
              <w:bottom w:type="dxa" w:w="80"/>
              <w:right w:type="dxa" w:w="100"/>
            </w:tcMar>
            <w:vAlign w:val="center"/>
          </w:tcPr>
          <w:p>
            <w:pPr>
              <w:jc w:val="center"/>
            </w:pPr>
            <w:r>
              <w:rPr>
                <w:b/>
                <w:bCs/>
                <w:color w:val="FFFFFF"/>
                <w:sz w:val="19"/>
                <w:szCs w:val="19"/>
              </w:rPr>
              <w:t xml:space="preserve">Frequency (f)</w:t>
            </w:r>
          </w:p>
        </w:tc>
        <w:tc>
          <w:tcPr>
            <w:tcW w:type="dxa" w:w="1900"/>
            <w:shd w:fill="1F3864" w:color="auto" w:val="clear"/>
            <w:tcMar>
              <w:top w:type="dxa" w:w="80"/>
              <w:left w:type="dxa" w:w="100"/>
              <w:bottom w:type="dxa" w:w="80"/>
              <w:right w:type="dxa" w:w="100"/>
            </w:tcMar>
            <w:vAlign w:val="center"/>
          </w:tcPr>
          <w:p>
            <w:pPr>
              <w:jc w:val="center"/>
            </w:pPr>
            <w:r>
              <w:rPr>
                <w:b/>
                <w:bCs/>
                <w:color w:val="FFFFFF"/>
                <w:sz w:val="19"/>
                <w:szCs w:val="19"/>
              </w:rPr>
              <w:t xml:space="preserve">Midpoint (x)</w:t>
            </w:r>
          </w:p>
        </w:tc>
        <w:tc>
          <w:tcPr>
            <w:tcW w:type="dxa" w:w="1900"/>
            <w:shd w:fill="1F3864" w:color="auto" w:val="clear"/>
            <w:tcMar>
              <w:top w:type="dxa" w:w="80"/>
              <w:left w:type="dxa" w:w="100"/>
              <w:bottom w:type="dxa" w:w="80"/>
              <w:right w:type="dxa" w:w="100"/>
            </w:tcMar>
            <w:vAlign w:val="center"/>
          </w:tcPr>
          <w:p>
            <w:pPr>
              <w:jc w:val="center"/>
            </w:pPr>
            <w:r>
              <w:rPr>
                <w:b/>
                <w:bCs/>
                <w:color w:val="FFFFFF"/>
                <w:sz w:val="19"/>
                <w:szCs w:val="19"/>
              </w:rPr>
              <w:t xml:space="preserve">f × x</w:t>
            </w:r>
          </w:p>
        </w:tc>
        <w:tc>
          <w:tcPr>
            <w:tcW w:type="dxa" w:w="1750"/>
            <w:shd w:fill="1F3864" w:color="auto" w:val="clear"/>
            <w:tcMar>
              <w:top w:type="dxa" w:w="80"/>
              <w:left w:type="dxa" w:w="100"/>
              <w:bottom w:type="dxa" w:w="80"/>
              <w:right w:type="dxa" w:w="100"/>
            </w:tcMar>
            <w:vAlign w:val="center"/>
          </w:tcPr>
          <w:p>
            <w:pPr>
              <w:jc w:val="center"/>
            </w:pPr>
            <w:r>
              <w:rPr>
                <w:b/>
                <w:bCs/>
                <w:color w:val="FFFFFF"/>
                <w:sz w:val="19"/>
                <w:szCs w:val="19"/>
              </w:rPr>
              <w:t xml:space="preserve">Cumulative f</w:t>
            </w:r>
          </w:p>
        </w:tc>
      </w:tr>
      <w:tr>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0–20</w:t>
            </w:r>
          </w:p>
        </w:tc>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4</w:t>
            </w:r>
          </w:p>
        </w:tc>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10</w:t>
            </w:r>
          </w:p>
        </w:tc>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40</w:t>
            </w:r>
          </w:p>
        </w:tc>
        <w:tc>
          <w:tcPr>
            <w:tcW w:type="dxa" w:w="1750"/>
            <w:shd w:fill="FFFFFF" w:color="auto" w:val="clear"/>
            <w:tcMar>
              <w:top w:type="dxa" w:w="70"/>
              <w:left w:type="dxa" w:w="100"/>
              <w:bottom w:type="dxa" w:w="70"/>
              <w:right w:type="dxa" w:w="100"/>
            </w:tcMar>
            <w:vAlign w:val="center"/>
          </w:tcPr>
          <w:p>
            <w:pPr>
              <w:jc w:val="center"/>
            </w:pPr>
            <w:r>
              <w:rPr>
                <w:color w:val="222222"/>
                <w:sz w:val="19"/>
                <w:szCs w:val="19"/>
              </w:rPr>
              <w:t xml:space="preserve">4</w:t>
            </w:r>
          </w:p>
        </w:tc>
      </w:tr>
      <w:tr>
        <w:tc>
          <w:tcPr>
            <w:tcW w:type="dxa" w:w="1900"/>
            <w:shd w:fill="F2F5F7" w:color="auto" w:val="clear"/>
            <w:tcMar>
              <w:top w:type="dxa" w:w="70"/>
              <w:left w:type="dxa" w:w="100"/>
              <w:bottom w:type="dxa" w:w="70"/>
              <w:right w:type="dxa" w:w="100"/>
            </w:tcMar>
            <w:vAlign w:val="center"/>
          </w:tcPr>
          <w:p>
            <w:pPr>
              <w:jc w:val="center"/>
            </w:pPr>
            <w:r>
              <w:rPr>
                <w:color w:val="222222"/>
                <w:sz w:val="19"/>
                <w:szCs w:val="19"/>
              </w:rPr>
              <w:t xml:space="preserve">20–40</w:t>
            </w:r>
          </w:p>
        </w:tc>
        <w:tc>
          <w:tcPr>
            <w:tcW w:type="dxa" w:w="1900"/>
            <w:shd w:fill="F2F5F7" w:color="auto" w:val="clear"/>
            <w:tcMar>
              <w:top w:type="dxa" w:w="70"/>
              <w:left w:type="dxa" w:w="100"/>
              <w:bottom w:type="dxa" w:w="70"/>
              <w:right w:type="dxa" w:w="100"/>
            </w:tcMar>
            <w:vAlign w:val="center"/>
          </w:tcPr>
          <w:p>
            <w:pPr>
              <w:jc w:val="center"/>
            </w:pPr>
            <w:r>
              <w:rPr>
                <w:color w:val="222222"/>
                <w:sz w:val="19"/>
                <w:szCs w:val="19"/>
              </w:rPr>
              <w:t xml:space="preserve">10</w:t>
            </w:r>
          </w:p>
        </w:tc>
        <w:tc>
          <w:tcPr>
            <w:tcW w:type="dxa" w:w="1900"/>
            <w:shd w:fill="F2F5F7" w:color="auto" w:val="clear"/>
            <w:tcMar>
              <w:top w:type="dxa" w:w="70"/>
              <w:left w:type="dxa" w:w="100"/>
              <w:bottom w:type="dxa" w:w="70"/>
              <w:right w:type="dxa" w:w="100"/>
            </w:tcMar>
            <w:vAlign w:val="center"/>
          </w:tcPr>
          <w:p>
            <w:pPr>
              <w:jc w:val="center"/>
            </w:pPr>
            <w:r>
              <w:rPr>
                <w:color w:val="222222"/>
                <w:sz w:val="19"/>
                <w:szCs w:val="19"/>
              </w:rPr>
              <w:t xml:space="preserve">30</w:t>
            </w:r>
          </w:p>
        </w:tc>
        <w:tc>
          <w:tcPr>
            <w:tcW w:type="dxa" w:w="1900"/>
            <w:shd w:fill="F2F5F7" w:color="auto" w:val="clear"/>
            <w:tcMar>
              <w:top w:type="dxa" w:w="70"/>
              <w:left w:type="dxa" w:w="100"/>
              <w:bottom w:type="dxa" w:w="70"/>
              <w:right w:type="dxa" w:w="100"/>
            </w:tcMar>
            <w:vAlign w:val="center"/>
          </w:tcPr>
          <w:p>
            <w:pPr>
              <w:jc w:val="center"/>
            </w:pPr>
            <w:r>
              <w:rPr>
                <w:color w:val="222222"/>
                <w:sz w:val="19"/>
                <w:szCs w:val="19"/>
              </w:rPr>
              <w:t xml:space="preserve">300</w:t>
            </w:r>
          </w:p>
        </w:tc>
        <w:tc>
          <w:tcPr>
            <w:tcW w:type="dxa" w:w="1750"/>
            <w:shd w:fill="F2F5F7" w:color="auto" w:val="clear"/>
            <w:tcMar>
              <w:top w:type="dxa" w:w="70"/>
              <w:left w:type="dxa" w:w="100"/>
              <w:bottom w:type="dxa" w:w="70"/>
              <w:right w:type="dxa" w:w="100"/>
            </w:tcMar>
            <w:vAlign w:val="center"/>
          </w:tcPr>
          <w:p>
            <w:pPr>
              <w:jc w:val="center"/>
            </w:pPr>
            <w:r>
              <w:rPr>
                <w:color w:val="222222"/>
                <w:sz w:val="19"/>
                <w:szCs w:val="19"/>
              </w:rPr>
              <w:t xml:space="preserve">14</w:t>
            </w:r>
          </w:p>
        </w:tc>
      </w:tr>
      <w:tr>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40–60</w:t>
            </w:r>
          </w:p>
        </w:tc>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16</w:t>
            </w:r>
          </w:p>
        </w:tc>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50</w:t>
            </w:r>
          </w:p>
        </w:tc>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800</w:t>
            </w:r>
          </w:p>
        </w:tc>
        <w:tc>
          <w:tcPr>
            <w:tcW w:type="dxa" w:w="1750"/>
            <w:shd w:fill="FFFFFF" w:color="auto" w:val="clear"/>
            <w:tcMar>
              <w:top w:type="dxa" w:w="70"/>
              <w:left w:type="dxa" w:w="100"/>
              <w:bottom w:type="dxa" w:w="70"/>
              <w:right w:type="dxa" w:w="100"/>
            </w:tcMar>
            <w:vAlign w:val="center"/>
          </w:tcPr>
          <w:p>
            <w:pPr>
              <w:jc w:val="center"/>
            </w:pPr>
            <w:r>
              <w:rPr>
                <w:color w:val="222222"/>
                <w:sz w:val="19"/>
                <w:szCs w:val="19"/>
              </w:rPr>
              <w:t xml:space="preserve">30</w:t>
            </w:r>
          </w:p>
        </w:tc>
      </w:tr>
      <w:tr>
        <w:tc>
          <w:tcPr>
            <w:tcW w:type="dxa" w:w="1900"/>
            <w:shd w:fill="F2F5F7" w:color="auto" w:val="clear"/>
            <w:tcMar>
              <w:top w:type="dxa" w:w="70"/>
              <w:left w:type="dxa" w:w="100"/>
              <w:bottom w:type="dxa" w:w="70"/>
              <w:right w:type="dxa" w:w="100"/>
            </w:tcMar>
            <w:vAlign w:val="center"/>
          </w:tcPr>
          <w:p>
            <w:pPr>
              <w:jc w:val="center"/>
            </w:pPr>
            <w:r>
              <w:rPr>
                <w:color w:val="222222"/>
                <w:sz w:val="19"/>
                <w:szCs w:val="19"/>
              </w:rPr>
              <w:t xml:space="preserve">60–80</w:t>
            </w:r>
          </w:p>
        </w:tc>
        <w:tc>
          <w:tcPr>
            <w:tcW w:type="dxa" w:w="1900"/>
            <w:shd w:fill="F2F5F7" w:color="auto" w:val="clear"/>
            <w:tcMar>
              <w:top w:type="dxa" w:w="70"/>
              <w:left w:type="dxa" w:w="100"/>
              <w:bottom w:type="dxa" w:w="70"/>
              <w:right w:type="dxa" w:w="100"/>
            </w:tcMar>
            <w:vAlign w:val="center"/>
          </w:tcPr>
          <w:p>
            <w:pPr>
              <w:jc w:val="center"/>
            </w:pPr>
            <w:r>
              <w:rPr>
                <w:color w:val="222222"/>
                <w:sz w:val="19"/>
                <w:szCs w:val="19"/>
              </w:rPr>
              <w:t xml:space="preserve">8</w:t>
            </w:r>
          </w:p>
        </w:tc>
        <w:tc>
          <w:tcPr>
            <w:tcW w:type="dxa" w:w="1900"/>
            <w:shd w:fill="F2F5F7" w:color="auto" w:val="clear"/>
            <w:tcMar>
              <w:top w:type="dxa" w:w="70"/>
              <w:left w:type="dxa" w:w="100"/>
              <w:bottom w:type="dxa" w:w="70"/>
              <w:right w:type="dxa" w:w="100"/>
            </w:tcMar>
            <w:vAlign w:val="center"/>
          </w:tcPr>
          <w:p>
            <w:pPr>
              <w:jc w:val="center"/>
            </w:pPr>
            <w:r>
              <w:rPr>
                <w:color w:val="222222"/>
                <w:sz w:val="19"/>
                <w:szCs w:val="19"/>
              </w:rPr>
              <w:t xml:space="preserve">70</w:t>
            </w:r>
          </w:p>
        </w:tc>
        <w:tc>
          <w:tcPr>
            <w:tcW w:type="dxa" w:w="1900"/>
            <w:shd w:fill="F2F5F7" w:color="auto" w:val="clear"/>
            <w:tcMar>
              <w:top w:type="dxa" w:w="70"/>
              <w:left w:type="dxa" w:w="100"/>
              <w:bottom w:type="dxa" w:w="70"/>
              <w:right w:type="dxa" w:w="100"/>
            </w:tcMar>
            <w:vAlign w:val="center"/>
          </w:tcPr>
          <w:p>
            <w:pPr>
              <w:jc w:val="center"/>
            </w:pPr>
            <w:r>
              <w:rPr>
                <w:color w:val="222222"/>
                <w:sz w:val="19"/>
                <w:szCs w:val="19"/>
              </w:rPr>
              <w:t xml:space="preserve">560</w:t>
            </w:r>
          </w:p>
        </w:tc>
        <w:tc>
          <w:tcPr>
            <w:tcW w:type="dxa" w:w="1750"/>
            <w:shd w:fill="F2F5F7" w:color="auto" w:val="clear"/>
            <w:tcMar>
              <w:top w:type="dxa" w:w="70"/>
              <w:left w:type="dxa" w:w="100"/>
              <w:bottom w:type="dxa" w:w="70"/>
              <w:right w:type="dxa" w:w="100"/>
            </w:tcMar>
            <w:vAlign w:val="center"/>
          </w:tcPr>
          <w:p>
            <w:pPr>
              <w:jc w:val="center"/>
            </w:pPr>
            <w:r>
              <w:rPr>
                <w:color w:val="222222"/>
                <w:sz w:val="19"/>
                <w:szCs w:val="19"/>
              </w:rPr>
              <w:t xml:space="preserve">38</w:t>
            </w:r>
          </w:p>
        </w:tc>
      </w:tr>
      <w:tr>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80–100</w:t>
            </w:r>
          </w:p>
        </w:tc>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2</w:t>
            </w:r>
          </w:p>
        </w:tc>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90</w:t>
            </w:r>
          </w:p>
        </w:tc>
        <w:tc>
          <w:tcPr>
            <w:tcW w:type="dxa" w:w="1900"/>
            <w:shd w:fill="FFFFFF" w:color="auto" w:val="clear"/>
            <w:tcMar>
              <w:top w:type="dxa" w:w="70"/>
              <w:left w:type="dxa" w:w="100"/>
              <w:bottom w:type="dxa" w:w="70"/>
              <w:right w:type="dxa" w:w="100"/>
            </w:tcMar>
            <w:vAlign w:val="center"/>
          </w:tcPr>
          <w:p>
            <w:pPr>
              <w:jc w:val="center"/>
            </w:pPr>
            <w:r>
              <w:rPr>
                <w:color w:val="222222"/>
                <w:sz w:val="19"/>
                <w:szCs w:val="19"/>
              </w:rPr>
              <w:t xml:space="preserve">180</w:t>
            </w:r>
          </w:p>
        </w:tc>
        <w:tc>
          <w:tcPr>
            <w:tcW w:type="dxa" w:w="1750"/>
            <w:shd w:fill="FFFFFF" w:color="auto" w:val="clear"/>
            <w:tcMar>
              <w:top w:type="dxa" w:w="70"/>
              <w:left w:type="dxa" w:w="100"/>
              <w:bottom w:type="dxa" w:w="70"/>
              <w:right w:type="dxa" w:w="100"/>
            </w:tcMar>
            <w:vAlign w:val="center"/>
          </w:tcPr>
          <w:p>
            <w:pPr>
              <w:jc w:val="center"/>
            </w:pPr>
            <w:r>
              <w:rPr>
                <w:color w:val="222222"/>
                <w:sz w:val="19"/>
                <w:szCs w:val="19"/>
              </w:rPr>
              <w:t xml:space="preserve">40</w:t>
            </w:r>
          </w:p>
        </w:tc>
      </w:tr>
    </w:tbl>
    <w:p>
      <w:pPr>
        <w:spacing w:after="200" w:before="60"/>
      </w:pPr>
      <w:r>
        <w:rPr>
          <w:i/>
          <w:iCs/>
          <w:color w:val="5A5A5A"/>
          <w:sz w:val="18"/>
          <w:szCs w:val="18"/>
        </w:rPr>
        <w:t xml:space="preserve">Σf = 40, Σ(f·x) = 1880 → Mean = 1880/40 = 47. Median class (n/2=20th value) = 40–60. Modal class (highest f=16) = 40–60.</w:t>
      </w:r>
    </w:p>
    <w:p>
      <w:pPr>
        <w:spacing w:after="100" w:before="200"/>
      </w:pPr>
      <w:r>
        <w:rPr>
          <w:b/>
          <w:bCs/>
          <w:color w:val="B8860B"/>
          <w:sz w:val="22"/>
          <w:szCs w:val="22"/>
        </w:rPr>
        <w:t xml:space="preserve">Cumulative Frequency Curve (Ogive)</w:t>
      </w:r>
    </w:p>
    <w:p>
      <w:pPr>
        <w:spacing w:after="140"/>
      </w:pPr>
      <w:r>
        <w:rPr>
          <w:color w:val="222222"/>
          <w:sz w:val="21"/>
          <w:szCs w:val="21"/>
        </w:rPr>
        <w:t xml:space="preserve">A plot of cumulative frequency against upper class boundaries. A 'less-than' ogive rises left-to-right and is used to read off the median, quartiles and percentiles graphically.</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Grouped-data formulas are exactly how survey response buckets (e.g., age groups, income brackets) get summarized in Market Research reports — you'll rarely see raw ungrouped data once sample sizes go into the hundreds.</w:t>
            </w:r>
          </w:p>
        </w:tc>
      </w:tr>
    </w:tbl>
    <w:p>
      <w:pPr>
        <w:pStyle w:val="Heading2"/>
        <w:spacing w:after="140" w:before="320"/>
      </w:pPr>
      <w:r>
        <w:rPr>
          <w:b/>
          <w:bCs/>
          <w:color w:val="0F766E"/>
          <w:sz w:val="25"/>
          <w:szCs w:val="25"/>
        </w:rPr>
        <w:t xml:space="preserve">2.2 Step-Deviation Method (Shortcut for Grouped Mean)</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Step Deviation</w:t>
            </w:r>
          </w:p>
          <w:p>
            <w:pPr>
              <w:spacing w:after="60"/>
            </w:pPr>
            <w:r>
              <w:rPr>
                <w:rFonts w:ascii="Cambria Math" w:cs="Cambria Math" w:eastAsia="Cambria Math" w:hAnsi="Cambria Math"/>
                <w:b/>
                <w:bCs/>
                <w:color w:val="1F3864"/>
                <w:sz w:val="22"/>
                <w:szCs w:val="22"/>
              </w:rPr>
              <w:t xml:space="preserve">x̄ = A + [ Σ(f·d′) / Σf ] × h</w:t>
            </w:r>
          </w:p>
          <w:p>
            <w:pPr>
              <w:spacing w:after="60"/>
            </w:pPr>
            <w:r>
              <w:rPr>
                <w:rFonts w:ascii="Cambria Math" w:cs="Cambria Math" w:eastAsia="Cambria Math" w:hAnsi="Cambria Math"/>
                <w:b/>
                <w:bCs/>
                <w:color w:val="1F3864"/>
                <w:sz w:val="22"/>
                <w:szCs w:val="22"/>
              </w:rPr>
              <w:t xml:space="preserve">where d′ = (x − A) / h</w:t>
            </w:r>
          </w:p>
          <w:p>
            <w:pPr>
              <w:spacing w:before="60"/>
            </w:pPr>
            <w:r>
              <w:rPr>
                <w:i/>
                <w:iCs/>
                <w:color w:val="5A5A5A"/>
                <w:sz w:val="19"/>
                <w:szCs w:val="19"/>
              </w:rPr>
              <w:t xml:space="preserve">A = assumed mean (any convenient midpoint), h = class width. Speeds up hand calculation with large numbers.</w:t>
            </w:r>
          </w:p>
        </w:tc>
      </w:tr>
    </w:tbl>
    <w:p>
      <w:pPr>
        <w:spacing w:after="140"/>
      </w:pPr>
      <w:r>
        <w:rPr>
          <w:color w:val="222222"/>
          <w:sz w:val="21"/>
          <w:szCs w:val="21"/>
        </w:rPr>
        <w:t xml:space="preserve">Using A = 50 (assumed mean) on the table above with h = 20 gives the same result, 47, with far smaller numbers to multiply — this was the pre-calculator industry shortcut and still appears in exams.</w:t>
      </w:r>
    </w:p>
    <w:p>
      <w:pPr>
        <w:pStyle w:val="Heading2"/>
        <w:spacing w:after="140" w:before="320"/>
      </w:pPr>
      <w:r>
        <w:rPr>
          <w:b/>
          <w:bCs/>
          <w:color w:val="0F766E"/>
          <w:sz w:val="25"/>
          <w:szCs w:val="25"/>
        </w:rPr>
        <w:t xml:space="preserve">2.3 Measures of Spread (Dispersion)</w:t>
      </w:r>
    </w:p>
    <w:p>
      <w:pPr>
        <w:spacing w:after="140"/>
      </w:pPr>
      <w:r>
        <w:rPr>
          <w:color w:val="222222"/>
          <w:sz w:val="21"/>
          <w:szCs w:val="21"/>
        </w:rPr>
        <w:t xml:space="preserve">Central tendency alone can mislead — two datasets can share the same mean but very different consistency. Dispersion measures how spread out the data is.</w:t>
      </w:r>
    </w:p>
    <w:p>
      <w:pPr>
        <w:spacing w:after="100" w:before="200"/>
      </w:pPr>
      <w:r>
        <w:rPr>
          <w:b/>
          <w:bCs/>
          <w:color w:val="B8860B"/>
          <w:sz w:val="22"/>
          <w:szCs w:val="22"/>
        </w:rPr>
        <w:t xml:space="preserve">Range</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Range</w:t>
            </w:r>
          </w:p>
          <w:p>
            <w:pPr>
              <w:spacing w:after="60"/>
            </w:pPr>
            <w:r>
              <w:rPr>
                <w:rFonts w:ascii="Cambria Math" w:cs="Cambria Math" w:eastAsia="Cambria Math" w:hAnsi="Cambria Math"/>
                <w:b/>
                <w:bCs/>
                <w:color w:val="1F3864"/>
                <w:sz w:val="22"/>
                <w:szCs w:val="22"/>
              </w:rPr>
              <w:t xml:space="preserve">Range = Maximum − Minimum</w:t>
            </w:r>
          </w:p>
        </w:tc>
      </w:tr>
    </w:tbl>
    <w:p>
      <w:pPr>
        <w:spacing w:after="100" w:before="200"/>
      </w:pPr>
      <w:r>
        <w:rPr>
          <w:b/>
          <w:bCs/>
          <w:color w:val="B8860B"/>
          <w:sz w:val="22"/>
          <w:szCs w:val="22"/>
        </w:rPr>
        <w:t xml:space="preserve">Quartiles, Interquartile Range &amp; Quartile Deviation</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Quartile position</w:t>
            </w:r>
          </w:p>
          <w:p>
            <w:pPr>
              <w:spacing w:after="60"/>
            </w:pPr>
            <w:r>
              <w:rPr>
                <w:rFonts w:ascii="Cambria Math" w:cs="Cambria Math" w:eastAsia="Cambria Math" w:hAnsi="Cambria Math"/>
                <w:b/>
                <w:bCs/>
                <w:color w:val="1F3864"/>
                <w:sz w:val="22"/>
                <w:szCs w:val="22"/>
              </w:rPr>
              <w:t xml:space="preserve">Qₖ position = k(n+1)/4, for k = 1, 2, 3</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Interquartile Range (IQR) &amp; Quartile Deviation</w:t>
            </w:r>
          </w:p>
          <w:p>
            <w:pPr>
              <w:spacing w:after="60"/>
            </w:pPr>
            <w:r>
              <w:rPr>
                <w:rFonts w:ascii="Cambria Math" w:cs="Cambria Math" w:eastAsia="Cambria Math" w:hAnsi="Cambria Math"/>
                <w:b/>
                <w:bCs/>
                <w:color w:val="1F3864"/>
                <w:sz w:val="22"/>
                <w:szCs w:val="22"/>
              </w:rPr>
              <w:t xml:space="preserve">IQR = Q₃ − Q₁</w:t>
            </w:r>
          </w:p>
          <w:p>
            <w:pPr>
              <w:spacing w:after="60"/>
            </w:pPr>
            <w:r>
              <w:rPr>
                <w:rFonts w:ascii="Cambria Math" w:cs="Cambria Math" w:eastAsia="Cambria Math" w:hAnsi="Cambria Math"/>
                <w:b/>
                <w:bCs/>
                <w:color w:val="1F3864"/>
                <w:sz w:val="22"/>
                <w:szCs w:val="22"/>
              </w:rPr>
              <w:t xml:space="preserve">Quartile Deviation (QD) = (Q₃ − Q₁) / 2</w:t>
            </w:r>
          </w:p>
          <w:p>
            <w:pPr>
              <w:spacing w:after="60"/>
            </w:pPr>
            <w:r>
              <w:rPr>
                <w:rFonts w:ascii="Cambria Math" w:cs="Cambria Math" w:eastAsia="Cambria Math" w:hAnsi="Cambria Math"/>
                <w:b/>
                <w:bCs/>
                <w:color w:val="1F3864"/>
                <w:sz w:val="22"/>
                <w:szCs w:val="22"/>
              </w:rPr>
              <w:t xml:space="preserve">Coefficient of QD = (Q₃ − Q₁) / (Q₃ + Q₁)</w:t>
            </w:r>
          </w:p>
        </w:tc>
      </w:tr>
    </w:tbl>
    <w:p>
      <w:pPr>
        <w:spacing w:after="100" w:before="200"/>
      </w:pPr>
      <w:r>
        <w:rPr>
          <w:b/>
          <w:bCs/>
          <w:color w:val="B8860B"/>
          <w:sz w:val="22"/>
          <w:szCs w:val="22"/>
        </w:rPr>
        <w:t xml:space="preserve">Mean Deviation &amp; Mean Absolute Deviation</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Mean Deviation (about the mean)</w:t>
            </w:r>
          </w:p>
          <w:p>
            <w:pPr>
              <w:spacing w:after="60"/>
            </w:pPr>
            <w:r>
              <w:rPr>
                <w:rFonts w:ascii="Cambria Math" w:cs="Cambria Math" w:eastAsia="Cambria Math" w:hAnsi="Cambria Math"/>
                <w:b/>
                <w:bCs/>
                <w:color w:val="1F3864"/>
                <w:sz w:val="22"/>
                <w:szCs w:val="22"/>
              </w:rPr>
              <w:t xml:space="preserve">MD = Σ|xᵢ − x̄| / n</w:t>
            </w:r>
          </w:p>
          <w:p>
            <w:pPr>
              <w:spacing w:after="60"/>
            </w:pPr>
            <w:r>
              <w:rPr>
                <w:rFonts w:ascii="Cambria Math" w:cs="Cambria Math" w:eastAsia="Cambria Math" w:hAnsi="Cambria Math"/>
                <w:b/>
                <w:bCs/>
                <w:color w:val="1F3864"/>
                <w:sz w:val="22"/>
                <w:szCs w:val="22"/>
              </w:rPr>
              <w:t xml:space="preserve">Coefficient of MD = MD / x̄</w:t>
            </w:r>
          </w:p>
        </w:tc>
      </w:tr>
    </w:tbl>
    <w:p>
      <w:pPr>
        <w:spacing w:after="100" w:before="200"/>
      </w:pPr>
      <w:r>
        <w:rPr>
          <w:b/>
          <w:bCs/>
          <w:color w:val="B8860B"/>
          <w:sz w:val="22"/>
          <w:szCs w:val="22"/>
        </w:rPr>
        <w:t xml:space="preserve">Variance &amp; Standard Deviation — the most important measures</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Sample Variance &amp; Std. Deviation</w:t>
            </w:r>
          </w:p>
          <w:p>
            <w:pPr>
              <w:spacing w:after="60"/>
            </w:pPr>
            <w:r>
              <w:rPr>
                <w:rFonts w:ascii="Cambria Math" w:cs="Cambria Math" w:eastAsia="Cambria Math" w:hAnsi="Cambria Math"/>
                <w:b/>
                <w:bCs/>
                <w:color w:val="1F3864"/>
                <w:sz w:val="22"/>
                <w:szCs w:val="22"/>
              </w:rPr>
              <w:t xml:space="preserve">s² = Σ(xᵢ − x̄)² / (n − 1)</w:t>
            </w:r>
          </w:p>
          <w:p>
            <w:pPr>
              <w:spacing w:after="60"/>
            </w:pPr>
            <w:r>
              <w:rPr>
                <w:rFonts w:ascii="Cambria Math" w:cs="Cambria Math" w:eastAsia="Cambria Math" w:hAnsi="Cambria Math"/>
                <w:b/>
                <w:bCs/>
                <w:color w:val="1F3864"/>
                <w:sz w:val="22"/>
                <w:szCs w:val="22"/>
              </w:rPr>
              <w:t xml:space="preserve">s = √s²</w:t>
            </w:r>
          </w:p>
          <w:p>
            <w:pPr>
              <w:spacing w:before="60"/>
            </w:pPr>
            <w:r>
              <w:rPr>
                <w:i/>
                <w:iCs/>
                <w:color w:val="5A5A5A"/>
                <w:sz w:val="19"/>
                <w:szCs w:val="19"/>
              </w:rPr>
              <w:t xml:space="preserve">Divide by n for population variance/σ instead of n−1.</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Coefficient of Variation (CV)</w:t>
            </w:r>
          </w:p>
          <w:p>
            <w:pPr>
              <w:spacing w:after="60"/>
            </w:pPr>
            <w:r>
              <w:rPr>
                <w:rFonts w:ascii="Cambria Math" w:cs="Cambria Math" w:eastAsia="Cambria Math" w:hAnsi="Cambria Math"/>
                <w:b/>
                <w:bCs/>
                <w:color w:val="1F3864"/>
                <w:sz w:val="22"/>
                <w:szCs w:val="22"/>
              </w:rPr>
              <w:t xml:space="preserve">CV = (s / x̄) × 100%</w:t>
            </w:r>
          </w:p>
          <w:p>
            <w:pPr>
              <w:spacing w:before="60"/>
            </w:pPr>
            <w:r>
              <w:rPr>
                <w:i/>
                <w:iCs/>
                <w:color w:val="5A5A5A"/>
                <w:sz w:val="19"/>
                <w:szCs w:val="19"/>
              </w:rPr>
              <w:t xml:space="preserve">Used to compare variability across datasets with different units or scales — e.g., comparing the volatility of two stocks.</w:t>
            </w:r>
          </w:p>
        </w:tc>
      </w:tr>
    </w:tbl>
    <w:p>
      <w:pPr>
        <w:spacing w:after="120"/>
      </w:pPr>
    </w:p>
    <w:p>
      <w:pPr>
        <w:spacing w:after="100" w:before="200"/>
      </w:pPr>
      <w:r>
        <w:rPr>
          <w:b/>
          <w:bCs/>
          <w:color w:val="B8860B"/>
          <w:sz w:val="22"/>
          <w:szCs w:val="22"/>
        </w:rPr>
        <w:t xml:space="preserve">Worked Example — Standard Deviation</w:t>
      </w:r>
    </w:p>
    <w:p>
      <w:pPr>
        <w:spacing w:after="140"/>
      </w:pPr>
      <w:r>
        <w:rPr>
          <w:color w:val="222222"/>
          <w:sz w:val="21"/>
          <w:szCs w:val="21"/>
        </w:rPr>
        <w:t xml:space="preserve">Two branches report identical average daily footfall (x̄ = 100), but:</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200"/>
        <w:gridCol w:w="4500"/>
        <w:gridCol w:w="2650"/>
      </w:tblGrid>
      <w:tr>
        <w:trPr>
          <w:tblHeader/>
        </w:trPr>
        <w:tc>
          <w:tcPr>
            <w:tcW w:type="dxa" w:w="2200"/>
            <w:shd w:fill="1F3864" w:color="auto" w:val="clear"/>
            <w:tcMar>
              <w:top w:type="dxa" w:w="80"/>
              <w:left w:type="dxa" w:w="100"/>
              <w:bottom w:type="dxa" w:w="80"/>
              <w:right w:type="dxa" w:w="100"/>
            </w:tcMar>
            <w:vAlign w:val="center"/>
          </w:tcPr>
          <w:p>
            <w:pPr>
              <w:jc w:val="center"/>
            </w:pPr>
            <w:r>
              <w:rPr>
                <w:b/>
                <w:bCs/>
                <w:color w:val="FFFFFF"/>
                <w:sz w:val="19"/>
                <w:szCs w:val="19"/>
              </w:rPr>
              <w:t xml:space="preserve">Branch</w:t>
            </w:r>
          </w:p>
        </w:tc>
        <w:tc>
          <w:tcPr>
            <w:tcW w:type="dxa" w:w="4500"/>
            <w:shd w:fill="1F3864" w:color="auto" w:val="clear"/>
            <w:tcMar>
              <w:top w:type="dxa" w:w="80"/>
              <w:left w:type="dxa" w:w="100"/>
              <w:bottom w:type="dxa" w:w="80"/>
              <w:right w:type="dxa" w:w="100"/>
            </w:tcMar>
            <w:vAlign w:val="center"/>
          </w:tcPr>
          <w:p>
            <w:pPr>
              <w:jc w:val="center"/>
            </w:pPr>
            <w:r>
              <w:rPr>
                <w:b/>
                <w:bCs/>
                <w:color w:val="FFFFFF"/>
                <w:sz w:val="19"/>
                <w:szCs w:val="19"/>
              </w:rPr>
              <w:t xml:space="preserve">Daily footfall (5 days)</w:t>
            </w:r>
          </w:p>
        </w:tc>
        <w:tc>
          <w:tcPr>
            <w:tcW w:type="dxa" w:w="2650"/>
            <w:shd w:fill="1F3864" w:color="auto" w:val="clear"/>
            <w:tcMar>
              <w:top w:type="dxa" w:w="80"/>
              <w:left w:type="dxa" w:w="100"/>
              <w:bottom w:type="dxa" w:w="80"/>
              <w:right w:type="dxa" w:w="100"/>
            </w:tcMar>
            <w:vAlign w:val="center"/>
          </w:tcPr>
          <w:p>
            <w:pPr>
              <w:jc w:val="center"/>
            </w:pPr>
            <w:r>
              <w:rPr>
                <w:b/>
                <w:bCs/>
                <w:color w:val="FFFFFF"/>
                <w:sz w:val="19"/>
                <w:szCs w:val="19"/>
              </w:rPr>
              <w:t xml:space="preserve">Std. Deviation</w:t>
            </w:r>
          </w:p>
        </w:tc>
      </w:tr>
      <w:tr>
        <w:tc>
          <w:tcPr>
            <w:tcW w:type="dxa" w:w="2200"/>
            <w:shd w:fill="FFFFFF" w:color="auto" w:val="clear"/>
            <w:tcMar>
              <w:top w:type="dxa" w:w="70"/>
              <w:left w:type="dxa" w:w="100"/>
              <w:bottom w:type="dxa" w:w="70"/>
              <w:right w:type="dxa" w:w="100"/>
            </w:tcMar>
            <w:vAlign w:val="center"/>
          </w:tcPr>
          <w:p>
            <w:pPr>
              <w:jc w:val="center"/>
            </w:pPr>
            <w:r>
              <w:rPr>
                <w:color w:val="222222"/>
                <w:sz w:val="19"/>
                <w:szCs w:val="19"/>
              </w:rPr>
              <w:t xml:space="preserve">Branch A</w:t>
            </w:r>
          </w:p>
        </w:tc>
        <w:tc>
          <w:tcPr>
            <w:tcW w:type="dxa" w:w="4500"/>
            <w:shd w:fill="FFFFFF" w:color="auto" w:val="clear"/>
            <w:tcMar>
              <w:top w:type="dxa" w:w="70"/>
              <w:left w:type="dxa" w:w="100"/>
              <w:bottom w:type="dxa" w:w="70"/>
              <w:right w:type="dxa" w:w="100"/>
            </w:tcMar>
            <w:vAlign w:val="center"/>
          </w:tcPr>
          <w:p>
            <w:pPr>
              <w:jc w:val="center"/>
            </w:pPr>
            <w:r>
              <w:rPr>
                <w:color w:val="222222"/>
                <w:sz w:val="19"/>
                <w:szCs w:val="19"/>
              </w:rPr>
              <w:t xml:space="preserve">98, 99, 100, 101, 102</w:t>
            </w:r>
          </w:p>
        </w:tc>
        <w:tc>
          <w:tcPr>
            <w:tcW w:type="dxa" w:w="2650"/>
            <w:shd w:fill="FFFFFF" w:color="auto" w:val="clear"/>
            <w:tcMar>
              <w:top w:type="dxa" w:w="70"/>
              <w:left w:type="dxa" w:w="100"/>
              <w:bottom w:type="dxa" w:w="70"/>
              <w:right w:type="dxa" w:w="100"/>
            </w:tcMar>
            <w:vAlign w:val="center"/>
          </w:tcPr>
          <w:p>
            <w:pPr>
              <w:jc w:val="center"/>
            </w:pPr>
            <w:r>
              <w:rPr>
                <w:color w:val="222222"/>
                <w:sz w:val="19"/>
                <w:szCs w:val="19"/>
              </w:rPr>
              <w:t xml:space="preserve">≈ 1.58 (consistent)</w:t>
            </w:r>
          </w:p>
        </w:tc>
      </w:tr>
      <w:tr>
        <w:tc>
          <w:tcPr>
            <w:tcW w:type="dxa" w:w="2200"/>
            <w:shd w:fill="F2F5F7" w:color="auto" w:val="clear"/>
            <w:tcMar>
              <w:top w:type="dxa" w:w="70"/>
              <w:left w:type="dxa" w:w="100"/>
              <w:bottom w:type="dxa" w:w="70"/>
              <w:right w:type="dxa" w:w="100"/>
            </w:tcMar>
            <w:vAlign w:val="center"/>
          </w:tcPr>
          <w:p>
            <w:pPr>
              <w:jc w:val="center"/>
            </w:pPr>
            <w:r>
              <w:rPr>
                <w:color w:val="222222"/>
                <w:sz w:val="19"/>
                <w:szCs w:val="19"/>
              </w:rPr>
              <w:t xml:space="preserve">Branch B</w:t>
            </w:r>
          </w:p>
        </w:tc>
        <w:tc>
          <w:tcPr>
            <w:tcW w:type="dxa" w:w="4500"/>
            <w:shd w:fill="F2F5F7" w:color="auto" w:val="clear"/>
            <w:tcMar>
              <w:top w:type="dxa" w:w="70"/>
              <w:left w:type="dxa" w:w="100"/>
              <w:bottom w:type="dxa" w:w="70"/>
              <w:right w:type="dxa" w:w="100"/>
            </w:tcMar>
            <w:vAlign w:val="center"/>
          </w:tcPr>
          <w:p>
            <w:pPr>
              <w:jc w:val="center"/>
            </w:pPr>
            <w:r>
              <w:rPr>
                <w:color w:val="222222"/>
                <w:sz w:val="19"/>
                <w:szCs w:val="19"/>
              </w:rPr>
              <w:t xml:space="preserve">60, 85, 100, 120, 135</w:t>
            </w:r>
          </w:p>
        </w:tc>
        <w:tc>
          <w:tcPr>
            <w:tcW w:type="dxa" w:w="2650"/>
            <w:shd w:fill="F2F5F7" w:color="auto" w:val="clear"/>
            <w:tcMar>
              <w:top w:type="dxa" w:w="70"/>
              <w:left w:type="dxa" w:w="100"/>
              <w:bottom w:type="dxa" w:w="70"/>
              <w:right w:type="dxa" w:w="100"/>
            </w:tcMar>
            <w:vAlign w:val="center"/>
          </w:tcPr>
          <w:p>
            <w:pPr>
              <w:jc w:val="center"/>
            </w:pPr>
            <w:r>
              <w:rPr>
                <w:color w:val="222222"/>
                <w:sz w:val="19"/>
                <w:szCs w:val="19"/>
              </w:rPr>
              <w:t xml:space="preserve">≈ 28.2 (volatile)</w:t>
            </w:r>
          </w:p>
        </w:tc>
      </w:tr>
    </w:tbl>
    <w:p>
      <w:pPr>
        <w:spacing w:after="200" w:before="60"/>
      </w:pPr>
      <w:r>
        <w:rPr>
          <w:i/>
          <w:iCs/>
          <w:color w:val="5A5A5A"/>
          <w:sz w:val="18"/>
          <w:szCs w:val="18"/>
        </w:rPr>
        <w:t xml:space="preserve">Same mean, very different reliability — this is exactly why the mean is never reported alone in serious business analysis.</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Variance and standard deviation are the mathematical engine behind almost everything ahead: risk in Finance (portfolio variance), process control limits in Operations (Six Sigma), and the 'error term' in every regression model in Business Analytics.</w:t>
            </w:r>
          </w:p>
        </w:tc>
      </w:tr>
    </w:tbl>
    <w:p>
      <w:pPr>
        <w:pStyle w:val="Heading2"/>
        <w:spacing w:after="140" w:before="320"/>
      </w:pPr>
      <w:r>
        <w:rPr>
          <w:b/>
          <w:bCs/>
          <w:color w:val="0F766E"/>
          <w:sz w:val="25"/>
          <w:szCs w:val="25"/>
        </w:rPr>
        <w:t xml:space="preserve">2.4 Shapes of Distribution</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3100"/>
        <w:gridCol w:w="4200"/>
        <w:gridCol w:w="2050"/>
      </w:tblGrid>
      <w:tr>
        <w:trPr>
          <w:tblHeader/>
        </w:trPr>
        <w:tc>
          <w:tcPr>
            <w:tcW w:type="dxa" w:w="3100"/>
            <w:shd w:fill="1F3864" w:color="auto" w:val="clear"/>
            <w:tcMar>
              <w:top w:type="dxa" w:w="80"/>
              <w:left w:type="dxa" w:w="100"/>
              <w:bottom w:type="dxa" w:w="80"/>
              <w:right w:type="dxa" w:w="100"/>
            </w:tcMar>
            <w:vAlign w:val="center"/>
          </w:tcPr>
          <w:p>
            <w:pPr>
              <w:jc w:val="center"/>
            </w:pPr>
            <w:r>
              <w:rPr>
                <w:b/>
                <w:bCs/>
                <w:color w:val="FFFFFF"/>
                <w:sz w:val="19"/>
                <w:szCs w:val="19"/>
              </w:rPr>
              <w:t xml:space="preserve">Shape</w:t>
            </w:r>
          </w:p>
        </w:tc>
        <w:tc>
          <w:tcPr>
            <w:tcW w:type="dxa" w:w="4200"/>
            <w:shd w:fill="1F3864" w:color="auto" w:val="clear"/>
            <w:tcMar>
              <w:top w:type="dxa" w:w="80"/>
              <w:left w:type="dxa" w:w="100"/>
              <w:bottom w:type="dxa" w:w="80"/>
              <w:right w:type="dxa" w:w="100"/>
            </w:tcMar>
            <w:vAlign w:val="center"/>
          </w:tcPr>
          <w:p>
            <w:pPr>
              <w:jc w:val="center"/>
            </w:pPr>
            <w:r>
              <w:rPr>
                <w:b/>
                <w:bCs/>
                <w:color w:val="FFFFFF"/>
                <w:sz w:val="19"/>
                <w:szCs w:val="19"/>
              </w:rPr>
              <w:t xml:space="preserve">Description</w:t>
            </w:r>
          </w:p>
        </w:tc>
        <w:tc>
          <w:tcPr>
            <w:tcW w:type="dxa" w:w="2050"/>
            <w:shd w:fill="1F3864" w:color="auto" w:val="clear"/>
            <w:tcMar>
              <w:top w:type="dxa" w:w="80"/>
              <w:left w:type="dxa" w:w="100"/>
              <w:bottom w:type="dxa" w:w="80"/>
              <w:right w:type="dxa" w:w="100"/>
            </w:tcMar>
            <w:vAlign w:val="center"/>
          </w:tcPr>
          <w:p>
            <w:pPr>
              <w:jc w:val="center"/>
            </w:pPr>
            <w:r>
              <w:rPr>
                <w:b/>
                <w:bCs/>
                <w:color w:val="FFFFFF"/>
                <w:sz w:val="19"/>
                <w:szCs w:val="19"/>
              </w:rPr>
              <w:t xml:space="preserve">Mean vs Median</w:t>
            </w:r>
          </w:p>
        </w:tc>
      </w:tr>
      <w:tr>
        <w:tc>
          <w:tcPr>
            <w:tcW w:type="dxa" w:w="3100"/>
            <w:shd w:fill="FFFFFF" w:color="auto" w:val="clear"/>
            <w:tcMar>
              <w:top w:type="dxa" w:w="70"/>
              <w:left w:type="dxa" w:w="100"/>
              <w:bottom w:type="dxa" w:w="70"/>
              <w:right w:type="dxa" w:w="100"/>
            </w:tcMar>
            <w:vAlign w:val="center"/>
          </w:tcPr>
          <w:p>
            <w:pPr>
              <w:jc w:val="center"/>
            </w:pPr>
            <w:r>
              <w:rPr>
                <w:color w:val="222222"/>
                <w:sz w:val="19"/>
                <w:szCs w:val="19"/>
              </w:rPr>
              <w:t xml:space="preserve">Symmetric (Normal)</w:t>
            </w:r>
          </w:p>
        </w:tc>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Bell-shaped, balanced on both sides</w:t>
            </w:r>
          </w:p>
        </w:tc>
        <w:tc>
          <w:tcPr>
            <w:tcW w:type="dxa" w:w="2050"/>
            <w:shd w:fill="FFFFFF" w:color="auto" w:val="clear"/>
            <w:tcMar>
              <w:top w:type="dxa" w:w="70"/>
              <w:left w:type="dxa" w:w="100"/>
              <w:bottom w:type="dxa" w:w="70"/>
              <w:right w:type="dxa" w:w="100"/>
            </w:tcMar>
            <w:vAlign w:val="center"/>
          </w:tcPr>
          <w:p>
            <w:pPr>
              <w:jc w:val="center"/>
            </w:pPr>
            <w:r>
              <w:rPr>
                <w:color w:val="222222"/>
                <w:sz w:val="19"/>
                <w:szCs w:val="19"/>
              </w:rPr>
              <w:t xml:space="preserve">Mean = Median = Mode</w:t>
            </w:r>
          </w:p>
        </w:tc>
      </w:tr>
      <w:tr>
        <w:tc>
          <w:tcPr>
            <w:tcW w:type="dxa" w:w="3100"/>
            <w:shd w:fill="F2F5F7" w:color="auto" w:val="clear"/>
            <w:tcMar>
              <w:top w:type="dxa" w:w="70"/>
              <w:left w:type="dxa" w:w="100"/>
              <w:bottom w:type="dxa" w:w="70"/>
              <w:right w:type="dxa" w:w="100"/>
            </w:tcMar>
            <w:vAlign w:val="center"/>
          </w:tcPr>
          <w:p>
            <w:pPr>
              <w:jc w:val="center"/>
            </w:pPr>
            <w:r>
              <w:rPr>
                <w:color w:val="222222"/>
                <w:sz w:val="19"/>
                <w:szCs w:val="19"/>
              </w:rPr>
              <w:t xml:space="preserve">Right/Positively Skewed</w:t>
            </w:r>
          </w:p>
        </w:tc>
        <w:tc>
          <w:tcPr>
            <w:tcW w:type="dxa" w:w="4200"/>
            <w:shd w:fill="F2F5F7" w:color="auto" w:val="clear"/>
            <w:tcMar>
              <w:top w:type="dxa" w:w="70"/>
              <w:left w:type="dxa" w:w="100"/>
              <w:bottom w:type="dxa" w:w="70"/>
              <w:right w:type="dxa" w:w="100"/>
            </w:tcMar>
            <w:vAlign w:val="center"/>
          </w:tcPr>
          <w:p>
            <w:pPr>
              <w:jc w:val="center"/>
            </w:pPr>
            <w:r>
              <w:rPr>
                <w:color w:val="222222"/>
                <w:sz w:val="19"/>
                <w:szCs w:val="19"/>
              </w:rPr>
              <w:t xml:space="preserve">Long tail to the right (high outliers)</w:t>
            </w:r>
          </w:p>
        </w:tc>
        <w:tc>
          <w:tcPr>
            <w:tcW w:type="dxa" w:w="2050"/>
            <w:shd w:fill="F2F5F7" w:color="auto" w:val="clear"/>
            <w:tcMar>
              <w:top w:type="dxa" w:w="70"/>
              <w:left w:type="dxa" w:w="100"/>
              <w:bottom w:type="dxa" w:w="70"/>
              <w:right w:type="dxa" w:w="100"/>
            </w:tcMar>
            <w:vAlign w:val="center"/>
          </w:tcPr>
          <w:p>
            <w:pPr>
              <w:jc w:val="center"/>
            </w:pPr>
            <w:r>
              <w:rPr>
                <w:color w:val="222222"/>
                <w:sz w:val="19"/>
                <w:szCs w:val="19"/>
              </w:rPr>
              <w:t xml:space="preserve">Mean &gt; Median &gt; Mode</w:t>
            </w:r>
          </w:p>
        </w:tc>
      </w:tr>
      <w:tr>
        <w:tc>
          <w:tcPr>
            <w:tcW w:type="dxa" w:w="3100"/>
            <w:shd w:fill="FFFFFF" w:color="auto" w:val="clear"/>
            <w:tcMar>
              <w:top w:type="dxa" w:w="70"/>
              <w:left w:type="dxa" w:w="100"/>
              <w:bottom w:type="dxa" w:w="70"/>
              <w:right w:type="dxa" w:w="100"/>
            </w:tcMar>
            <w:vAlign w:val="center"/>
          </w:tcPr>
          <w:p>
            <w:pPr>
              <w:jc w:val="center"/>
            </w:pPr>
            <w:r>
              <w:rPr>
                <w:color w:val="222222"/>
                <w:sz w:val="19"/>
                <w:szCs w:val="19"/>
              </w:rPr>
              <w:t xml:space="preserve">Left/Negatively Skewed</w:t>
            </w:r>
          </w:p>
        </w:tc>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Long tail to the left (low outliers)</w:t>
            </w:r>
          </w:p>
        </w:tc>
        <w:tc>
          <w:tcPr>
            <w:tcW w:type="dxa" w:w="2050"/>
            <w:shd w:fill="FFFFFF" w:color="auto" w:val="clear"/>
            <w:tcMar>
              <w:top w:type="dxa" w:w="70"/>
              <w:left w:type="dxa" w:w="100"/>
              <w:bottom w:type="dxa" w:w="70"/>
              <w:right w:type="dxa" w:w="100"/>
            </w:tcMar>
            <w:vAlign w:val="center"/>
          </w:tcPr>
          <w:p>
            <w:pPr>
              <w:jc w:val="center"/>
            </w:pPr>
            <w:r>
              <w:rPr>
                <w:color w:val="222222"/>
                <w:sz w:val="19"/>
                <w:szCs w:val="19"/>
              </w:rPr>
              <w:t xml:space="preserve">Mean &lt; Median &lt; Mode</w:t>
            </w:r>
          </w:p>
        </w:tc>
      </w:tr>
    </w:tbl>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The Normal Distribution shape becomes the foundation of the entire Central Limit Theorem and hypothesis testing framework you'll formally study in Business Statistics II / Research Methodology.</w:t>
            </w:r>
          </w:p>
        </w:tc>
      </w:tr>
    </w:tbl>
    <w:p>
      <w:pPr>
        <w:pStyle w:val="Heading2"/>
        <w:spacing w:after="140" w:before="320"/>
      </w:pPr>
      <w:r>
        <w:rPr>
          <w:b/>
          <w:bCs/>
          <w:color w:val="0F766E"/>
          <w:sz w:val="25"/>
          <w:szCs w:val="25"/>
        </w:rPr>
        <w:t xml:space="preserve">2.5 Index Numbers</w:t>
      </w:r>
    </w:p>
    <w:p>
      <w:pPr>
        <w:spacing w:after="140"/>
      </w:pPr>
      <w:r>
        <w:rPr>
          <w:color w:val="222222"/>
          <w:sz w:val="21"/>
          <w:szCs w:val="21"/>
        </w:rPr>
        <w:t xml:space="preserve">An index number measures the relative change in a variable (price, quantity, or value) over time compared to a fixed base period, expressed as a percentage.</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Simple Price Index</w:t>
            </w:r>
          </w:p>
          <w:p>
            <w:pPr>
              <w:spacing w:after="60"/>
            </w:pPr>
            <w:r>
              <w:rPr>
                <w:rFonts w:ascii="Cambria Math" w:cs="Cambria Math" w:eastAsia="Cambria Math" w:hAnsi="Cambria Math"/>
                <w:b/>
                <w:bCs/>
                <w:color w:val="1F3864"/>
                <w:sz w:val="22"/>
                <w:szCs w:val="22"/>
              </w:rPr>
              <w:t xml:space="preserve">Price Index = (Pₙ / P₀) × 100</w:t>
            </w:r>
          </w:p>
          <w:p>
            <w:pPr>
              <w:spacing w:before="60"/>
            </w:pPr>
            <w:r>
              <w:rPr>
                <w:i/>
                <w:iCs/>
                <w:color w:val="5A5A5A"/>
                <w:sz w:val="19"/>
                <w:szCs w:val="19"/>
              </w:rPr>
              <w:t xml:space="preserve">Pₙ = price in current year, P₀ = price in base year.</w:t>
            </w:r>
          </w:p>
        </w:tc>
      </w:tr>
    </w:tbl>
    <w:p>
      <w:pPr>
        <w:spacing w:after="140"/>
      </w:pPr>
      <w:r>
        <w:rPr>
          <w:color w:val="222222"/>
          <w:sz w:val="21"/>
          <w:szCs w:val="21"/>
        </w:rPr>
        <w:t xml:space="preserve">Worked example: if a basket cost ₹200 in the base year and ₹250 today, Index = (250/200) × 100 = 125 — a 25% increase since the base year.</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Index numbers are exactly how you'll read Consumer Price Index (CPI), Wholesale Price Index (WPI), and stock market indices like NIFTY/SENSEX in Managerial Economics — same formula, national scale.</w:t>
            </w:r>
          </w:p>
        </w:tc>
      </w:tr>
    </w:tbl>
    <w:p>
      <w:r>
        <w:br w:type="page"/>
      </w:r>
    </w:p>
    <w:p>
      <w:pPr>
        <w:pStyle w:val="Heading1"/>
        <w:pBdr>
          <w:bottom w:val="single" w:color="1F3864" w:sz="12" w:space="4"/>
        </w:pBdr>
        <w:spacing w:after="200" w:before="480"/>
      </w:pPr>
      <w:r>
        <w:rPr>
          <w:b/>
          <w:bCs/>
          <w:color w:val="1F3864"/>
          <w:sz w:val="32"/>
          <w:szCs w:val="32"/>
        </w:rPr>
        <w:t xml:space="preserve">UNIT 3 — Statistical Methods II</w:t>
      </w:r>
    </w:p>
    <w:p>
      <w:pPr>
        <w:pStyle w:val="Heading2"/>
        <w:spacing w:after="140" w:before="320"/>
      </w:pPr>
      <w:r>
        <w:rPr>
          <w:b/>
          <w:bCs/>
          <w:color w:val="0F766E"/>
          <w:sz w:val="25"/>
          <w:szCs w:val="25"/>
        </w:rPr>
        <w:t xml:space="preserve">3.1 Skewness &amp; Kurtosis</w:t>
      </w:r>
    </w:p>
    <w:p>
      <w:pPr>
        <w:spacing w:after="140"/>
      </w:pPr>
      <w:r>
        <w:rPr>
          <w:color w:val="222222"/>
          <w:sz w:val="21"/>
          <w:szCs w:val="21"/>
        </w:rPr>
        <w:t xml:space="preserve">Skewness measures the asymmetry of a distribution; kurtosis measures how 'peaked' or 'flat' it is (the thickness of its tails) relative to a Normal distribution.</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Karl Pearson's Coefficient of Skewness</w:t>
            </w:r>
          </w:p>
          <w:p>
            <w:pPr>
              <w:spacing w:after="60"/>
            </w:pPr>
            <w:r>
              <w:rPr>
                <w:rFonts w:ascii="Cambria Math" w:cs="Cambria Math" w:eastAsia="Cambria Math" w:hAnsi="Cambria Math"/>
                <w:b/>
                <w:bCs/>
                <w:color w:val="1F3864"/>
                <w:sz w:val="22"/>
                <w:szCs w:val="22"/>
              </w:rPr>
              <w:t xml:space="preserve">Sk = (Mean − Mode) / Std. Deviation</w:t>
            </w:r>
          </w:p>
          <w:p>
            <w:pPr>
              <w:spacing w:after="60"/>
            </w:pPr>
            <w:r>
              <w:rPr>
                <w:rFonts w:ascii="Cambria Math" w:cs="Cambria Math" w:eastAsia="Cambria Math" w:hAnsi="Cambria Math"/>
                <w:b/>
                <w:bCs/>
                <w:color w:val="1F3864"/>
                <w:sz w:val="22"/>
                <w:szCs w:val="22"/>
              </w:rPr>
              <w:t xml:space="preserve">or (when mode is ill-defined): Sk = 3(Mean − Median) / Std. Deviation</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Bowley's Coefficient of Skewness (quartile-based)</w:t>
            </w:r>
          </w:p>
          <w:p>
            <w:pPr>
              <w:spacing w:after="60"/>
            </w:pPr>
            <w:r>
              <w:rPr>
                <w:rFonts w:ascii="Cambria Math" w:cs="Cambria Math" w:eastAsia="Cambria Math" w:hAnsi="Cambria Math"/>
                <w:b/>
                <w:bCs/>
                <w:color w:val="1F3864"/>
                <w:sz w:val="22"/>
                <w:szCs w:val="22"/>
              </w:rPr>
              <w:t xml:space="preserve">Sk = (Q₃ + Q₁ − 2×Median) / (Q₃ − Q₁)</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Kurtosis</w:t>
            </w:r>
          </w:p>
          <w:p>
            <w:pPr>
              <w:spacing w:after="60"/>
            </w:pPr>
            <w:r>
              <w:rPr>
                <w:rFonts w:ascii="Cambria Math" w:cs="Cambria Math" w:eastAsia="Cambria Math" w:hAnsi="Cambria Math"/>
                <w:b/>
                <w:bCs/>
                <w:color w:val="1F3864"/>
                <w:sz w:val="22"/>
                <w:szCs w:val="22"/>
              </w:rPr>
              <w:t xml:space="preserve">Kurtosis = μ₄ / σ⁴  (fourth standardized moment)</w:t>
            </w:r>
          </w:p>
          <w:p>
            <w:pPr>
              <w:spacing w:before="60"/>
            </w:pPr>
            <w:r>
              <w:rPr>
                <w:i/>
                <w:iCs/>
                <w:color w:val="5A5A5A"/>
                <w:sz w:val="19"/>
                <w:szCs w:val="19"/>
              </w:rPr>
              <w:t xml:space="preserve">Kurtosis = 3: Mesokurtic (normal); &gt; 3: Leptokurtic (peaked, fat tails); &lt; 3: Platykurtic (flat).</w:t>
            </w:r>
          </w:p>
        </w:tc>
      </w:tr>
    </w:tbl>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Skewness and kurtosis are the two checks you'll run before trusting any regression or forecasting model — most classical models assume the data (or the residuals) are roughly normal.</w:t>
            </w:r>
          </w:p>
        </w:tc>
      </w:tr>
    </w:tbl>
    <w:p>
      <w:pPr>
        <w:pStyle w:val="Heading2"/>
        <w:spacing w:after="140" w:before="320"/>
      </w:pPr>
      <w:r>
        <w:rPr>
          <w:b/>
          <w:bCs/>
          <w:color w:val="0F766E"/>
          <w:sz w:val="25"/>
          <w:szCs w:val="25"/>
        </w:rPr>
        <w:t xml:space="preserve">3.2 Covariance &amp; Correlation</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Covariance</w:t>
            </w:r>
          </w:p>
          <w:p>
            <w:pPr>
              <w:spacing w:after="60"/>
            </w:pPr>
            <w:r>
              <w:rPr>
                <w:rFonts w:ascii="Cambria Math" w:cs="Cambria Math" w:eastAsia="Cambria Math" w:hAnsi="Cambria Math"/>
                <w:b/>
                <w:bCs/>
                <w:color w:val="1F3864"/>
                <w:sz w:val="22"/>
                <w:szCs w:val="22"/>
              </w:rPr>
              <w:t xml:space="preserve">Cov(x,y) = Σ[(xᵢ − x̄)(yᵢ − ȳ)] / n</w:t>
            </w:r>
          </w:p>
          <w:p>
            <w:pPr>
              <w:spacing w:before="60"/>
            </w:pPr>
            <w:r>
              <w:rPr>
                <w:i/>
                <w:iCs/>
                <w:color w:val="5A5A5A"/>
                <w:sz w:val="19"/>
                <w:szCs w:val="19"/>
              </w:rPr>
              <w:t xml:space="preserve">Sign tells direction of relationship; magnitude is hard to interpret because it depends on units.</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Karl Pearson's Correlation Coefficient (r)</w:t>
            </w:r>
          </w:p>
          <w:p>
            <w:pPr>
              <w:spacing w:after="60"/>
            </w:pPr>
            <w:r>
              <w:rPr>
                <w:rFonts w:ascii="Cambria Math" w:cs="Cambria Math" w:eastAsia="Cambria Math" w:hAnsi="Cambria Math"/>
                <w:b/>
                <w:bCs/>
                <w:color w:val="1F3864"/>
                <w:sz w:val="22"/>
                <w:szCs w:val="22"/>
              </w:rPr>
              <w:t xml:space="preserve">r = Cov(x,y) / (σₓ × σᵧ)</w:t>
            </w:r>
          </w:p>
          <w:p>
            <w:pPr>
              <w:spacing w:after="60"/>
            </w:pPr>
            <w:r>
              <w:rPr>
                <w:rFonts w:ascii="Cambria Math" w:cs="Cambria Math" w:eastAsia="Cambria Math" w:hAnsi="Cambria Math"/>
                <w:b/>
                <w:bCs/>
                <w:color w:val="1F3864"/>
                <w:sz w:val="22"/>
                <w:szCs w:val="22"/>
              </w:rPr>
              <w:t xml:space="preserve">  = Σ(xᵢ−x̄)(yᵢ−ȳ) / √[Σ(xᵢ−x̄)² · Σ(yᵢ−ȳ)²]</w:t>
            </w:r>
          </w:p>
          <w:p>
            <w:pPr>
              <w:spacing w:before="60"/>
            </w:pPr>
            <w:r>
              <w:rPr>
                <w:i/>
                <w:iCs/>
                <w:color w:val="5A5A5A"/>
                <w:sz w:val="19"/>
                <w:szCs w:val="19"/>
              </w:rPr>
              <w:t xml:space="preserve">r ranges from −1 (perfect negative) to +1 (perfect positive); r = 0 means no linear relationship.</w:t>
            </w:r>
          </w:p>
        </w:tc>
      </w:tr>
    </w:tbl>
    <w:p>
      <w:pPr>
        <w:spacing w:after="100" w:before="200"/>
      </w:pPr>
      <w:r>
        <w:rPr>
          <w:b/>
          <w:bCs/>
          <w:color w:val="B8860B"/>
          <w:sz w:val="22"/>
          <w:szCs w:val="22"/>
        </w:rPr>
        <w:t xml:space="preserve">Worked Example</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000"/>
        <w:gridCol w:w="1470"/>
        <w:gridCol w:w="1470"/>
        <w:gridCol w:w="1470"/>
        <w:gridCol w:w="1470"/>
        <w:gridCol w:w="1470"/>
      </w:tblGrid>
      <w:tr>
        <w:trPr>
          <w:tblHeader/>
        </w:trPr>
        <w:tc>
          <w:tcPr>
            <w:tcW w:type="dxa" w:w="2000"/>
            <w:shd w:fill="1F3864" w:color="auto" w:val="clear"/>
            <w:tcMar>
              <w:top w:type="dxa" w:w="80"/>
              <w:left w:type="dxa" w:w="100"/>
              <w:bottom w:type="dxa" w:w="80"/>
              <w:right w:type="dxa" w:w="100"/>
            </w:tcMar>
            <w:vAlign w:val="center"/>
          </w:tcPr>
          <w:p>
            <w:pPr>
              <w:jc w:val="center"/>
            </w:pPr>
            <w:r>
              <w:rPr>
                <w:b/>
                <w:bCs/>
                <w:color w:val="FFFFFF"/>
                <w:sz w:val="19"/>
                <w:szCs w:val="19"/>
              </w:rPr>
              <w:t xml:space="preserve">Ad Spend (₹'000)</w:t>
            </w:r>
          </w:p>
        </w:tc>
        <w:tc>
          <w:tcPr>
            <w:tcW w:type="dxa" w:w="1470"/>
            <w:shd w:fill="1F3864" w:color="auto" w:val="clear"/>
            <w:tcMar>
              <w:top w:type="dxa" w:w="80"/>
              <w:left w:type="dxa" w:w="100"/>
              <w:bottom w:type="dxa" w:w="80"/>
              <w:right w:type="dxa" w:w="100"/>
            </w:tcMar>
            <w:vAlign w:val="center"/>
          </w:tcPr>
          <w:p>
            <w:pPr>
              <w:jc w:val="center"/>
            </w:pPr>
            <w:r>
              <w:rPr>
                <w:b/>
                <w:bCs/>
                <w:color w:val="FFFFFF"/>
                <w:sz w:val="19"/>
                <w:szCs w:val="19"/>
              </w:rPr>
              <w:t xml:space="preserve">10</w:t>
            </w:r>
          </w:p>
        </w:tc>
        <w:tc>
          <w:tcPr>
            <w:tcW w:type="dxa" w:w="1470"/>
            <w:shd w:fill="1F3864" w:color="auto" w:val="clear"/>
            <w:tcMar>
              <w:top w:type="dxa" w:w="80"/>
              <w:left w:type="dxa" w:w="100"/>
              <w:bottom w:type="dxa" w:w="80"/>
              <w:right w:type="dxa" w:w="100"/>
            </w:tcMar>
            <w:vAlign w:val="center"/>
          </w:tcPr>
          <w:p>
            <w:pPr>
              <w:jc w:val="center"/>
            </w:pPr>
            <w:r>
              <w:rPr>
                <w:b/>
                <w:bCs/>
                <w:color w:val="FFFFFF"/>
                <w:sz w:val="19"/>
                <w:szCs w:val="19"/>
              </w:rPr>
              <w:t xml:space="preserve">20</w:t>
            </w:r>
          </w:p>
        </w:tc>
        <w:tc>
          <w:tcPr>
            <w:tcW w:type="dxa" w:w="1470"/>
            <w:shd w:fill="1F3864" w:color="auto" w:val="clear"/>
            <w:tcMar>
              <w:top w:type="dxa" w:w="80"/>
              <w:left w:type="dxa" w:w="100"/>
              <w:bottom w:type="dxa" w:w="80"/>
              <w:right w:type="dxa" w:w="100"/>
            </w:tcMar>
            <w:vAlign w:val="center"/>
          </w:tcPr>
          <w:p>
            <w:pPr>
              <w:jc w:val="center"/>
            </w:pPr>
            <w:r>
              <w:rPr>
                <w:b/>
                <w:bCs/>
                <w:color w:val="FFFFFF"/>
                <w:sz w:val="19"/>
                <w:szCs w:val="19"/>
              </w:rPr>
              <w:t xml:space="preserve">30</w:t>
            </w:r>
          </w:p>
        </w:tc>
        <w:tc>
          <w:tcPr>
            <w:tcW w:type="dxa" w:w="1470"/>
            <w:shd w:fill="1F3864" w:color="auto" w:val="clear"/>
            <w:tcMar>
              <w:top w:type="dxa" w:w="80"/>
              <w:left w:type="dxa" w:w="100"/>
              <w:bottom w:type="dxa" w:w="80"/>
              <w:right w:type="dxa" w:w="100"/>
            </w:tcMar>
            <w:vAlign w:val="center"/>
          </w:tcPr>
          <w:p>
            <w:pPr>
              <w:jc w:val="center"/>
            </w:pPr>
            <w:r>
              <w:rPr>
                <w:b/>
                <w:bCs/>
                <w:color w:val="FFFFFF"/>
                <w:sz w:val="19"/>
                <w:szCs w:val="19"/>
              </w:rPr>
              <w:t xml:space="preserve">40</w:t>
            </w:r>
          </w:p>
        </w:tc>
        <w:tc>
          <w:tcPr>
            <w:tcW w:type="dxa" w:w="1470"/>
            <w:shd w:fill="1F3864" w:color="auto" w:val="clear"/>
            <w:tcMar>
              <w:top w:type="dxa" w:w="80"/>
              <w:left w:type="dxa" w:w="100"/>
              <w:bottom w:type="dxa" w:w="80"/>
              <w:right w:type="dxa" w:w="100"/>
            </w:tcMar>
            <w:vAlign w:val="center"/>
          </w:tcPr>
          <w:p>
            <w:pPr>
              <w:jc w:val="center"/>
            </w:pPr>
            <w:r>
              <w:rPr>
                <w:b/>
                <w:bCs/>
                <w:color w:val="FFFFFF"/>
                <w:sz w:val="19"/>
                <w:szCs w:val="19"/>
              </w:rPr>
              <w:t xml:space="preserve">50</w:t>
            </w:r>
          </w:p>
        </w:tc>
      </w:tr>
      <w:tr>
        <w:tc>
          <w:tcPr>
            <w:tcW w:type="dxa" w:w="2000"/>
            <w:shd w:fill="FFFFFF" w:color="auto" w:val="clear"/>
            <w:tcMar>
              <w:top w:type="dxa" w:w="70"/>
              <w:left w:type="dxa" w:w="100"/>
              <w:bottom w:type="dxa" w:w="70"/>
              <w:right w:type="dxa" w:w="100"/>
            </w:tcMar>
            <w:vAlign w:val="center"/>
          </w:tcPr>
          <w:p>
            <w:pPr>
              <w:jc w:val="center"/>
            </w:pPr>
            <w:r>
              <w:rPr>
                <w:color w:val="222222"/>
                <w:sz w:val="19"/>
                <w:szCs w:val="19"/>
              </w:rPr>
              <w:t xml:space="preserve">Sales (₹'000)</w:t>
            </w:r>
          </w:p>
        </w:tc>
        <w:tc>
          <w:tcPr>
            <w:tcW w:type="dxa" w:w="1470"/>
            <w:shd w:fill="FFFFFF" w:color="auto" w:val="clear"/>
            <w:tcMar>
              <w:top w:type="dxa" w:w="70"/>
              <w:left w:type="dxa" w:w="100"/>
              <w:bottom w:type="dxa" w:w="70"/>
              <w:right w:type="dxa" w:w="100"/>
            </w:tcMar>
            <w:vAlign w:val="center"/>
          </w:tcPr>
          <w:p>
            <w:pPr>
              <w:jc w:val="center"/>
            </w:pPr>
            <w:r>
              <w:rPr>
                <w:color w:val="222222"/>
                <w:sz w:val="19"/>
                <w:szCs w:val="19"/>
              </w:rPr>
              <w:t xml:space="preserve">15</w:t>
            </w:r>
          </w:p>
        </w:tc>
        <w:tc>
          <w:tcPr>
            <w:tcW w:type="dxa" w:w="1470"/>
            <w:shd w:fill="FFFFFF" w:color="auto" w:val="clear"/>
            <w:tcMar>
              <w:top w:type="dxa" w:w="70"/>
              <w:left w:type="dxa" w:w="100"/>
              <w:bottom w:type="dxa" w:w="70"/>
              <w:right w:type="dxa" w:w="100"/>
            </w:tcMar>
            <w:vAlign w:val="center"/>
          </w:tcPr>
          <w:p>
            <w:pPr>
              <w:jc w:val="center"/>
            </w:pPr>
            <w:r>
              <w:rPr>
                <w:color w:val="222222"/>
                <w:sz w:val="19"/>
                <w:szCs w:val="19"/>
              </w:rPr>
              <w:t xml:space="preserve">34</w:t>
            </w:r>
          </w:p>
        </w:tc>
        <w:tc>
          <w:tcPr>
            <w:tcW w:type="dxa" w:w="1470"/>
            <w:shd w:fill="FFFFFF" w:color="auto" w:val="clear"/>
            <w:tcMar>
              <w:top w:type="dxa" w:w="70"/>
              <w:left w:type="dxa" w:w="100"/>
              <w:bottom w:type="dxa" w:w="70"/>
              <w:right w:type="dxa" w:w="100"/>
            </w:tcMar>
            <w:vAlign w:val="center"/>
          </w:tcPr>
          <w:p>
            <w:pPr>
              <w:jc w:val="center"/>
            </w:pPr>
            <w:r>
              <w:rPr>
                <w:color w:val="222222"/>
                <w:sz w:val="19"/>
                <w:szCs w:val="19"/>
              </w:rPr>
              <w:t xml:space="preserve">50</w:t>
            </w:r>
          </w:p>
        </w:tc>
        <w:tc>
          <w:tcPr>
            <w:tcW w:type="dxa" w:w="1470"/>
            <w:shd w:fill="FFFFFF" w:color="auto" w:val="clear"/>
            <w:tcMar>
              <w:top w:type="dxa" w:w="70"/>
              <w:left w:type="dxa" w:w="100"/>
              <w:bottom w:type="dxa" w:w="70"/>
              <w:right w:type="dxa" w:w="100"/>
            </w:tcMar>
            <w:vAlign w:val="center"/>
          </w:tcPr>
          <w:p>
            <w:pPr>
              <w:jc w:val="center"/>
            </w:pPr>
            <w:r>
              <w:rPr>
                <w:color w:val="222222"/>
                <w:sz w:val="19"/>
                <w:szCs w:val="19"/>
              </w:rPr>
              <w:t xml:space="preserve">71</w:t>
            </w:r>
          </w:p>
        </w:tc>
        <w:tc>
          <w:tcPr>
            <w:tcW w:type="dxa" w:w="1470"/>
            <w:shd w:fill="FFFFFF" w:color="auto" w:val="clear"/>
            <w:tcMar>
              <w:top w:type="dxa" w:w="70"/>
              <w:left w:type="dxa" w:w="100"/>
              <w:bottom w:type="dxa" w:w="70"/>
              <w:right w:type="dxa" w:w="100"/>
            </w:tcMar>
            <w:vAlign w:val="center"/>
          </w:tcPr>
          <w:p>
            <w:pPr>
              <w:jc w:val="center"/>
            </w:pPr>
            <w:r>
              <w:rPr>
                <w:color w:val="222222"/>
                <w:sz w:val="19"/>
                <w:szCs w:val="19"/>
              </w:rPr>
              <w:t xml:space="preserve">90</w:t>
            </w:r>
          </w:p>
        </w:tc>
      </w:tr>
    </w:tbl>
    <w:p>
      <w:pPr>
        <w:spacing w:after="200" w:before="60"/>
      </w:pPr>
      <w:r>
        <w:rPr>
          <w:i/>
          <w:iCs/>
          <w:color w:val="5A5A5A"/>
          <w:sz w:val="18"/>
          <w:szCs w:val="18"/>
        </w:rPr>
        <w:t xml:space="preserve">This dataset produces r ≈ 0.999 — an almost perfect positive linear relationship between ad spend and sales.</w:t>
      </w:r>
    </w:p>
    <w:p>
      <w:pPr>
        <w:spacing w:after="100" w:before="200"/>
      </w:pPr>
      <w:r>
        <w:rPr>
          <w:b/>
          <w:bCs/>
          <w:color w:val="B8860B"/>
          <w:sz w:val="22"/>
          <w:szCs w:val="22"/>
        </w:rPr>
        <w:t xml:space="preserve">Other methods of studying correlation</w:t>
      </w:r>
    </w:p>
    <w:p>
      <w:pPr>
        <w:pStyle w:val="ListParagraph"/>
        <w:numPr>
          <w:ilvl w:val="0"/>
          <w:numId w:val="2"/>
        </w:numPr>
        <w:spacing w:after="60"/>
      </w:pPr>
      <w:r>
        <w:rPr>
          <w:color w:val="222222"/>
          <w:sz w:val="21"/>
          <w:szCs w:val="21"/>
        </w:rPr>
        <w:t xml:space="preserve">Scatter diagram — visual, qualitative first check</w:t>
      </w:r>
    </w:p>
    <w:p>
      <w:pPr>
        <w:pStyle w:val="ListParagraph"/>
        <w:numPr>
          <w:ilvl w:val="0"/>
          <w:numId w:val="2"/>
        </w:numPr>
        <w:spacing w:after="60"/>
      </w:pPr>
      <w:r>
        <w:rPr>
          <w:color w:val="222222"/>
          <w:sz w:val="21"/>
          <w:szCs w:val="21"/>
        </w:rPr>
        <w:t xml:space="preserve">Spearman's Rank Correlation — for ordinal / ranked data</w:t>
      </w:r>
    </w:p>
    <w:p>
      <w:pPr>
        <w:pStyle w:val="ListParagraph"/>
        <w:numPr>
          <w:ilvl w:val="0"/>
          <w:numId w:val="2"/>
        </w:numPr>
        <w:spacing w:after="60"/>
      </w:pPr>
      <w:r>
        <w:rPr>
          <w:color w:val="222222"/>
          <w:sz w:val="21"/>
          <w:szCs w:val="21"/>
        </w:rPr>
        <w:t xml:space="preserve">Karl Pearson's method — for continuous, linear, interval/ratio data (shown above)</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Correlation is the direct stepping stone to Regression Analysis: 'how strongly related' (correlation) becomes 'how much Y changes per unit of X' (regression coefficient) — you will build this in Business Analytics/Econometrics using the same ad-spend-vs-sales logic.</w:t>
            </w:r>
          </w:p>
        </w:tc>
      </w:tr>
    </w:tbl>
    <w:p>
      <w:pPr>
        <w:pStyle w:val="Heading2"/>
        <w:spacing w:after="140" w:before="320"/>
      </w:pPr>
      <w:r>
        <w:rPr>
          <w:b/>
          <w:bCs/>
          <w:color w:val="0F766E"/>
          <w:sz w:val="25"/>
          <w:szCs w:val="25"/>
        </w:rPr>
        <w:t xml:space="preserve">3.3 Probability — Basic Concepts</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Classical (theoretical) probability</w:t>
            </w:r>
          </w:p>
          <w:p>
            <w:pPr>
              <w:spacing w:after="60"/>
            </w:pPr>
            <w:r>
              <w:rPr>
                <w:rFonts w:ascii="Cambria Math" w:cs="Cambria Math" w:eastAsia="Cambria Math" w:hAnsi="Cambria Math"/>
                <w:b/>
                <w:bCs/>
                <w:color w:val="1F3864"/>
                <w:sz w:val="22"/>
                <w:szCs w:val="22"/>
              </w:rPr>
              <w:t xml:space="preserve">P(Event) = (Number of favorable outcomes) / (Total possible outcomes)</w:t>
            </w:r>
          </w:p>
        </w:tc>
      </w:tr>
    </w:tbl>
    <w:p>
      <w:pPr>
        <w:spacing w:after="100" w:before="200"/>
      </w:pPr>
      <w:r>
        <w:rPr>
          <w:b/>
          <w:bCs/>
          <w:color w:val="B8860B"/>
          <w:sz w:val="22"/>
          <w:szCs w:val="22"/>
        </w:rPr>
        <w:t xml:space="preserve">Addition Law</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Addition Rule</w:t>
            </w:r>
          </w:p>
          <w:p>
            <w:pPr>
              <w:spacing w:after="60"/>
            </w:pPr>
            <w:r>
              <w:rPr>
                <w:rFonts w:ascii="Cambria Math" w:cs="Cambria Math" w:eastAsia="Cambria Math" w:hAnsi="Cambria Math"/>
                <w:b/>
                <w:bCs/>
                <w:color w:val="1F3864"/>
                <w:sz w:val="22"/>
                <w:szCs w:val="22"/>
              </w:rPr>
              <w:t xml:space="preserve">P(A or B) = P(A) + P(B) − P(A and B)</w:t>
            </w:r>
          </w:p>
          <w:p>
            <w:pPr>
              <w:spacing w:before="60"/>
            </w:pPr>
            <w:r>
              <w:rPr>
                <w:i/>
                <w:iCs/>
                <w:color w:val="5A5A5A"/>
                <w:sz w:val="19"/>
                <w:szCs w:val="19"/>
              </w:rPr>
              <w:t xml:space="preserve">For mutually exclusive events, P(A and B) = 0, so P(A or B) = P(A) + P(B).</w:t>
            </w:r>
          </w:p>
        </w:tc>
      </w:tr>
    </w:tbl>
    <w:p>
      <w:pPr>
        <w:spacing w:after="100" w:before="200"/>
      </w:pPr>
      <w:r>
        <w:rPr>
          <w:b/>
          <w:bCs/>
          <w:color w:val="B8860B"/>
          <w:sz w:val="22"/>
          <w:szCs w:val="22"/>
        </w:rPr>
        <w:t xml:space="preserve">Multiplication Law</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Multiplication Rule</w:t>
            </w:r>
          </w:p>
          <w:p>
            <w:pPr>
              <w:spacing w:after="60"/>
            </w:pPr>
            <w:r>
              <w:rPr>
                <w:rFonts w:ascii="Cambria Math" w:cs="Cambria Math" w:eastAsia="Cambria Math" w:hAnsi="Cambria Math"/>
                <w:b/>
                <w:bCs/>
                <w:color w:val="1F3864"/>
                <w:sz w:val="22"/>
                <w:szCs w:val="22"/>
              </w:rPr>
              <w:t xml:space="preserve">P(A and B) = P(A) × P(B|A)</w:t>
            </w:r>
          </w:p>
          <w:p>
            <w:pPr>
              <w:spacing w:before="60"/>
            </w:pPr>
            <w:r>
              <w:rPr>
                <w:i/>
                <w:iCs/>
                <w:color w:val="5A5A5A"/>
                <w:sz w:val="19"/>
                <w:szCs w:val="19"/>
              </w:rPr>
              <w:t xml:space="preserve">For independent events, P(B|A) = P(B), so P(A and B) = P(A) × P(B).</w:t>
            </w:r>
          </w:p>
        </w:tc>
      </w:tr>
    </w:tbl>
    <w:p>
      <w:pPr>
        <w:spacing w:after="100" w:before="200"/>
      </w:pPr>
      <w:r>
        <w:rPr>
          <w:b/>
          <w:bCs/>
          <w:color w:val="B8860B"/>
          <w:sz w:val="22"/>
          <w:szCs w:val="22"/>
        </w:rPr>
        <w:t xml:space="preserve">Conditional Probability</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Conditional Probability</w:t>
            </w:r>
          </w:p>
          <w:p>
            <w:pPr>
              <w:spacing w:after="60"/>
            </w:pPr>
            <w:r>
              <w:rPr>
                <w:rFonts w:ascii="Cambria Math" w:cs="Cambria Math" w:eastAsia="Cambria Math" w:hAnsi="Cambria Math"/>
                <w:b/>
                <w:bCs/>
                <w:color w:val="1F3864"/>
                <w:sz w:val="22"/>
                <w:szCs w:val="22"/>
              </w:rPr>
              <w:t xml:space="preserve">P(A|B) = P(A and B) / P(B)</w:t>
            </w:r>
          </w:p>
        </w:tc>
      </w:tr>
    </w:tbl>
    <w:p>
      <w:pPr>
        <w:spacing w:after="100" w:before="200"/>
      </w:pPr>
      <w:r>
        <w:rPr>
          <w:b/>
          <w:bCs/>
          <w:color w:val="B8860B"/>
          <w:sz w:val="22"/>
          <w:szCs w:val="22"/>
        </w:rPr>
        <w:t xml:space="preserve">Worked Example</w:t>
      </w:r>
    </w:p>
    <w:p>
      <w:pPr>
        <w:spacing w:after="140"/>
      </w:pPr>
      <w:r>
        <w:rPr>
          <w:color w:val="222222"/>
          <w:sz w:val="21"/>
          <w:szCs w:val="21"/>
        </w:rPr>
        <w:t xml:space="preserve">A company's 200 employees are split as follows: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2350"/>
        <w:gridCol w:w="2350"/>
        <w:gridCol w:w="2350"/>
      </w:tblGrid>
      <w:tr>
        <w:trPr>
          <w:tblHeader/>
        </w:trPr>
        <w:tc>
          <w:tcPr>
            <w:tcW w:type="dxa" w:w="2300"/>
            <w:shd w:fill="1F3864" w:color="auto" w:val="clear"/>
            <w:tcMar>
              <w:top w:type="dxa" w:w="80"/>
              <w:left w:type="dxa" w:w="100"/>
              <w:bottom w:type="dxa" w:w="80"/>
              <w:right w:type="dxa" w:w="100"/>
            </w:tcMar>
            <w:vAlign w:val="center"/>
          </w:tcPr>
          <w:p>
            <w:pPr>
              <w:jc w:val="center"/>
            </w:pPr>
            <w:r>
              <w:rPr>
                <w:b/>
                <w:bCs/>
                <w:color w:val="FFFFFF"/>
                <w:sz w:val="19"/>
                <w:szCs w:val="19"/>
              </w:rPr>
              <w:t xml:space="preserve"/>
            </w:r>
          </w:p>
        </w:tc>
        <w:tc>
          <w:tcPr>
            <w:tcW w:type="dxa" w:w="2350"/>
            <w:shd w:fill="1F3864" w:color="auto" w:val="clear"/>
            <w:tcMar>
              <w:top w:type="dxa" w:w="80"/>
              <w:left w:type="dxa" w:w="100"/>
              <w:bottom w:type="dxa" w:w="80"/>
              <w:right w:type="dxa" w:w="100"/>
            </w:tcMar>
            <w:vAlign w:val="center"/>
          </w:tcPr>
          <w:p>
            <w:pPr>
              <w:jc w:val="center"/>
            </w:pPr>
            <w:r>
              <w:rPr>
                <w:b/>
                <w:bCs/>
                <w:color w:val="FFFFFF"/>
                <w:sz w:val="19"/>
                <w:szCs w:val="19"/>
              </w:rPr>
              <w:t xml:space="preserve">Trained</w:t>
            </w:r>
          </w:p>
        </w:tc>
        <w:tc>
          <w:tcPr>
            <w:tcW w:type="dxa" w:w="2350"/>
            <w:shd w:fill="1F3864" w:color="auto" w:val="clear"/>
            <w:tcMar>
              <w:top w:type="dxa" w:w="80"/>
              <w:left w:type="dxa" w:w="100"/>
              <w:bottom w:type="dxa" w:w="80"/>
              <w:right w:type="dxa" w:w="100"/>
            </w:tcMar>
            <w:vAlign w:val="center"/>
          </w:tcPr>
          <w:p>
            <w:pPr>
              <w:jc w:val="center"/>
            </w:pPr>
            <w:r>
              <w:rPr>
                <w:b/>
                <w:bCs/>
                <w:color w:val="FFFFFF"/>
                <w:sz w:val="19"/>
                <w:szCs w:val="19"/>
              </w:rPr>
              <w:t xml:space="preserve">Untrained</w:t>
            </w:r>
          </w:p>
        </w:tc>
        <w:tc>
          <w:tcPr>
            <w:tcW w:type="dxa" w:w="2350"/>
            <w:shd w:fill="1F3864" w:color="auto" w:val="clear"/>
            <w:tcMar>
              <w:top w:type="dxa" w:w="80"/>
              <w:left w:type="dxa" w:w="100"/>
              <w:bottom w:type="dxa" w:w="80"/>
              <w:right w:type="dxa" w:w="100"/>
            </w:tcMar>
            <w:vAlign w:val="center"/>
          </w:tcPr>
          <w:p>
            <w:pPr>
              <w:jc w:val="center"/>
            </w:pPr>
            <w:r>
              <w:rPr>
                <w:b/>
                <w:bCs/>
                <w:color w:val="FFFFFF"/>
                <w:sz w:val="19"/>
                <w:szCs w:val="19"/>
              </w:rPr>
              <w:t xml:space="preserve">Total</w:t>
            </w:r>
          </w:p>
        </w:tc>
      </w:tr>
      <w:tr>
        <w:tc>
          <w:tcPr>
            <w:tcW w:type="dxa" w:w="2300"/>
            <w:shd w:fill="FFFFFF" w:color="auto" w:val="clear"/>
            <w:tcMar>
              <w:top w:type="dxa" w:w="70"/>
              <w:left w:type="dxa" w:w="100"/>
              <w:bottom w:type="dxa" w:w="70"/>
              <w:right w:type="dxa" w:w="100"/>
            </w:tcMar>
            <w:vAlign w:val="center"/>
          </w:tcPr>
          <w:p>
            <w:pPr>
              <w:jc w:val="center"/>
            </w:pPr>
            <w:r>
              <w:rPr>
                <w:color w:val="222222"/>
                <w:sz w:val="19"/>
                <w:szCs w:val="19"/>
              </w:rPr>
              <w:t xml:space="preserve">Male</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60</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40</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100</w:t>
            </w:r>
          </w:p>
        </w:tc>
      </w:tr>
      <w:tr>
        <w:tc>
          <w:tcPr>
            <w:tcW w:type="dxa" w:w="2300"/>
            <w:shd w:fill="F2F5F7" w:color="auto" w:val="clear"/>
            <w:tcMar>
              <w:top w:type="dxa" w:w="70"/>
              <w:left w:type="dxa" w:w="100"/>
              <w:bottom w:type="dxa" w:w="70"/>
              <w:right w:type="dxa" w:w="100"/>
            </w:tcMar>
            <w:vAlign w:val="center"/>
          </w:tcPr>
          <w:p>
            <w:pPr>
              <w:jc w:val="center"/>
            </w:pPr>
            <w:r>
              <w:rPr>
                <w:color w:val="222222"/>
                <w:sz w:val="19"/>
                <w:szCs w:val="19"/>
              </w:rPr>
              <w:t xml:space="preserve">Female</w:t>
            </w:r>
          </w:p>
        </w:tc>
        <w:tc>
          <w:tcPr>
            <w:tcW w:type="dxa" w:w="2350"/>
            <w:shd w:fill="F2F5F7" w:color="auto" w:val="clear"/>
            <w:tcMar>
              <w:top w:type="dxa" w:w="70"/>
              <w:left w:type="dxa" w:w="100"/>
              <w:bottom w:type="dxa" w:w="70"/>
              <w:right w:type="dxa" w:w="100"/>
            </w:tcMar>
            <w:vAlign w:val="center"/>
          </w:tcPr>
          <w:p>
            <w:pPr>
              <w:jc w:val="center"/>
            </w:pPr>
            <w:r>
              <w:rPr>
                <w:color w:val="222222"/>
                <w:sz w:val="19"/>
                <w:szCs w:val="19"/>
              </w:rPr>
              <w:t xml:space="preserve">70</w:t>
            </w:r>
          </w:p>
        </w:tc>
        <w:tc>
          <w:tcPr>
            <w:tcW w:type="dxa" w:w="2350"/>
            <w:shd w:fill="F2F5F7" w:color="auto" w:val="clear"/>
            <w:tcMar>
              <w:top w:type="dxa" w:w="70"/>
              <w:left w:type="dxa" w:w="100"/>
              <w:bottom w:type="dxa" w:w="70"/>
              <w:right w:type="dxa" w:w="100"/>
            </w:tcMar>
            <w:vAlign w:val="center"/>
          </w:tcPr>
          <w:p>
            <w:pPr>
              <w:jc w:val="center"/>
            </w:pPr>
            <w:r>
              <w:rPr>
                <w:color w:val="222222"/>
                <w:sz w:val="19"/>
                <w:szCs w:val="19"/>
              </w:rPr>
              <w:t xml:space="preserve">30</w:t>
            </w:r>
          </w:p>
        </w:tc>
        <w:tc>
          <w:tcPr>
            <w:tcW w:type="dxa" w:w="2350"/>
            <w:shd w:fill="F2F5F7" w:color="auto" w:val="clear"/>
            <w:tcMar>
              <w:top w:type="dxa" w:w="70"/>
              <w:left w:type="dxa" w:w="100"/>
              <w:bottom w:type="dxa" w:w="70"/>
              <w:right w:type="dxa" w:w="100"/>
            </w:tcMar>
            <w:vAlign w:val="center"/>
          </w:tcPr>
          <w:p>
            <w:pPr>
              <w:jc w:val="center"/>
            </w:pPr>
            <w:r>
              <w:rPr>
                <w:color w:val="222222"/>
                <w:sz w:val="19"/>
                <w:szCs w:val="19"/>
              </w:rPr>
              <w:t xml:space="preserve">100</w:t>
            </w:r>
          </w:p>
        </w:tc>
      </w:tr>
      <w:tr>
        <w:tc>
          <w:tcPr>
            <w:tcW w:type="dxa" w:w="2300"/>
            <w:shd w:fill="FFFFFF" w:color="auto" w:val="clear"/>
            <w:tcMar>
              <w:top w:type="dxa" w:w="70"/>
              <w:left w:type="dxa" w:w="100"/>
              <w:bottom w:type="dxa" w:w="70"/>
              <w:right w:type="dxa" w:w="100"/>
            </w:tcMar>
            <w:vAlign w:val="center"/>
          </w:tcPr>
          <w:p>
            <w:pPr>
              <w:jc w:val="center"/>
            </w:pPr>
            <w:r>
              <w:rPr>
                <w:color w:val="222222"/>
                <w:sz w:val="19"/>
                <w:szCs w:val="19"/>
              </w:rPr>
              <w:t xml:space="preserve">Total</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130</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70</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200</w:t>
            </w:r>
          </w:p>
        </w:tc>
      </w:tr>
    </w:tbl>
    <w:p>
      <w:pPr>
        <w:spacing w:after="140"/>
      </w:pPr>
      <w:r>
        <w:rPr>
          <w:color w:val="222222"/>
          <w:sz w:val="21"/>
          <w:szCs w:val="21"/>
        </w:rPr>
        <w:t xml:space="preserve">P(Trained) = 130/200 = 0.65. P(Female and Trained) = 70/200 = 0.35. P(Trained | Female) = 70/100 = 0.70 — training coverage is higher among women in this sample.</w:t>
      </w:r>
    </w:p>
    <w:p>
      <w:pPr>
        <w:spacing w:after="100" w:before="200"/>
      </w:pPr>
      <w:r>
        <w:rPr>
          <w:b/>
          <w:bCs/>
          <w:color w:val="B8860B"/>
          <w:sz w:val="22"/>
          <w:szCs w:val="22"/>
        </w:rPr>
        <w:t xml:space="preserve">Probability Distributions (introductory)</w:t>
      </w:r>
    </w:p>
    <w:p>
      <w:pPr>
        <w:pStyle w:val="ListParagraph"/>
        <w:numPr>
          <w:ilvl w:val="0"/>
          <w:numId w:val="2"/>
        </w:numPr>
        <w:spacing w:after="60"/>
      </w:pPr>
      <w:r>
        <w:rPr>
          <w:color w:val="222222"/>
          <w:sz w:val="21"/>
          <w:szCs w:val="21"/>
        </w:rPr>
        <w:t xml:space="preserve">Discrete: Binomial distribution — number of successes in fixed independent trials</w:t>
      </w:r>
    </w:p>
    <w:p>
      <w:pPr>
        <w:pStyle w:val="ListParagraph"/>
        <w:numPr>
          <w:ilvl w:val="0"/>
          <w:numId w:val="2"/>
        </w:numPr>
        <w:spacing w:after="60"/>
      </w:pPr>
      <w:r>
        <w:rPr>
          <w:color w:val="222222"/>
          <w:sz w:val="21"/>
          <w:szCs w:val="21"/>
        </w:rPr>
        <w:t xml:space="preserve">Continuous: Normal distribution — the symmetric bell curve underlying most inferential statistics</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Everything here — addition/multiplication laws, conditional probability, distributions — becomes the mathematical basis for Hypothesis Testing, Confidence Intervals, and Decision Theory (decision trees under uncertainty) in your later Quant/Analytics courses.</w:t>
            </w:r>
          </w:p>
        </w:tc>
      </w:tr>
    </w:tbl>
    <w:p>
      <w:r>
        <w:br w:type="page"/>
      </w:r>
    </w:p>
    <w:p>
      <w:pPr>
        <w:pStyle w:val="Heading1"/>
        <w:pBdr>
          <w:bottom w:val="single" w:color="1F3864" w:sz="12" w:space="4"/>
        </w:pBdr>
        <w:spacing w:after="200" w:before="480"/>
      </w:pPr>
      <w:r>
        <w:rPr>
          <w:b/>
          <w:bCs/>
          <w:color w:val="1F3864"/>
          <w:sz w:val="32"/>
          <w:szCs w:val="32"/>
        </w:rPr>
        <w:t xml:space="preserve">UNIT 4 — Business Data Collection &amp; Visualization</w:t>
      </w:r>
    </w:p>
    <w:p>
      <w:pPr>
        <w:pStyle w:val="Heading2"/>
        <w:spacing w:after="140" w:before="320"/>
      </w:pPr>
      <w:r>
        <w:rPr>
          <w:b/>
          <w:bCs/>
          <w:color w:val="0F766E"/>
          <w:sz w:val="25"/>
          <w:szCs w:val="25"/>
        </w:rPr>
        <w:t xml:space="preserve">4.1 Business Data Collection — Concept &amp; Importance</w:t>
      </w:r>
    </w:p>
    <w:p>
      <w:pPr>
        <w:spacing w:after="140"/>
      </w:pPr>
      <w:r>
        <w:rPr>
          <w:color w:val="222222"/>
          <w:sz w:val="21"/>
          <w:szCs w:val="21"/>
        </w:rPr>
        <w:t xml:space="preserve">Reliable decisions require reliable data. Poor data collection ('garbage in') guarantees poor analysis ('garbage out') no matter how advanced the statistical technique used afterward.</w:t>
      </w:r>
    </w:p>
    <w:p>
      <w:pPr>
        <w:spacing w:after="100" w:before="200"/>
      </w:pPr>
      <w:r>
        <w:rPr>
          <w:b/>
          <w:bCs/>
          <w:color w:val="B8860B"/>
          <w:sz w:val="22"/>
          <w:szCs w:val="22"/>
        </w:rPr>
        <w:t xml:space="preserve">Sources of Business Data</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4300"/>
        <w:gridCol w:w="2450"/>
      </w:tblGrid>
      <w:tr>
        <w:trPr>
          <w:tblHeader/>
        </w:trPr>
        <w:tc>
          <w:tcPr>
            <w:tcW w:type="dxa" w:w="2600"/>
            <w:shd w:fill="1F3864" w:color="auto" w:val="clear"/>
            <w:tcMar>
              <w:top w:type="dxa" w:w="80"/>
              <w:left w:type="dxa" w:w="100"/>
              <w:bottom w:type="dxa" w:w="80"/>
              <w:right w:type="dxa" w:w="100"/>
            </w:tcMar>
            <w:vAlign w:val="center"/>
          </w:tcPr>
          <w:p>
            <w:pPr>
              <w:jc w:val="center"/>
            </w:pPr>
            <w:r>
              <w:rPr>
                <w:b/>
                <w:bCs/>
                <w:color w:val="FFFFFF"/>
                <w:sz w:val="19"/>
                <w:szCs w:val="19"/>
              </w:rPr>
              <w:t xml:space="preserve">Source Type</w:t>
            </w:r>
          </w:p>
        </w:tc>
        <w:tc>
          <w:tcPr>
            <w:tcW w:type="dxa" w:w="4300"/>
            <w:shd w:fill="1F3864" w:color="auto" w:val="clear"/>
            <w:tcMar>
              <w:top w:type="dxa" w:w="80"/>
              <w:left w:type="dxa" w:w="100"/>
              <w:bottom w:type="dxa" w:w="80"/>
              <w:right w:type="dxa" w:w="100"/>
            </w:tcMar>
            <w:vAlign w:val="center"/>
          </w:tcPr>
          <w:p>
            <w:pPr>
              <w:jc w:val="center"/>
            </w:pPr>
            <w:r>
              <w:rPr>
                <w:b/>
                <w:bCs/>
                <w:color w:val="FFFFFF"/>
                <w:sz w:val="19"/>
                <w:szCs w:val="19"/>
              </w:rPr>
              <w:t xml:space="preserve">Description</w:t>
            </w:r>
          </w:p>
        </w:tc>
        <w:tc>
          <w:tcPr>
            <w:tcW w:type="dxa" w:w="2450"/>
            <w:shd w:fill="1F3864" w:color="auto" w:val="clear"/>
            <w:tcMar>
              <w:top w:type="dxa" w:w="80"/>
              <w:left w:type="dxa" w:w="100"/>
              <w:bottom w:type="dxa" w:w="80"/>
              <w:right w:type="dxa" w:w="100"/>
            </w:tcMar>
            <w:vAlign w:val="center"/>
          </w:tcPr>
          <w:p>
            <w:pPr>
              <w:jc w:val="center"/>
            </w:pPr>
            <w:r>
              <w:rPr>
                <w:b/>
                <w:bCs/>
                <w:color w:val="FFFFFF"/>
                <w:sz w:val="19"/>
                <w:szCs w:val="19"/>
              </w:rPr>
              <w:t xml:space="preserve">Example</w:t>
            </w:r>
          </w:p>
        </w:tc>
      </w:tr>
      <w:tr>
        <w:tc>
          <w:tcPr>
            <w:tcW w:type="dxa" w:w="2600"/>
            <w:shd w:fill="FFFFFF" w:color="auto" w:val="clear"/>
            <w:tcMar>
              <w:top w:type="dxa" w:w="70"/>
              <w:left w:type="dxa" w:w="100"/>
              <w:bottom w:type="dxa" w:w="70"/>
              <w:right w:type="dxa" w:w="100"/>
            </w:tcMar>
            <w:vAlign w:val="center"/>
          </w:tcPr>
          <w:p>
            <w:pPr>
              <w:jc w:val="center"/>
            </w:pPr>
            <w:r>
              <w:rPr>
                <w:color w:val="222222"/>
                <w:sz w:val="19"/>
                <w:szCs w:val="19"/>
              </w:rPr>
              <w:t xml:space="preserve">Primary Data</w:t>
            </w:r>
          </w:p>
        </w:tc>
        <w:tc>
          <w:tcPr>
            <w:tcW w:type="dxa" w:w="4300"/>
            <w:shd w:fill="FFFFFF" w:color="auto" w:val="clear"/>
            <w:tcMar>
              <w:top w:type="dxa" w:w="70"/>
              <w:left w:type="dxa" w:w="100"/>
              <w:bottom w:type="dxa" w:w="70"/>
              <w:right w:type="dxa" w:w="100"/>
            </w:tcMar>
            <w:vAlign w:val="center"/>
          </w:tcPr>
          <w:p>
            <w:pPr>
              <w:jc w:val="center"/>
            </w:pPr>
            <w:r>
              <w:rPr>
                <w:color w:val="222222"/>
                <w:sz w:val="19"/>
                <w:szCs w:val="19"/>
              </w:rPr>
              <w:t xml:space="preserve">Collected first-hand, for a specific purpose</w:t>
            </w:r>
          </w:p>
        </w:tc>
        <w:tc>
          <w:tcPr>
            <w:tcW w:type="dxa" w:w="2450"/>
            <w:shd w:fill="FFFFFF" w:color="auto" w:val="clear"/>
            <w:tcMar>
              <w:top w:type="dxa" w:w="70"/>
              <w:left w:type="dxa" w:w="100"/>
              <w:bottom w:type="dxa" w:w="70"/>
              <w:right w:type="dxa" w:w="100"/>
            </w:tcMar>
            <w:vAlign w:val="center"/>
          </w:tcPr>
          <w:p>
            <w:pPr>
              <w:jc w:val="center"/>
            </w:pPr>
            <w:r>
              <w:rPr>
                <w:color w:val="222222"/>
                <w:sz w:val="19"/>
                <w:szCs w:val="19"/>
              </w:rPr>
              <w:t xml:space="preserve">Surveys, interviews, experiments</w:t>
            </w:r>
          </w:p>
        </w:tc>
      </w:tr>
      <w:tr>
        <w:tc>
          <w:tcPr>
            <w:tcW w:type="dxa" w:w="2600"/>
            <w:shd w:fill="F2F5F7" w:color="auto" w:val="clear"/>
            <w:tcMar>
              <w:top w:type="dxa" w:w="70"/>
              <w:left w:type="dxa" w:w="100"/>
              <w:bottom w:type="dxa" w:w="70"/>
              <w:right w:type="dxa" w:w="100"/>
            </w:tcMar>
            <w:vAlign w:val="center"/>
          </w:tcPr>
          <w:p>
            <w:pPr>
              <w:jc w:val="center"/>
            </w:pPr>
            <w:r>
              <w:rPr>
                <w:color w:val="222222"/>
                <w:sz w:val="19"/>
                <w:szCs w:val="19"/>
              </w:rPr>
              <w:t xml:space="preserve">Secondary Data</w:t>
            </w:r>
          </w:p>
        </w:tc>
        <w:tc>
          <w:tcPr>
            <w:tcW w:type="dxa" w:w="4300"/>
            <w:shd w:fill="F2F5F7" w:color="auto" w:val="clear"/>
            <w:tcMar>
              <w:top w:type="dxa" w:w="70"/>
              <w:left w:type="dxa" w:w="100"/>
              <w:bottom w:type="dxa" w:w="70"/>
              <w:right w:type="dxa" w:w="100"/>
            </w:tcMar>
            <w:vAlign w:val="center"/>
          </w:tcPr>
          <w:p>
            <w:pPr>
              <w:jc w:val="center"/>
            </w:pPr>
            <w:r>
              <w:rPr>
                <w:color w:val="222222"/>
                <w:sz w:val="19"/>
                <w:szCs w:val="19"/>
              </w:rPr>
              <w:t xml:space="preserve">Already collected by someone else, for another purpose</w:t>
            </w:r>
          </w:p>
        </w:tc>
        <w:tc>
          <w:tcPr>
            <w:tcW w:type="dxa" w:w="2450"/>
            <w:shd w:fill="F2F5F7" w:color="auto" w:val="clear"/>
            <w:tcMar>
              <w:top w:type="dxa" w:w="70"/>
              <w:left w:type="dxa" w:w="100"/>
              <w:bottom w:type="dxa" w:w="70"/>
              <w:right w:type="dxa" w:w="100"/>
            </w:tcMar>
            <w:vAlign w:val="center"/>
          </w:tcPr>
          <w:p>
            <w:pPr>
              <w:jc w:val="center"/>
            </w:pPr>
            <w:r>
              <w:rPr>
                <w:color w:val="222222"/>
                <w:sz w:val="19"/>
                <w:szCs w:val="19"/>
              </w:rPr>
              <w:t xml:space="preserve">Government reports, industry publications, company records</w:t>
            </w:r>
          </w:p>
        </w:tc>
      </w:tr>
    </w:tbl>
    <w:p>
      <w:pPr>
        <w:pStyle w:val="Heading2"/>
        <w:spacing w:after="140" w:before="320"/>
      </w:pPr>
      <w:r>
        <w:rPr>
          <w:b/>
          <w:bCs/>
          <w:color w:val="0F766E"/>
          <w:sz w:val="25"/>
          <w:szCs w:val="25"/>
        </w:rPr>
        <w:t xml:space="preserve">4.2 Seven Ways of Collecting Data</w:t>
      </w:r>
    </w:p>
    <w:p>
      <w:pPr>
        <w:pStyle w:val="ListParagraph"/>
        <w:numPr>
          <w:ilvl w:val="0"/>
          <w:numId w:val="2"/>
        </w:numPr>
        <w:spacing w:after="60"/>
      </w:pPr>
      <w:r>
        <w:rPr>
          <w:color w:val="222222"/>
          <w:sz w:val="21"/>
          <w:szCs w:val="21"/>
        </w:rPr>
        <w:t xml:space="preserve">1. Surveys / Questionnaires</w:t>
      </w:r>
    </w:p>
    <w:p>
      <w:pPr>
        <w:pStyle w:val="ListParagraph"/>
        <w:numPr>
          <w:ilvl w:val="0"/>
          <w:numId w:val="2"/>
        </w:numPr>
        <w:spacing w:after="60"/>
      </w:pPr>
      <w:r>
        <w:rPr>
          <w:color w:val="222222"/>
          <w:sz w:val="21"/>
          <w:szCs w:val="21"/>
        </w:rPr>
        <w:t xml:space="preserve">2. Interviews (structured / unstructured)</w:t>
      </w:r>
    </w:p>
    <w:p>
      <w:pPr>
        <w:pStyle w:val="ListParagraph"/>
        <w:numPr>
          <w:ilvl w:val="0"/>
          <w:numId w:val="2"/>
        </w:numPr>
        <w:spacing w:after="60"/>
      </w:pPr>
      <w:r>
        <w:rPr>
          <w:color w:val="222222"/>
          <w:sz w:val="21"/>
          <w:szCs w:val="21"/>
        </w:rPr>
        <w:t xml:space="preserve">3. Observation method</w:t>
      </w:r>
    </w:p>
    <w:p>
      <w:pPr>
        <w:pStyle w:val="ListParagraph"/>
        <w:numPr>
          <w:ilvl w:val="0"/>
          <w:numId w:val="2"/>
        </w:numPr>
        <w:spacing w:after="60"/>
      </w:pPr>
      <w:r>
        <w:rPr>
          <w:color w:val="222222"/>
          <w:sz w:val="21"/>
          <w:szCs w:val="21"/>
        </w:rPr>
        <w:t xml:space="preserve">4. Experiments (controlled trials, A/B tests)</w:t>
      </w:r>
    </w:p>
    <w:p>
      <w:pPr>
        <w:pStyle w:val="ListParagraph"/>
        <w:numPr>
          <w:ilvl w:val="0"/>
          <w:numId w:val="2"/>
        </w:numPr>
        <w:spacing w:after="60"/>
      </w:pPr>
      <w:r>
        <w:rPr>
          <w:color w:val="222222"/>
          <w:sz w:val="21"/>
          <w:szCs w:val="21"/>
        </w:rPr>
        <w:t xml:space="preserve">5. Focus groups</w:t>
      </w:r>
    </w:p>
    <w:p>
      <w:pPr>
        <w:pStyle w:val="ListParagraph"/>
        <w:numPr>
          <w:ilvl w:val="0"/>
          <w:numId w:val="2"/>
        </w:numPr>
        <w:spacing w:after="60"/>
      </w:pPr>
      <w:r>
        <w:rPr>
          <w:color w:val="222222"/>
          <w:sz w:val="21"/>
          <w:szCs w:val="21"/>
        </w:rPr>
        <w:t xml:space="preserve">6. Existing records / company databases</w:t>
      </w:r>
    </w:p>
    <w:p>
      <w:pPr>
        <w:pStyle w:val="ListParagraph"/>
        <w:numPr>
          <w:ilvl w:val="0"/>
          <w:numId w:val="2"/>
        </w:numPr>
        <w:spacing w:after="60"/>
      </w:pPr>
      <w:r>
        <w:rPr>
          <w:color w:val="222222"/>
          <w:sz w:val="21"/>
          <w:szCs w:val="21"/>
        </w:rPr>
        <w:t xml:space="preserve">7. Published secondary sources (government, industry, academic)</w:t>
      </w:r>
    </w:p>
    <w:p>
      <w:pPr>
        <w:pStyle w:val="Heading2"/>
        <w:spacing w:after="140" w:before="320"/>
      </w:pPr>
      <w:r>
        <w:rPr>
          <w:b/>
          <w:bCs/>
          <w:color w:val="0F766E"/>
          <w:sz w:val="25"/>
          <w:szCs w:val="25"/>
        </w:rPr>
        <w:t xml:space="preserve">4.3 Organizing, Managing &amp; Visualizing Data</w:t>
      </w:r>
    </w:p>
    <w:p>
      <w:pPr>
        <w:pStyle w:val="ListParagraph"/>
        <w:numPr>
          <w:ilvl w:val="0"/>
          <w:numId w:val="2"/>
        </w:numPr>
        <w:spacing w:after="60"/>
      </w:pPr>
      <w:r>
        <w:rPr>
          <w:color w:val="222222"/>
          <w:sz w:val="21"/>
          <w:szCs w:val="21"/>
        </w:rPr>
        <w:t xml:space="preserve">Organizing — classification into tables, frequency distributions, and cross-tabs</w:t>
      </w:r>
    </w:p>
    <w:p>
      <w:pPr>
        <w:pStyle w:val="ListParagraph"/>
        <w:numPr>
          <w:ilvl w:val="0"/>
          <w:numId w:val="2"/>
        </w:numPr>
        <w:spacing w:after="60"/>
      </w:pPr>
      <w:r>
        <w:rPr>
          <w:color w:val="222222"/>
          <w:sz w:val="21"/>
          <w:szCs w:val="21"/>
        </w:rPr>
        <w:t xml:space="preserve">Managing — cleaning, validating, storing (spreadsheets, databases) for consistent reuse</w:t>
      </w:r>
    </w:p>
    <w:p>
      <w:pPr>
        <w:pStyle w:val="ListParagraph"/>
        <w:numPr>
          <w:ilvl w:val="0"/>
          <w:numId w:val="2"/>
        </w:numPr>
        <w:spacing w:after="60"/>
      </w:pPr>
      <w:r>
        <w:rPr>
          <w:color w:val="222222"/>
          <w:sz w:val="21"/>
          <w:szCs w:val="21"/>
        </w:rPr>
        <w:t xml:space="preserve">Visualizing — turning organized data into charts that communicate a finding instantly</w:t>
      </w:r>
    </w:p>
    <w:p>
      <w:pPr>
        <w:spacing w:after="100" w:before="200"/>
      </w:pPr>
      <w:r>
        <w:rPr>
          <w:b/>
          <w:bCs/>
          <w:color w:val="B8860B"/>
          <w:sz w:val="22"/>
          <w:szCs w:val="22"/>
        </w:rPr>
        <w:t xml:space="preserve">Choosing the right chart (quick-reference)</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5150"/>
        <w:gridCol w:w="4200"/>
      </w:tblGrid>
      <w:tr>
        <w:trPr>
          <w:tblHeader/>
        </w:trPr>
        <w:tc>
          <w:tcPr>
            <w:tcW w:type="dxa" w:w="5150"/>
            <w:shd w:fill="1F3864" w:color="auto" w:val="clear"/>
            <w:tcMar>
              <w:top w:type="dxa" w:w="80"/>
              <w:left w:type="dxa" w:w="100"/>
              <w:bottom w:type="dxa" w:w="80"/>
              <w:right w:type="dxa" w:w="100"/>
            </w:tcMar>
            <w:vAlign w:val="center"/>
          </w:tcPr>
          <w:p>
            <w:pPr>
              <w:jc w:val="center"/>
            </w:pPr>
            <w:r>
              <w:rPr>
                <w:b/>
                <w:bCs/>
                <w:color w:val="FFFFFF"/>
                <w:sz w:val="19"/>
                <w:szCs w:val="19"/>
              </w:rPr>
              <w:t xml:space="preserve">Goal</w:t>
            </w:r>
          </w:p>
        </w:tc>
        <w:tc>
          <w:tcPr>
            <w:tcW w:type="dxa" w:w="4200"/>
            <w:shd w:fill="1F3864" w:color="auto" w:val="clear"/>
            <w:tcMar>
              <w:top w:type="dxa" w:w="80"/>
              <w:left w:type="dxa" w:w="100"/>
              <w:bottom w:type="dxa" w:w="80"/>
              <w:right w:type="dxa" w:w="100"/>
            </w:tcMar>
            <w:vAlign w:val="center"/>
          </w:tcPr>
          <w:p>
            <w:pPr>
              <w:jc w:val="center"/>
            </w:pPr>
            <w:r>
              <w:rPr>
                <w:b/>
                <w:bCs/>
                <w:color w:val="FFFFFF"/>
                <w:sz w:val="19"/>
                <w:szCs w:val="19"/>
              </w:rPr>
              <w:t xml:space="preserve">Best Chart</w:t>
            </w:r>
          </w:p>
        </w:tc>
      </w:tr>
      <w:tr>
        <w:tc>
          <w:tcPr>
            <w:tcW w:type="dxa" w:w="5150"/>
            <w:shd w:fill="FFFFFF" w:color="auto" w:val="clear"/>
            <w:tcMar>
              <w:top w:type="dxa" w:w="70"/>
              <w:left w:type="dxa" w:w="100"/>
              <w:bottom w:type="dxa" w:w="70"/>
              <w:right w:type="dxa" w:w="100"/>
            </w:tcMar>
            <w:vAlign w:val="center"/>
          </w:tcPr>
          <w:p>
            <w:pPr>
              <w:jc w:val="center"/>
            </w:pPr>
            <w:r>
              <w:rPr>
                <w:color w:val="222222"/>
                <w:sz w:val="19"/>
                <w:szCs w:val="19"/>
              </w:rPr>
              <w:t xml:space="preserve">Compare categories</w:t>
            </w:r>
          </w:p>
        </w:tc>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Bar chart</w:t>
            </w:r>
          </w:p>
        </w:tc>
      </w:tr>
      <w:tr>
        <w:tc>
          <w:tcPr>
            <w:tcW w:type="dxa" w:w="5150"/>
            <w:shd w:fill="F2F5F7" w:color="auto" w:val="clear"/>
            <w:tcMar>
              <w:top w:type="dxa" w:w="70"/>
              <w:left w:type="dxa" w:w="100"/>
              <w:bottom w:type="dxa" w:w="70"/>
              <w:right w:type="dxa" w:w="100"/>
            </w:tcMar>
            <w:vAlign w:val="center"/>
          </w:tcPr>
          <w:p>
            <w:pPr>
              <w:jc w:val="center"/>
            </w:pPr>
            <w:r>
              <w:rPr>
                <w:color w:val="222222"/>
                <w:sz w:val="19"/>
                <w:szCs w:val="19"/>
              </w:rPr>
              <w:t xml:space="preserve">Show change over time</w:t>
            </w:r>
          </w:p>
        </w:tc>
        <w:tc>
          <w:tcPr>
            <w:tcW w:type="dxa" w:w="4200"/>
            <w:shd w:fill="F2F5F7" w:color="auto" w:val="clear"/>
            <w:tcMar>
              <w:top w:type="dxa" w:w="70"/>
              <w:left w:type="dxa" w:w="100"/>
              <w:bottom w:type="dxa" w:w="70"/>
              <w:right w:type="dxa" w:w="100"/>
            </w:tcMar>
            <w:vAlign w:val="center"/>
          </w:tcPr>
          <w:p>
            <w:pPr>
              <w:jc w:val="center"/>
            </w:pPr>
            <w:r>
              <w:rPr>
                <w:color w:val="222222"/>
                <w:sz w:val="19"/>
                <w:szCs w:val="19"/>
              </w:rPr>
              <w:t xml:space="preserve">Line chart</w:t>
            </w:r>
          </w:p>
        </w:tc>
      </w:tr>
      <w:tr>
        <w:tc>
          <w:tcPr>
            <w:tcW w:type="dxa" w:w="5150"/>
            <w:shd w:fill="FFFFFF" w:color="auto" w:val="clear"/>
            <w:tcMar>
              <w:top w:type="dxa" w:w="70"/>
              <w:left w:type="dxa" w:w="100"/>
              <w:bottom w:type="dxa" w:w="70"/>
              <w:right w:type="dxa" w:w="100"/>
            </w:tcMar>
            <w:vAlign w:val="center"/>
          </w:tcPr>
          <w:p>
            <w:pPr>
              <w:jc w:val="center"/>
            </w:pPr>
            <w:r>
              <w:rPr>
                <w:color w:val="222222"/>
                <w:sz w:val="19"/>
                <w:szCs w:val="19"/>
              </w:rPr>
              <w:t xml:space="preserve">Show proportion of a whole</w:t>
            </w:r>
          </w:p>
        </w:tc>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Pie chart (use sparingly, ≤6 slices)</w:t>
            </w:r>
          </w:p>
        </w:tc>
      </w:tr>
      <w:tr>
        <w:tc>
          <w:tcPr>
            <w:tcW w:type="dxa" w:w="5150"/>
            <w:shd w:fill="F2F5F7" w:color="auto" w:val="clear"/>
            <w:tcMar>
              <w:top w:type="dxa" w:w="70"/>
              <w:left w:type="dxa" w:w="100"/>
              <w:bottom w:type="dxa" w:w="70"/>
              <w:right w:type="dxa" w:w="100"/>
            </w:tcMar>
            <w:vAlign w:val="center"/>
          </w:tcPr>
          <w:p>
            <w:pPr>
              <w:jc w:val="center"/>
            </w:pPr>
            <w:r>
              <w:rPr>
                <w:color w:val="222222"/>
                <w:sz w:val="19"/>
                <w:szCs w:val="19"/>
              </w:rPr>
              <w:t xml:space="preserve">Show distribution shape</w:t>
            </w:r>
          </w:p>
        </w:tc>
        <w:tc>
          <w:tcPr>
            <w:tcW w:type="dxa" w:w="4200"/>
            <w:shd w:fill="F2F5F7" w:color="auto" w:val="clear"/>
            <w:tcMar>
              <w:top w:type="dxa" w:w="70"/>
              <w:left w:type="dxa" w:w="100"/>
              <w:bottom w:type="dxa" w:w="70"/>
              <w:right w:type="dxa" w:w="100"/>
            </w:tcMar>
            <w:vAlign w:val="center"/>
          </w:tcPr>
          <w:p>
            <w:pPr>
              <w:jc w:val="center"/>
            </w:pPr>
            <w:r>
              <w:rPr>
                <w:color w:val="222222"/>
                <w:sz w:val="19"/>
                <w:szCs w:val="19"/>
              </w:rPr>
              <w:t xml:space="preserve">Histogram</w:t>
            </w:r>
          </w:p>
        </w:tc>
      </w:tr>
      <w:tr>
        <w:tc>
          <w:tcPr>
            <w:tcW w:type="dxa" w:w="5150"/>
            <w:shd w:fill="FFFFFF" w:color="auto" w:val="clear"/>
            <w:tcMar>
              <w:top w:type="dxa" w:w="70"/>
              <w:left w:type="dxa" w:w="100"/>
              <w:bottom w:type="dxa" w:w="70"/>
              <w:right w:type="dxa" w:w="100"/>
            </w:tcMar>
            <w:vAlign w:val="center"/>
          </w:tcPr>
          <w:p>
            <w:pPr>
              <w:jc w:val="center"/>
            </w:pPr>
            <w:r>
              <w:rPr>
                <w:color w:val="222222"/>
                <w:sz w:val="19"/>
                <w:szCs w:val="19"/>
              </w:rPr>
              <w:t xml:space="preserve">Show relationship between 2 variables</w:t>
            </w:r>
          </w:p>
        </w:tc>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Scatter plot</w:t>
            </w:r>
          </w:p>
        </w:tc>
      </w:tr>
      <w:tr>
        <w:tc>
          <w:tcPr>
            <w:tcW w:type="dxa" w:w="5150"/>
            <w:shd w:fill="F2F5F7" w:color="auto" w:val="clear"/>
            <w:tcMar>
              <w:top w:type="dxa" w:w="70"/>
              <w:left w:type="dxa" w:w="100"/>
              <w:bottom w:type="dxa" w:w="70"/>
              <w:right w:type="dxa" w:w="100"/>
            </w:tcMar>
            <w:vAlign w:val="center"/>
          </w:tcPr>
          <w:p>
            <w:pPr>
              <w:jc w:val="center"/>
            </w:pPr>
            <w:r>
              <w:rPr>
                <w:color w:val="222222"/>
                <w:sz w:val="19"/>
                <w:szCs w:val="19"/>
              </w:rPr>
              <w:t xml:space="preserve">Show spread &amp; outliers</w:t>
            </w:r>
          </w:p>
        </w:tc>
        <w:tc>
          <w:tcPr>
            <w:tcW w:type="dxa" w:w="4200"/>
            <w:shd w:fill="F2F5F7" w:color="auto" w:val="clear"/>
            <w:tcMar>
              <w:top w:type="dxa" w:w="70"/>
              <w:left w:type="dxa" w:w="100"/>
              <w:bottom w:type="dxa" w:w="70"/>
              <w:right w:type="dxa" w:w="100"/>
            </w:tcMar>
            <w:vAlign w:val="center"/>
          </w:tcPr>
          <w:p>
            <w:pPr>
              <w:jc w:val="center"/>
            </w:pPr>
            <w:r>
              <w:rPr>
                <w:color w:val="222222"/>
                <w:sz w:val="19"/>
                <w:szCs w:val="19"/>
              </w:rPr>
              <w:t xml:space="preserve">Box-and-whisker plot</w:t>
            </w:r>
          </w:p>
        </w:tc>
      </w:tr>
    </w:tbl>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This exact chart-selection logic is what you'll apply on repeat in Power BI/Tableau dashboards for Business Analytics, and in every consulting-style case presentation.</w:t>
            </w:r>
          </w:p>
        </w:tc>
      </w:tr>
    </w:tbl>
    <w:p>
      <w:pPr>
        <w:pStyle w:val="Heading2"/>
        <w:spacing w:after="140" w:before="320"/>
      </w:pPr>
      <w:r>
        <w:rPr>
          <w:b/>
          <w:bCs/>
          <w:color w:val="0F766E"/>
          <w:sz w:val="25"/>
          <w:szCs w:val="25"/>
        </w:rPr>
        <w:t xml:space="preserve">4.4 Sampling Theory</w:t>
      </w:r>
    </w:p>
    <w:p>
      <w:pPr>
        <w:spacing w:after="140"/>
      </w:pPr>
      <w:r>
        <w:rPr>
          <w:color w:val="222222"/>
          <w:sz w:val="21"/>
          <w:szCs w:val="21"/>
        </w:rPr>
        <w:t xml:space="preserve">Since studying an entire population is usually costly or impossible, we study a representative sample and infer conclusions about the population.</w:t>
      </w:r>
    </w:p>
    <w:p>
      <w:pPr>
        <w:spacing w:after="100" w:before="200"/>
      </w:pPr>
      <w:r>
        <w:rPr>
          <w:b/>
          <w:bCs/>
          <w:color w:val="B8860B"/>
          <w:sz w:val="22"/>
          <w:szCs w:val="22"/>
        </w:rPr>
        <w:t xml:space="preserve">Sampling Design Steps</w:t>
      </w:r>
    </w:p>
    <w:p>
      <w:pPr>
        <w:pStyle w:val="ListParagraph"/>
        <w:numPr>
          <w:ilvl w:val="0"/>
          <w:numId w:val="2"/>
        </w:numPr>
        <w:spacing w:after="60"/>
      </w:pPr>
      <w:r>
        <w:rPr>
          <w:color w:val="222222"/>
          <w:sz w:val="21"/>
          <w:szCs w:val="21"/>
        </w:rPr>
        <w:t xml:space="preserve">1. Define the target population</w:t>
      </w:r>
    </w:p>
    <w:p>
      <w:pPr>
        <w:pStyle w:val="ListParagraph"/>
        <w:numPr>
          <w:ilvl w:val="0"/>
          <w:numId w:val="2"/>
        </w:numPr>
        <w:spacing w:after="60"/>
      </w:pPr>
      <w:r>
        <w:rPr>
          <w:color w:val="222222"/>
          <w:sz w:val="21"/>
          <w:szCs w:val="21"/>
        </w:rPr>
        <w:t xml:space="preserve">2. Determine the sampling frame (list to sample from)</w:t>
      </w:r>
    </w:p>
    <w:p>
      <w:pPr>
        <w:pStyle w:val="ListParagraph"/>
        <w:numPr>
          <w:ilvl w:val="0"/>
          <w:numId w:val="2"/>
        </w:numPr>
        <w:spacing w:after="60"/>
      </w:pPr>
      <w:r>
        <w:rPr>
          <w:color w:val="222222"/>
          <w:sz w:val="21"/>
          <w:szCs w:val="21"/>
        </w:rPr>
        <w:t xml:space="preserve">3. Choose the sampling method</w:t>
      </w:r>
    </w:p>
    <w:p>
      <w:pPr>
        <w:pStyle w:val="ListParagraph"/>
        <w:numPr>
          <w:ilvl w:val="0"/>
          <w:numId w:val="2"/>
        </w:numPr>
        <w:spacing w:after="60"/>
      </w:pPr>
      <w:r>
        <w:rPr>
          <w:color w:val="222222"/>
          <w:sz w:val="21"/>
          <w:szCs w:val="21"/>
        </w:rPr>
        <w:t xml:space="preserve">4. Decide the sample size</w:t>
      </w:r>
    </w:p>
    <w:p>
      <w:pPr>
        <w:pStyle w:val="ListParagraph"/>
        <w:numPr>
          <w:ilvl w:val="0"/>
          <w:numId w:val="2"/>
        </w:numPr>
        <w:spacing w:after="60"/>
      </w:pPr>
      <w:r>
        <w:rPr>
          <w:color w:val="222222"/>
          <w:sz w:val="21"/>
          <w:szCs w:val="21"/>
        </w:rPr>
        <w:t xml:space="preserve">5. Collect and validate the sample</w:t>
      </w:r>
    </w:p>
    <w:p>
      <w:pPr>
        <w:spacing w:after="100" w:before="200"/>
      </w:pPr>
      <w:r>
        <w:rPr>
          <w:b/>
          <w:bCs/>
          <w:color w:val="B8860B"/>
          <w:sz w:val="22"/>
          <w:szCs w:val="22"/>
        </w:rPr>
        <w:t xml:space="preserve">Types of Samples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100"/>
        <w:gridCol w:w="3350"/>
        <w:gridCol w:w="3900"/>
      </w:tblGrid>
      <w:tr>
        <w:trPr>
          <w:tblHeader/>
        </w:trPr>
        <w:tc>
          <w:tcPr>
            <w:tcW w:type="dxa" w:w="2100"/>
            <w:shd w:fill="1F3864" w:color="auto" w:val="clear"/>
            <w:tcMar>
              <w:top w:type="dxa" w:w="80"/>
              <w:left w:type="dxa" w:w="100"/>
              <w:bottom w:type="dxa" w:w="80"/>
              <w:right w:type="dxa" w:w="100"/>
            </w:tcMar>
            <w:vAlign w:val="center"/>
          </w:tcPr>
          <w:p>
            <w:pPr>
              <w:jc w:val="center"/>
            </w:pPr>
            <w:r>
              <w:rPr>
                <w:b/>
                <w:bCs/>
                <w:color w:val="FFFFFF"/>
                <w:sz w:val="19"/>
                <w:szCs w:val="19"/>
              </w:rPr>
              <w:t xml:space="preserve">Category</w:t>
            </w:r>
          </w:p>
        </w:tc>
        <w:tc>
          <w:tcPr>
            <w:tcW w:type="dxa" w:w="3350"/>
            <w:shd w:fill="1F3864" w:color="auto" w:val="clear"/>
            <w:tcMar>
              <w:top w:type="dxa" w:w="80"/>
              <w:left w:type="dxa" w:w="100"/>
              <w:bottom w:type="dxa" w:w="80"/>
              <w:right w:type="dxa" w:w="100"/>
            </w:tcMar>
            <w:vAlign w:val="center"/>
          </w:tcPr>
          <w:p>
            <w:pPr>
              <w:jc w:val="center"/>
            </w:pPr>
            <w:r>
              <w:rPr>
                <w:b/>
                <w:bCs/>
                <w:color w:val="FFFFFF"/>
                <w:sz w:val="19"/>
                <w:szCs w:val="19"/>
              </w:rPr>
              <w:t xml:space="preserve">Method</w:t>
            </w:r>
          </w:p>
        </w:tc>
        <w:tc>
          <w:tcPr>
            <w:tcW w:type="dxa" w:w="3900"/>
            <w:shd w:fill="1F3864" w:color="auto" w:val="clear"/>
            <w:tcMar>
              <w:top w:type="dxa" w:w="80"/>
              <w:left w:type="dxa" w:w="100"/>
              <w:bottom w:type="dxa" w:w="80"/>
              <w:right w:type="dxa" w:w="100"/>
            </w:tcMar>
            <w:vAlign w:val="center"/>
          </w:tcPr>
          <w:p>
            <w:pPr>
              <w:jc w:val="center"/>
            </w:pPr>
            <w:r>
              <w:rPr>
                <w:b/>
                <w:bCs/>
                <w:color w:val="FFFFFF"/>
                <w:sz w:val="19"/>
                <w:szCs w:val="19"/>
              </w:rPr>
              <w:t xml:space="preserve">Example</w:t>
            </w:r>
          </w:p>
        </w:tc>
      </w:tr>
      <w:tr>
        <w:tc>
          <w:tcPr>
            <w:tcW w:type="dxa" w:w="2100"/>
            <w:shd w:fill="FFFFFF" w:color="auto" w:val="clear"/>
            <w:tcMar>
              <w:top w:type="dxa" w:w="70"/>
              <w:left w:type="dxa" w:w="100"/>
              <w:bottom w:type="dxa" w:w="70"/>
              <w:right w:type="dxa" w:w="100"/>
            </w:tcMar>
            <w:vAlign w:val="center"/>
          </w:tcPr>
          <w:p>
            <w:pPr>
              <w:jc w:val="center"/>
            </w:pPr>
            <w:r>
              <w:rPr>
                <w:color w:val="222222"/>
                <w:sz w:val="19"/>
                <w:szCs w:val="19"/>
              </w:rPr>
              <w:t xml:space="preserve">Probability</w:t>
            </w:r>
          </w:p>
        </w:tc>
        <w:tc>
          <w:tcPr>
            <w:tcW w:type="dxa" w:w="3350"/>
            <w:shd w:fill="FFFFFF" w:color="auto" w:val="clear"/>
            <w:tcMar>
              <w:top w:type="dxa" w:w="70"/>
              <w:left w:type="dxa" w:w="100"/>
              <w:bottom w:type="dxa" w:w="70"/>
              <w:right w:type="dxa" w:w="100"/>
            </w:tcMar>
            <w:vAlign w:val="center"/>
          </w:tcPr>
          <w:p>
            <w:pPr>
              <w:jc w:val="center"/>
            </w:pPr>
            <w:r>
              <w:rPr>
                <w:color w:val="222222"/>
                <w:sz w:val="19"/>
                <w:szCs w:val="19"/>
              </w:rPr>
              <w:t xml:space="preserve">Simple Random Sampling</w:t>
            </w:r>
          </w:p>
        </w:tc>
        <w:tc>
          <w:tcPr>
            <w:tcW w:type="dxa" w:w="3900"/>
            <w:shd w:fill="FFFFFF" w:color="auto" w:val="clear"/>
            <w:tcMar>
              <w:top w:type="dxa" w:w="70"/>
              <w:left w:type="dxa" w:w="100"/>
              <w:bottom w:type="dxa" w:w="70"/>
              <w:right w:type="dxa" w:w="100"/>
            </w:tcMar>
            <w:vAlign w:val="center"/>
          </w:tcPr>
          <w:p>
            <w:pPr>
              <w:jc w:val="center"/>
            </w:pPr>
            <w:r>
              <w:rPr>
                <w:color w:val="222222"/>
                <w:sz w:val="19"/>
                <w:szCs w:val="19"/>
              </w:rPr>
              <w:t xml:space="preserve">Every unit has equal chance of selection</w:t>
            </w:r>
          </w:p>
        </w:tc>
      </w:tr>
      <w:tr>
        <w:tc>
          <w:tcPr>
            <w:tcW w:type="dxa" w:w="2100"/>
            <w:shd w:fill="F2F5F7" w:color="auto" w:val="clear"/>
            <w:tcMar>
              <w:top w:type="dxa" w:w="70"/>
              <w:left w:type="dxa" w:w="100"/>
              <w:bottom w:type="dxa" w:w="70"/>
              <w:right w:type="dxa" w:w="100"/>
            </w:tcMar>
            <w:vAlign w:val="center"/>
          </w:tcPr>
          <w:p>
            <w:pPr>
              <w:jc w:val="center"/>
            </w:pPr>
            <w:r>
              <w:rPr>
                <w:color w:val="222222"/>
                <w:sz w:val="19"/>
                <w:szCs w:val="19"/>
              </w:rPr>
              <w:t xml:space="preserve">Probability</w:t>
            </w:r>
          </w:p>
        </w:tc>
        <w:tc>
          <w:tcPr>
            <w:tcW w:type="dxa" w:w="3350"/>
            <w:shd w:fill="F2F5F7" w:color="auto" w:val="clear"/>
            <w:tcMar>
              <w:top w:type="dxa" w:w="70"/>
              <w:left w:type="dxa" w:w="100"/>
              <w:bottom w:type="dxa" w:w="70"/>
              <w:right w:type="dxa" w:w="100"/>
            </w:tcMar>
            <w:vAlign w:val="center"/>
          </w:tcPr>
          <w:p>
            <w:pPr>
              <w:jc w:val="center"/>
            </w:pPr>
            <w:r>
              <w:rPr>
                <w:color w:val="222222"/>
                <w:sz w:val="19"/>
                <w:szCs w:val="19"/>
              </w:rPr>
              <w:t xml:space="preserve">Stratified Sampling</w:t>
            </w:r>
          </w:p>
        </w:tc>
        <w:tc>
          <w:tcPr>
            <w:tcW w:type="dxa" w:w="3900"/>
            <w:shd w:fill="F2F5F7" w:color="auto" w:val="clear"/>
            <w:tcMar>
              <w:top w:type="dxa" w:w="70"/>
              <w:left w:type="dxa" w:w="100"/>
              <w:bottom w:type="dxa" w:w="70"/>
              <w:right w:type="dxa" w:w="100"/>
            </w:tcMar>
            <w:vAlign w:val="center"/>
          </w:tcPr>
          <w:p>
            <w:pPr>
              <w:jc w:val="center"/>
            </w:pPr>
            <w:r>
              <w:rPr>
                <w:color w:val="222222"/>
                <w:sz w:val="19"/>
                <w:szCs w:val="19"/>
              </w:rPr>
              <w:t xml:space="preserve">Population divided into strata (e.g., by region), sampled within each</w:t>
            </w:r>
          </w:p>
        </w:tc>
      </w:tr>
      <w:tr>
        <w:tc>
          <w:tcPr>
            <w:tcW w:type="dxa" w:w="2100"/>
            <w:shd w:fill="FFFFFF" w:color="auto" w:val="clear"/>
            <w:tcMar>
              <w:top w:type="dxa" w:w="70"/>
              <w:left w:type="dxa" w:w="100"/>
              <w:bottom w:type="dxa" w:w="70"/>
              <w:right w:type="dxa" w:w="100"/>
            </w:tcMar>
            <w:vAlign w:val="center"/>
          </w:tcPr>
          <w:p>
            <w:pPr>
              <w:jc w:val="center"/>
            </w:pPr>
            <w:r>
              <w:rPr>
                <w:color w:val="222222"/>
                <w:sz w:val="19"/>
                <w:szCs w:val="19"/>
              </w:rPr>
              <w:t xml:space="preserve">Probability</w:t>
            </w:r>
          </w:p>
        </w:tc>
        <w:tc>
          <w:tcPr>
            <w:tcW w:type="dxa" w:w="3350"/>
            <w:shd w:fill="FFFFFF" w:color="auto" w:val="clear"/>
            <w:tcMar>
              <w:top w:type="dxa" w:w="70"/>
              <w:left w:type="dxa" w:w="100"/>
              <w:bottom w:type="dxa" w:w="70"/>
              <w:right w:type="dxa" w:w="100"/>
            </w:tcMar>
            <w:vAlign w:val="center"/>
          </w:tcPr>
          <w:p>
            <w:pPr>
              <w:jc w:val="center"/>
            </w:pPr>
            <w:r>
              <w:rPr>
                <w:color w:val="222222"/>
                <w:sz w:val="19"/>
                <w:szCs w:val="19"/>
              </w:rPr>
              <w:t xml:space="preserve">Systematic Sampling</w:t>
            </w:r>
          </w:p>
        </w:tc>
        <w:tc>
          <w:tcPr>
            <w:tcW w:type="dxa" w:w="3900"/>
            <w:shd w:fill="FFFFFF" w:color="auto" w:val="clear"/>
            <w:tcMar>
              <w:top w:type="dxa" w:w="70"/>
              <w:left w:type="dxa" w:w="100"/>
              <w:bottom w:type="dxa" w:w="70"/>
              <w:right w:type="dxa" w:w="100"/>
            </w:tcMar>
            <w:vAlign w:val="center"/>
          </w:tcPr>
          <w:p>
            <w:pPr>
              <w:jc w:val="center"/>
            </w:pPr>
            <w:r>
              <w:rPr>
                <w:color w:val="222222"/>
                <w:sz w:val="19"/>
                <w:szCs w:val="19"/>
              </w:rPr>
              <w:t xml:space="preserve">Every k-th unit selected from a list</w:t>
            </w:r>
          </w:p>
        </w:tc>
      </w:tr>
      <w:tr>
        <w:tc>
          <w:tcPr>
            <w:tcW w:type="dxa" w:w="2100"/>
            <w:shd w:fill="F2F5F7" w:color="auto" w:val="clear"/>
            <w:tcMar>
              <w:top w:type="dxa" w:w="70"/>
              <w:left w:type="dxa" w:w="100"/>
              <w:bottom w:type="dxa" w:w="70"/>
              <w:right w:type="dxa" w:w="100"/>
            </w:tcMar>
            <w:vAlign w:val="center"/>
          </w:tcPr>
          <w:p>
            <w:pPr>
              <w:jc w:val="center"/>
            </w:pPr>
            <w:r>
              <w:rPr>
                <w:color w:val="222222"/>
                <w:sz w:val="19"/>
                <w:szCs w:val="19"/>
              </w:rPr>
              <w:t xml:space="preserve">Probability</w:t>
            </w:r>
          </w:p>
        </w:tc>
        <w:tc>
          <w:tcPr>
            <w:tcW w:type="dxa" w:w="3350"/>
            <w:shd w:fill="F2F5F7" w:color="auto" w:val="clear"/>
            <w:tcMar>
              <w:top w:type="dxa" w:w="70"/>
              <w:left w:type="dxa" w:w="100"/>
              <w:bottom w:type="dxa" w:w="70"/>
              <w:right w:type="dxa" w:w="100"/>
            </w:tcMar>
            <w:vAlign w:val="center"/>
          </w:tcPr>
          <w:p>
            <w:pPr>
              <w:jc w:val="center"/>
            </w:pPr>
            <w:r>
              <w:rPr>
                <w:color w:val="222222"/>
                <w:sz w:val="19"/>
                <w:szCs w:val="19"/>
              </w:rPr>
              <w:t xml:space="preserve">Cluster Sampling</w:t>
            </w:r>
          </w:p>
        </w:tc>
        <w:tc>
          <w:tcPr>
            <w:tcW w:type="dxa" w:w="3900"/>
            <w:shd w:fill="F2F5F7" w:color="auto" w:val="clear"/>
            <w:tcMar>
              <w:top w:type="dxa" w:w="70"/>
              <w:left w:type="dxa" w:w="100"/>
              <w:bottom w:type="dxa" w:w="70"/>
              <w:right w:type="dxa" w:w="100"/>
            </w:tcMar>
            <w:vAlign w:val="center"/>
          </w:tcPr>
          <w:p>
            <w:pPr>
              <w:jc w:val="center"/>
            </w:pPr>
            <w:r>
              <w:rPr>
                <w:color w:val="222222"/>
                <w:sz w:val="19"/>
                <w:szCs w:val="19"/>
              </w:rPr>
              <w:t xml:space="preserve">Entire naturally-occurring groups selected (e.g., all customers in a city)</w:t>
            </w:r>
          </w:p>
        </w:tc>
      </w:tr>
      <w:tr>
        <w:tc>
          <w:tcPr>
            <w:tcW w:type="dxa" w:w="2100"/>
            <w:shd w:fill="FFFFFF" w:color="auto" w:val="clear"/>
            <w:tcMar>
              <w:top w:type="dxa" w:w="70"/>
              <w:left w:type="dxa" w:w="100"/>
              <w:bottom w:type="dxa" w:w="70"/>
              <w:right w:type="dxa" w:w="100"/>
            </w:tcMar>
            <w:vAlign w:val="center"/>
          </w:tcPr>
          <w:p>
            <w:pPr>
              <w:jc w:val="center"/>
            </w:pPr>
            <w:r>
              <w:rPr>
                <w:color w:val="222222"/>
                <w:sz w:val="19"/>
                <w:szCs w:val="19"/>
              </w:rPr>
              <w:t xml:space="preserve">Non-Probability</w:t>
            </w:r>
          </w:p>
        </w:tc>
        <w:tc>
          <w:tcPr>
            <w:tcW w:type="dxa" w:w="3350"/>
            <w:shd w:fill="FFFFFF" w:color="auto" w:val="clear"/>
            <w:tcMar>
              <w:top w:type="dxa" w:w="70"/>
              <w:left w:type="dxa" w:w="100"/>
              <w:bottom w:type="dxa" w:w="70"/>
              <w:right w:type="dxa" w:w="100"/>
            </w:tcMar>
            <w:vAlign w:val="center"/>
          </w:tcPr>
          <w:p>
            <w:pPr>
              <w:jc w:val="center"/>
            </w:pPr>
            <w:r>
              <w:rPr>
                <w:color w:val="222222"/>
                <w:sz w:val="19"/>
                <w:szCs w:val="19"/>
              </w:rPr>
              <w:t xml:space="preserve">Convenience Sampling</w:t>
            </w:r>
          </w:p>
        </w:tc>
        <w:tc>
          <w:tcPr>
            <w:tcW w:type="dxa" w:w="3900"/>
            <w:shd w:fill="FFFFFF" w:color="auto" w:val="clear"/>
            <w:tcMar>
              <w:top w:type="dxa" w:w="70"/>
              <w:left w:type="dxa" w:w="100"/>
              <w:bottom w:type="dxa" w:w="70"/>
              <w:right w:type="dxa" w:w="100"/>
            </w:tcMar>
            <w:vAlign w:val="center"/>
          </w:tcPr>
          <w:p>
            <w:pPr>
              <w:jc w:val="center"/>
            </w:pPr>
            <w:r>
              <w:rPr>
                <w:color w:val="222222"/>
                <w:sz w:val="19"/>
                <w:szCs w:val="19"/>
              </w:rPr>
              <w:t xml:space="preserve">Easiest-to-reach respondents (quick, but biased)</w:t>
            </w:r>
          </w:p>
        </w:tc>
      </w:tr>
      <w:tr>
        <w:tc>
          <w:tcPr>
            <w:tcW w:type="dxa" w:w="2100"/>
            <w:shd w:fill="F2F5F7" w:color="auto" w:val="clear"/>
            <w:tcMar>
              <w:top w:type="dxa" w:w="70"/>
              <w:left w:type="dxa" w:w="100"/>
              <w:bottom w:type="dxa" w:w="70"/>
              <w:right w:type="dxa" w:w="100"/>
            </w:tcMar>
            <w:vAlign w:val="center"/>
          </w:tcPr>
          <w:p>
            <w:pPr>
              <w:jc w:val="center"/>
            </w:pPr>
            <w:r>
              <w:rPr>
                <w:color w:val="222222"/>
                <w:sz w:val="19"/>
                <w:szCs w:val="19"/>
              </w:rPr>
              <w:t xml:space="preserve">Non-Probability</w:t>
            </w:r>
          </w:p>
        </w:tc>
        <w:tc>
          <w:tcPr>
            <w:tcW w:type="dxa" w:w="3350"/>
            <w:shd w:fill="F2F5F7" w:color="auto" w:val="clear"/>
            <w:tcMar>
              <w:top w:type="dxa" w:w="70"/>
              <w:left w:type="dxa" w:w="100"/>
              <w:bottom w:type="dxa" w:w="70"/>
              <w:right w:type="dxa" w:w="100"/>
            </w:tcMar>
            <w:vAlign w:val="center"/>
          </w:tcPr>
          <w:p>
            <w:pPr>
              <w:jc w:val="center"/>
            </w:pPr>
            <w:r>
              <w:rPr>
                <w:color w:val="222222"/>
                <w:sz w:val="19"/>
                <w:szCs w:val="19"/>
              </w:rPr>
              <w:t xml:space="preserve">Judgmental / Purposive Sampling</w:t>
            </w:r>
          </w:p>
        </w:tc>
        <w:tc>
          <w:tcPr>
            <w:tcW w:type="dxa" w:w="3900"/>
            <w:shd w:fill="F2F5F7" w:color="auto" w:val="clear"/>
            <w:tcMar>
              <w:top w:type="dxa" w:w="70"/>
              <w:left w:type="dxa" w:w="100"/>
              <w:bottom w:type="dxa" w:w="70"/>
              <w:right w:type="dxa" w:w="100"/>
            </w:tcMar>
            <w:vAlign w:val="center"/>
          </w:tcPr>
          <w:p>
            <w:pPr>
              <w:jc w:val="center"/>
            </w:pPr>
            <w:r>
              <w:rPr>
                <w:color w:val="222222"/>
                <w:sz w:val="19"/>
                <w:szCs w:val="19"/>
              </w:rPr>
              <w:t xml:space="preserve">Researcher selects based on expert judgment</w:t>
            </w:r>
          </w:p>
        </w:tc>
      </w:tr>
      <w:tr>
        <w:tc>
          <w:tcPr>
            <w:tcW w:type="dxa" w:w="2100"/>
            <w:shd w:fill="FFFFFF" w:color="auto" w:val="clear"/>
            <w:tcMar>
              <w:top w:type="dxa" w:w="70"/>
              <w:left w:type="dxa" w:w="100"/>
              <w:bottom w:type="dxa" w:w="70"/>
              <w:right w:type="dxa" w:w="100"/>
            </w:tcMar>
            <w:vAlign w:val="center"/>
          </w:tcPr>
          <w:p>
            <w:pPr>
              <w:jc w:val="center"/>
            </w:pPr>
            <w:r>
              <w:rPr>
                <w:color w:val="222222"/>
                <w:sz w:val="19"/>
                <w:szCs w:val="19"/>
              </w:rPr>
              <w:t xml:space="preserve">Non-Probability</w:t>
            </w:r>
          </w:p>
        </w:tc>
        <w:tc>
          <w:tcPr>
            <w:tcW w:type="dxa" w:w="3350"/>
            <w:shd w:fill="FFFFFF" w:color="auto" w:val="clear"/>
            <w:tcMar>
              <w:top w:type="dxa" w:w="70"/>
              <w:left w:type="dxa" w:w="100"/>
              <w:bottom w:type="dxa" w:w="70"/>
              <w:right w:type="dxa" w:w="100"/>
            </w:tcMar>
            <w:vAlign w:val="center"/>
          </w:tcPr>
          <w:p>
            <w:pPr>
              <w:jc w:val="center"/>
            </w:pPr>
            <w:r>
              <w:rPr>
                <w:color w:val="222222"/>
                <w:sz w:val="19"/>
                <w:szCs w:val="19"/>
              </w:rPr>
              <w:t xml:space="preserve">Quota Sampling</w:t>
            </w:r>
          </w:p>
        </w:tc>
        <w:tc>
          <w:tcPr>
            <w:tcW w:type="dxa" w:w="3900"/>
            <w:shd w:fill="FFFFFF" w:color="auto" w:val="clear"/>
            <w:tcMar>
              <w:top w:type="dxa" w:w="70"/>
              <w:left w:type="dxa" w:w="100"/>
              <w:bottom w:type="dxa" w:w="70"/>
              <w:right w:type="dxa" w:w="100"/>
            </w:tcMar>
            <w:vAlign w:val="center"/>
          </w:tcPr>
          <w:p>
            <w:pPr>
              <w:jc w:val="center"/>
            </w:pPr>
            <w:r>
              <w:rPr>
                <w:color w:val="222222"/>
                <w:sz w:val="19"/>
                <w:szCs w:val="19"/>
              </w:rPr>
              <w:t xml:space="preserve">Fixed quotas per subgroup, non-random within group</w:t>
            </w:r>
          </w:p>
        </w:tc>
      </w:tr>
    </w:tbl>
    <w:p>
      <w:pPr>
        <w:spacing w:after="120"/>
      </w:pP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Sampling design is the single most-tested foundation of Marketing Research and Research Methodology — the validity of every survey-based project you run in PGDM depends on getting this step right before any statistic is even calculated.</w:t>
            </w:r>
          </w:p>
        </w:tc>
      </w:tr>
    </w:tbl>
    <w:p>
      <w:r>
        <w:br w:type="page"/>
      </w:r>
    </w:p>
    <w:p>
      <w:pPr>
        <w:pStyle w:val="Heading1"/>
        <w:pBdr>
          <w:bottom w:val="single" w:color="1F3864" w:sz="12" w:space="4"/>
        </w:pBdr>
        <w:spacing w:after="200" w:before="480"/>
      </w:pPr>
      <w:r>
        <w:rPr>
          <w:b/>
          <w:bCs/>
          <w:color w:val="1F3864"/>
          <w:sz w:val="32"/>
          <w:szCs w:val="32"/>
        </w:rPr>
        <w:t xml:space="preserve">Your PGDM Statistics Roadmap</w:t>
      </w:r>
    </w:p>
    <w:p>
      <w:pPr>
        <w:spacing w:after="140"/>
      </w:pPr>
      <w:r>
        <w:rPr>
          <w:color w:val="222222"/>
          <w:sz w:val="21"/>
          <w:szCs w:val="21"/>
        </w:rPr>
        <w:t xml:space="preserve">A quick map of where these Statistics 101 foundations reappear across your program:</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4600"/>
        <w:gridCol w:w="4750"/>
      </w:tblGrid>
      <w:tr>
        <w:trPr>
          <w:tblHeader/>
        </w:trPr>
        <w:tc>
          <w:tcPr>
            <w:tcW w:type="dxa" w:w="4600"/>
            <w:shd w:fill="1F3864" w:color="auto" w:val="clear"/>
            <w:tcMar>
              <w:top w:type="dxa" w:w="80"/>
              <w:left w:type="dxa" w:w="100"/>
              <w:bottom w:type="dxa" w:w="80"/>
              <w:right w:type="dxa" w:w="100"/>
            </w:tcMar>
            <w:vAlign w:val="center"/>
          </w:tcPr>
          <w:p>
            <w:pPr>
              <w:jc w:val="center"/>
            </w:pPr>
            <w:r>
              <w:rPr>
                <w:b/>
                <w:bCs/>
                <w:color w:val="FFFFFF"/>
                <w:sz w:val="19"/>
                <w:szCs w:val="19"/>
              </w:rPr>
              <w:t xml:space="preserve">This Unit's Foundation</w:t>
            </w:r>
          </w:p>
        </w:tc>
        <w:tc>
          <w:tcPr>
            <w:tcW w:type="dxa" w:w="4750"/>
            <w:shd w:fill="1F3864" w:color="auto" w:val="clear"/>
            <w:tcMar>
              <w:top w:type="dxa" w:w="80"/>
              <w:left w:type="dxa" w:w="100"/>
              <w:bottom w:type="dxa" w:w="80"/>
              <w:right w:type="dxa" w:w="100"/>
            </w:tcMar>
            <w:vAlign w:val="center"/>
          </w:tcPr>
          <w:p>
            <w:pPr>
              <w:jc w:val="center"/>
            </w:pPr>
            <w:r>
              <w:rPr>
                <w:b/>
                <w:bCs/>
                <w:color w:val="FFFFFF"/>
                <w:sz w:val="19"/>
                <w:szCs w:val="19"/>
              </w:rPr>
              <w:t xml:space="preserve">Resurfaces Later In</w:t>
            </w:r>
          </w:p>
        </w:tc>
      </w:tr>
      <w:tr>
        <w:tc>
          <w:tcPr>
            <w:tcW w:type="dxa" w:w="4600"/>
            <w:shd w:fill="FFFFFF" w:color="auto" w:val="clear"/>
            <w:tcMar>
              <w:top w:type="dxa" w:w="70"/>
              <w:left w:type="dxa" w:w="100"/>
              <w:bottom w:type="dxa" w:w="70"/>
              <w:right w:type="dxa" w:w="100"/>
            </w:tcMar>
            <w:vAlign w:val="center"/>
          </w:tcPr>
          <w:p>
            <w:pPr>
              <w:jc w:val="center"/>
            </w:pPr>
            <w:r>
              <w:rPr>
                <w:color w:val="222222"/>
                <w:sz w:val="19"/>
                <w:szCs w:val="19"/>
              </w:rPr>
              <w:t xml:space="preserve">Levels of measurement, data types</w:t>
            </w:r>
          </w:p>
        </w:tc>
        <w:tc>
          <w:tcPr>
            <w:tcW w:type="dxa" w:w="4750"/>
            <w:shd w:fill="FFFFFF" w:color="auto" w:val="clear"/>
            <w:tcMar>
              <w:top w:type="dxa" w:w="70"/>
              <w:left w:type="dxa" w:w="100"/>
              <w:bottom w:type="dxa" w:w="70"/>
              <w:right w:type="dxa" w:w="100"/>
            </w:tcMar>
            <w:vAlign w:val="center"/>
          </w:tcPr>
          <w:p>
            <w:pPr>
              <w:jc w:val="center"/>
            </w:pPr>
            <w:r>
              <w:rPr>
                <w:color w:val="222222"/>
                <w:sz w:val="19"/>
                <w:szCs w:val="19"/>
              </w:rPr>
              <w:t xml:space="preserve">Research Methodology — choosing the right statistical test</w:t>
            </w:r>
          </w:p>
        </w:tc>
      </w:tr>
      <w:tr>
        <w:tc>
          <w:tcPr>
            <w:tcW w:type="dxa" w:w="4600"/>
            <w:shd w:fill="F2F5F7" w:color="auto" w:val="clear"/>
            <w:tcMar>
              <w:top w:type="dxa" w:w="70"/>
              <w:left w:type="dxa" w:w="100"/>
              <w:bottom w:type="dxa" w:w="70"/>
              <w:right w:type="dxa" w:w="100"/>
            </w:tcMar>
            <w:vAlign w:val="center"/>
          </w:tcPr>
          <w:p>
            <w:pPr>
              <w:jc w:val="center"/>
            </w:pPr>
            <w:r>
              <w:rPr>
                <w:color w:val="222222"/>
                <w:sz w:val="19"/>
                <w:szCs w:val="19"/>
              </w:rPr>
              <w:t xml:space="preserve">Mean, median, mode, dispersion</w:t>
            </w:r>
          </w:p>
        </w:tc>
        <w:tc>
          <w:tcPr>
            <w:tcW w:type="dxa" w:w="4750"/>
            <w:shd w:fill="F2F5F7" w:color="auto" w:val="clear"/>
            <w:tcMar>
              <w:top w:type="dxa" w:w="70"/>
              <w:left w:type="dxa" w:w="100"/>
              <w:bottom w:type="dxa" w:w="70"/>
              <w:right w:type="dxa" w:w="100"/>
            </w:tcMar>
            <w:vAlign w:val="center"/>
          </w:tcPr>
          <w:p>
            <w:pPr>
              <w:jc w:val="center"/>
            </w:pPr>
            <w:r>
              <w:rPr>
                <w:color w:val="222222"/>
                <w:sz w:val="19"/>
                <w:szCs w:val="19"/>
              </w:rPr>
              <w:t xml:space="preserve">Business Analytics — descriptive dashboards, HR/Finance reporting</w:t>
            </w:r>
          </w:p>
        </w:tc>
      </w:tr>
      <w:tr>
        <w:tc>
          <w:tcPr>
            <w:tcW w:type="dxa" w:w="4600"/>
            <w:shd w:fill="FFFFFF" w:color="auto" w:val="clear"/>
            <w:tcMar>
              <w:top w:type="dxa" w:w="70"/>
              <w:left w:type="dxa" w:w="100"/>
              <w:bottom w:type="dxa" w:w="70"/>
              <w:right w:type="dxa" w:w="100"/>
            </w:tcMar>
            <w:vAlign w:val="center"/>
          </w:tcPr>
          <w:p>
            <w:pPr>
              <w:jc w:val="center"/>
            </w:pPr>
            <w:r>
              <w:rPr>
                <w:color w:val="222222"/>
                <w:sz w:val="19"/>
                <w:szCs w:val="19"/>
              </w:rPr>
              <w:t xml:space="preserve">Skewness &amp; distribution shape</w:t>
            </w:r>
          </w:p>
        </w:tc>
        <w:tc>
          <w:tcPr>
            <w:tcW w:type="dxa" w:w="4750"/>
            <w:shd w:fill="FFFFFF" w:color="auto" w:val="clear"/>
            <w:tcMar>
              <w:top w:type="dxa" w:w="70"/>
              <w:left w:type="dxa" w:w="100"/>
              <w:bottom w:type="dxa" w:w="70"/>
              <w:right w:type="dxa" w:w="100"/>
            </w:tcMar>
            <w:vAlign w:val="center"/>
          </w:tcPr>
          <w:p>
            <w:pPr>
              <w:jc w:val="center"/>
            </w:pPr>
            <w:r>
              <w:rPr>
                <w:color w:val="222222"/>
                <w:sz w:val="19"/>
                <w:szCs w:val="19"/>
              </w:rPr>
              <w:t xml:space="preserve">Quantitative Techniques — normality checks before modeling</w:t>
            </w:r>
          </w:p>
        </w:tc>
      </w:tr>
      <w:tr>
        <w:tc>
          <w:tcPr>
            <w:tcW w:type="dxa" w:w="4600"/>
            <w:shd w:fill="F2F5F7" w:color="auto" w:val="clear"/>
            <w:tcMar>
              <w:top w:type="dxa" w:w="70"/>
              <w:left w:type="dxa" w:w="100"/>
              <w:bottom w:type="dxa" w:w="70"/>
              <w:right w:type="dxa" w:w="100"/>
            </w:tcMar>
            <w:vAlign w:val="center"/>
          </w:tcPr>
          <w:p>
            <w:pPr>
              <w:jc w:val="center"/>
            </w:pPr>
            <w:r>
              <w:rPr>
                <w:color w:val="222222"/>
                <w:sz w:val="19"/>
                <w:szCs w:val="19"/>
              </w:rPr>
              <w:t xml:space="preserve">Correlation</w:t>
            </w:r>
          </w:p>
        </w:tc>
        <w:tc>
          <w:tcPr>
            <w:tcW w:type="dxa" w:w="4750"/>
            <w:shd w:fill="F2F5F7" w:color="auto" w:val="clear"/>
            <w:tcMar>
              <w:top w:type="dxa" w:w="70"/>
              <w:left w:type="dxa" w:w="100"/>
              <w:bottom w:type="dxa" w:w="70"/>
              <w:right w:type="dxa" w:w="100"/>
            </w:tcMar>
            <w:vAlign w:val="center"/>
          </w:tcPr>
          <w:p>
            <w:pPr>
              <w:jc w:val="center"/>
            </w:pPr>
            <w:r>
              <w:rPr>
                <w:color w:val="222222"/>
                <w:sz w:val="19"/>
                <w:szCs w:val="19"/>
              </w:rPr>
              <w:t xml:space="preserve">Business Analytics / Econometrics — regression modeling</w:t>
            </w:r>
          </w:p>
        </w:tc>
      </w:tr>
      <w:tr>
        <w:tc>
          <w:tcPr>
            <w:tcW w:type="dxa" w:w="4600"/>
            <w:shd w:fill="FFFFFF" w:color="auto" w:val="clear"/>
            <w:tcMar>
              <w:top w:type="dxa" w:w="70"/>
              <w:left w:type="dxa" w:w="100"/>
              <w:bottom w:type="dxa" w:w="70"/>
              <w:right w:type="dxa" w:w="100"/>
            </w:tcMar>
            <w:vAlign w:val="center"/>
          </w:tcPr>
          <w:p>
            <w:pPr>
              <w:jc w:val="center"/>
            </w:pPr>
            <w:r>
              <w:rPr>
                <w:color w:val="222222"/>
                <w:sz w:val="19"/>
                <w:szCs w:val="19"/>
              </w:rPr>
              <w:t xml:space="preserve">Probability &amp; conditional probability</w:t>
            </w:r>
          </w:p>
        </w:tc>
        <w:tc>
          <w:tcPr>
            <w:tcW w:type="dxa" w:w="4750"/>
            <w:shd w:fill="FFFFFF" w:color="auto" w:val="clear"/>
            <w:tcMar>
              <w:top w:type="dxa" w:w="70"/>
              <w:left w:type="dxa" w:w="100"/>
              <w:bottom w:type="dxa" w:w="70"/>
              <w:right w:type="dxa" w:w="100"/>
            </w:tcMar>
            <w:vAlign w:val="center"/>
          </w:tcPr>
          <w:p>
            <w:pPr>
              <w:jc w:val="center"/>
            </w:pPr>
            <w:r>
              <w:rPr>
                <w:color w:val="222222"/>
                <w:sz w:val="19"/>
                <w:szCs w:val="19"/>
              </w:rPr>
              <w:t xml:space="preserve">Decision Sciences — decision trees, hypothesis testing</w:t>
            </w:r>
          </w:p>
        </w:tc>
      </w:tr>
      <w:tr>
        <w:tc>
          <w:tcPr>
            <w:tcW w:type="dxa" w:w="4600"/>
            <w:shd w:fill="F2F5F7" w:color="auto" w:val="clear"/>
            <w:tcMar>
              <w:top w:type="dxa" w:w="70"/>
              <w:left w:type="dxa" w:w="100"/>
              <w:bottom w:type="dxa" w:w="70"/>
              <w:right w:type="dxa" w:w="100"/>
            </w:tcMar>
            <w:vAlign w:val="center"/>
          </w:tcPr>
          <w:p>
            <w:pPr>
              <w:jc w:val="center"/>
            </w:pPr>
            <w:r>
              <w:rPr>
                <w:color w:val="222222"/>
                <w:sz w:val="19"/>
                <w:szCs w:val="19"/>
              </w:rPr>
              <w:t xml:space="preserve">Index numbers</w:t>
            </w:r>
          </w:p>
        </w:tc>
        <w:tc>
          <w:tcPr>
            <w:tcW w:type="dxa" w:w="4750"/>
            <w:shd w:fill="F2F5F7" w:color="auto" w:val="clear"/>
            <w:tcMar>
              <w:top w:type="dxa" w:w="70"/>
              <w:left w:type="dxa" w:w="100"/>
              <w:bottom w:type="dxa" w:w="70"/>
              <w:right w:type="dxa" w:w="100"/>
            </w:tcMar>
            <w:vAlign w:val="center"/>
          </w:tcPr>
          <w:p>
            <w:pPr>
              <w:jc w:val="center"/>
            </w:pPr>
            <w:r>
              <w:rPr>
                <w:color w:val="222222"/>
                <w:sz w:val="19"/>
                <w:szCs w:val="19"/>
              </w:rPr>
              <w:t xml:space="preserve">Managerial Economics — CPI, WPI, market indices</w:t>
            </w:r>
          </w:p>
        </w:tc>
      </w:tr>
      <w:tr>
        <w:tc>
          <w:tcPr>
            <w:tcW w:type="dxa" w:w="4600"/>
            <w:shd w:fill="FFFFFF" w:color="auto" w:val="clear"/>
            <w:tcMar>
              <w:top w:type="dxa" w:w="70"/>
              <w:left w:type="dxa" w:w="100"/>
              <w:bottom w:type="dxa" w:w="70"/>
              <w:right w:type="dxa" w:w="100"/>
            </w:tcMar>
            <w:vAlign w:val="center"/>
          </w:tcPr>
          <w:p>
            <w:pPr>
              <w:jc w:val="center"/>
            </w:pPr>
            <w:r>
              <w:rPr>
                <w:color w:val="222222"/>
                <w:sz w:val="19"/>
                <w:szCs w:val="19"/>
              </w:rPr>
              <w:t xml:space="preserve">Sampling theory</w:t>
            </w:r>
          </w:p>
        </w:tc>
        <w:tc>
          <w:tcPr>
            <w:tcW w:type="dxa" w:w="4750"/>
            <w:shd w:fill="FFFFFF" w:color="auto" w:val="clear"/>
            <w:tcMar>
              <w:top w:type="dxa" w:w="70"/>
              <w:left w:type="dxa" w:w="100"/>
              <w:bottom w:type="dxa" w:w="70"/>
              <w:right w:type="dxa" w:w="100"/>
            </w:tcMar>
            <w:vAlign w:val="center"/>
          </w:tcPr>
          <w:p>
            <w:pPr>
              <w:jc w:val="center"/>
            </w:pPr>
            <w:r>
              <w:rPr>
                <w:color w:val="222222"/>
                <w:sz w:val="19"/>
                <w:szCs w:val="19"/>
              </w:rPr>
              <w:t xml:space="preserve">Marketing Research — survey design and validity</w:t>
            </w:r>
          </w:p>
        </w:tc>
      </w:tr>
      <w:tr>
        <w:tc>
          <w:tcPr>
            <w:tcW w:type="dxa" w:w="4600"/>
            <w:shd w:fill="F2F5F7" w:color="auto" w:val="clear"/>
            <w:tcMar>
              <w:top w:type="dxa" w:w="70"/>
              <w:left w:type="dxa" w:w="100"/>
              <w:bottom w:type="dxa" w:w="70"/>
              <w:right w:type="dxa" w:w="100"/>
            </w:tcMar>
            <w:vAlign w:val="center"/>
          </w:tcPr>
          <w:p>
            <w:pPr>
              <w:jc w:val="center"/>
            </w:pPr>
            <w:r>
              <w:rPr>
                <w:color w:val="222222"/>
                <w:sz w:val="19"/>
                <w:szCs w:val="19"/>
              </w:rPr>
              <w:t xml:space="preserve">Data visualization</w:t>
            </w:r>
          </w:p>
        </w:tc>
        <w:tc>
          <w:tcPr>
            <w:tcW w:type="dxa" w:w="4750"/>
            <w:shd w:fill="F2F5F7" w:color="auto" w:val="clear"/>
            <w:tcMar>
              <w:top w:type="dxa" w:w="70"/>
              <w:left w:type="dxa" w:w="100"/>
              <w:bottom w:type="dxa" w:w="70"/>
              <w:right w:type="dxa" w:w="100"/>
            </w:tcMar>
            <w:vAlign w:val="center"/>
          </w:tcPr>
          <w:p>
            <w:pPr>
              <w:jc w:val="center"/>
            </w:pPr>
            <w:r>
              <w:rPr>
                <w:color w:val="222222"/>
                <w:sz w:val="19"/>
                <w:szCs w:val="19"/>
              </w:rPr>
              <w:t xml:space="preserve">Business Analytics — Power BI / Tableau dashboards</w:t>
            </w:r>
          </w:p>
        </w:tc>
      </w:tr>
    </w:tbl>
    <w:p>
      <w:pPr>
        <w:spacing w:after="200"/>
      </w:pPr>
    </w:p>
    <w:p>
      <w:pPr>
        <w:spacing w:after="140"/>
      </w:pPr>
      <w:r>
        <w:rPr>
          <w:i/>
          <w:iCs/>
          <w:color w:val="5A5A5A"/>
          <w:sz w:val="20"/>
          <w:szCs w:val="20"/>
        </w:rPr>
        <w:t xml:space="preserve">Suggested next step: once these Unit 1–2 basics are solid, move to Unit 3's correlation/probability with a small real dataset (even 10–15 rows in Excel) — it's the fastest way to make regression, which comes right after, feel intuitive rather than memorized.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fldChar w:fldCharType="begin"/>
      <w:instrText xml:space="preserve">PAGE</w:instrText>
      <w:fldChar w:fldCharType="separate"/>
      <w:fldChar w:fldCharType="end"/>
    </w:r>
    <w:r>
      <w:rPr>
        <w:color w:val="5A5A5A"/>
        <w:sz w:val="16"/>
        <w:szCs w:val="16"/>
      </w:rPr>
      <w:t xml:space="preserve">  |  PGDM Statistics 101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A5A5A"/>
        <w:sz w:val="16"/>
        <w:szCs w:val="16"/>
      </w:rPr>
      <w:t xml:space="preserve">Business Statistics — 101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2026-08-16T11:35:30.520Z</dcterms:created>
  <dcterms:modified xsi:type="dcterms:W3CDTF">2026-08-16T11:35:30.536Z</dcterms:modified>
</cp:coreProperties>
</file>

<file path=docProps/custom.xml><?xml version="1.0" encoding="utf-8"?>
<Properties xmlns="http://schemas.openxmlformats.org/officeDocument/2006/custom-properties" xmlns:vt="http://schemas.openxmlformats.org/officeDocument/2006/docPropsVTypes"/>
</file>