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宋体"/>
          <w:b/>
          <w:color w:val="000000"/>
          <w:sz w:val="44"/>
        </w:rPr>
        <w:t>开题答辩准备要求与评分标准</w:t>
      </w:r>
    </w:p>
    <w:p>
      <w:pPr>
        <w:jc w:val="center"/>
      </w:pPr>
      <w:r>
        <w:rPr>
          <w:rFonts w:ascii="Times New Roman" w:hAnsi="Times New Roman" w:eastAsia="宋体"/>
          <w:b w:val="0"/>
          <w:color w:val="000000"/>
          <w:sz w:val="22"/>
        </w:rPr>
        <w:t>2026—2027学年第一学期</w:t>
      </w:r>
    </w:p>
    <w:p>
      <w:r>
        <w:rPr>
          <w:rFonts w:ascii="Times New Roman" w:hAnsi="Times New Roman" w:eastAsia="宋体"/>
          <w:b w:val="0"/>
          <w:color w:val="000000"/>
          <w:sz w:val="22"/>
        </w:rPr>
        <w:t>每组答辩约4分钟。请提前熟悉展示与演示流程，按教师现场安排进行。</w:t>
      </w:r>
    </w:p>
    <w:p>
      <w:r>
        <w:rPr>
          <w:rFonts w:ascii="Times New Roman" w:hAnsi="Times New Roman" w:eastAsia="宋体"/>
          <w:b/>
          <w:color w:val="000000"/>
          <w:sz w:val="21"/>
        </w:rPr>
        <w:t>各组须在2026年10月21日结束前（即10月22日00:00前，北京时间）将答辩PPT提交到智慧树本课程的小组作业“课程设计开题答辩PPT提交”。具体答辩时间、地点按教师通知执行。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每组由组长统一提交一份PPT，文件命名：班级-小组号-项目简称-开题答辩.pptx。提交后请确认智慧树显示提交成功。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本说明面向学生。各组自行制作答辩PPT，展示实际准备情况，本次不另交Word报告。重点说明一个真实痛点、本组拟改进点及验证办法，并如实说明局限。</w:t>
      </w:r>
    </w:p>
    <w:p>
      <w:pPr>
        <w:pStyle w:val="Heading1"/>
      </w:pPr>
      <w:r>
        <w:t>一 PPT应展示的内容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60"/>
        <w:gridCol w:w="7704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AF0F6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页次与主题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  <w:shd w:fill="EAF0F6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要展示的内容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项目与成员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项目名称、班级小组、成员；服务谁、完成什么任务。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分工与计划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每人已做与待做的工作、阶段成果、日期及主要风险。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痛点与改进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现成方案的具体痛点、本组改进点、局限与首版范围。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数据准备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来源、当前数量、一条实际样例、质量与测试划分。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技术实现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处理流程、模型与部署、本组实现及一项课程技术实验。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最小验证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真实输入输出、关键截图或短演示、失败情况及运行证据。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 对比评测</w:t>
            </w:r>
          </w:p>
        </w:tc>
        <w:tc>
          <w:tcPr>
            <w:tcW w:type="dxa" w:w="7704"/>
            <w:vAlign w:val="center"/>
            <w:tcMar>
              <w:top w:w="95" w:type="dxa"/>
              <w:bottom w:w="95" w:type="dxa"/>
              <w:left w:w="105" w:type="dxa"/>
              <w:right w:w="105" w:type="dxa"/>
            </w:tcMar>
          </w:tcPr>
          <w:p>
            <w:pPr>
              <w:spacing w:after="0" w:line="276" w:lineRule="auto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相同任务的对比方法、指标、独立样例及验收条件。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color w:val="000000"/>
          <w:sz w:val="4"/>
        </w:rPr>
      </w:r>
    </w:p>
    <w:p>
      <w:pPr>
        <w:pStyle w:val="Heading1"/>
      </w:pPr>
      <w:r>
        <w:t>二 还需准备的材料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准备来源明确的数据或资料样例、运行截图或日志，以及演示备份。展示可使用约20—30秒短演示；资料的使用条件、代码来源和本组改动应能说明。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建议准备20—50条任务样例；文档问答项目可准备3—5份资料和不少于10个代表性问题。数量是准备建议，能否支撑项目论证更重要。</w:t>
      </w:r>
    </w:p>
    <w:p>
      <w:r>
        <w:br w:type="page"/>
      </w:r>
    </w:p>
    <w:p>
      <w:pPr>
        <w:pStyle w:val="Heading1"/>
      </w:pPr>
      <w:r>
        <w:t>三 分项评分标准</w:t>
      </w:r>
    </w:p>
    <w:p>
      <w:pPr>
        <w:pStyle w:val="Heading2"/>
      </w:pPr>
      <w:r>
        <w:t>问题与范围　15分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准备与评分依据：具体用户与任务、现成对比对象、真实痛点、拟改进点及不足、输入输出与首版边界。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13—15分　</w:t>
      </w:r>
      <w:r>
        <w:rPr>
          <w:rFonts w:ascii="Times New Roman" w:hAnsi="Times New Roman" w:eastAsia="宋体"/>
          <w:b w:val="0"/>
          <w:color w:val="000000"/>
          <w:sz w:val="21"/>
        </w:rPr>
        <w:t>用户和任务具体，需求有依据；能指出现成方案的一个痛点和本组改进价值，说明局限及首版边界。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10—12分　</w:t>
      </w:r>
      <w:r>
        <w:rPr>
          <w:rFonts w:ascii="Times New Roman" w:hAnsi="Times New Roman" w:eastAsia="宋体"/>
          <w:b w:val="0"/>
          <w:color w:val="000000"/>
          <w:sz w:val="21"/>
        </w:rPr>
        <w:t>任务和主要功能明确，能说明改进方向，但痛点依据、对比对象或适用边界仍需补充。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6—9分　</w:t>
      </w:r>
      <w:r>
        <w:rPr>
          <w:rFonts w:ascii="Times New Roman" w:hAnsi="Times New Roman" w:eastAsia="宋体"/>
          <w:b w:val="0"/>
          <w:color w:val="000000"/>
          <w:sz w:val="21"/>
        </w:rPr>
        <w:t>有方向但痛点与改进较泛，仅罗列功能或声称更好用，输入输出或需求依据不清楚。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0—5分　</w:t>
      </w:r>
      <w:r>
        <w:rPr>
          <w:rFonts w:ascii="Times New Roman" w:hAnsi="Times New Roman" w:eastAsia="宋体"/>
          <w:b w:val="0"/>
          <w:color w:val="000000"/>
          <w:sz w:val="21"/>
        </w:rPr>
        <w:t>主要是概念介绍或口号，难以判断要为谁完成什么任务。</w:t>
      </w:r>
    </w:p>
    <w:p>
      <w:pPr>
        <w:pStyle w:val="Heading2"/>
      </w:pPr>
      <w:r>
        <w:t>数据准备　15分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准备与评分依据：已经拿到的样例、来源与可用性、字段或标注规则、质量问题与数据划分。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13—15分　</w:t>
      </w:r>
      <w:r>
        <w:rPr>
          <w:rFonts w:ascii="Times New Roman" w:hAnsi="Times New Roman" w:eastAsia="宋体"/>
          <w:b w:val="0"/>
          <w:color w:val="000000"/>
          <w:sz w:val="21"/>
        </w:rPr>
        <w:t>有可查看的真实或明确标注的模拟样例；来源、字段、质量处理和测试隔离办法可执行。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10—12分　</w:t>
      </w:r>
      <w:r>
        <w:rPr>
          <w:rFonts w:ascii="Times New Roman" w:hAnsi="Times New Roman" w:eastAsia="宋体"/>
          <w:b w:val="0"/>
          <w:color w:val="000000"/>
          <w:sz w:val="21"/>
        </w:rPr>
        <w:t>已有可用样例和来源，字段较清楚，仍需补充清洗、标注或测试划分细节。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6—9分　</w:t>
      </w:r>
      <w:r>
        <w:rPr>
          <w:rFonts w:ascii="Times New Roman" w:hAnsi="Times New Roman" w:eastAsia="宋体"/>
          <w:b w:val="0"/>
          <w:color w:val="000000"/>
          <w:sz w:val="21"/>
        </w:rPr>
        <w:t>仅少量零散样例，或来源、获取方式、标签定义和任务适配性存在明显缺口。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0—5分　</w:t>
      </w:r>
      <w:r>
        <w:rPr>
          <w:rFonts w:ascii="Times New Roman" w:hAnsi="Times New Roman" w:eastAsia="宋体"/>
          <w:b w:val="0"/>
          <w:color w:val="000000"/>
          <w:sz w:val="21"/>
        </w:rPr>
        <w:t>没有可查看样例，或仅声称能够获取数据，尚不能支撑方案。</w:t>
      </w:r>
    </w:p>
    <w:p>
      <w:pPr>
        <w:pStyle w:val="Heading2"/>
      </w:pPr>
      <w:r>
        <w:t>技术与部署　25分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准备与评分依据：准确模型及框架、系统流程、关键方法、资源或API成本、部署方式与课程实验计划。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22—25分　</w:t>
      </w:r>
      <w:r>
        <w:rPr>
          <w:rFonts w:ascii="Times New Roman" w:hAnsi="Times New Roman" w:eastAsia="宋体"/>
          <w:b w:val="0"/>
          <w:color w:val="000000"/>
          <w:sz w:val="21"/>
        </w:rPr>
        <w:t>选型准确、方法与任务匹配，能解释关键环节；资源与部署可行，并有清楚的课程技术实验。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17—21分　</w:t>
      </w:r>
      <w:r>
        <w:rPr>
          <w:rFonts w:ascii="Times New Roman" w:hAnsi="Times New Roman" w:eastAsia="宋体"/>
          <w:b w:val="0"/>
          <w:color w:val="000000"/>
          <w:sz w:val="21"/>
        </w:rPr>
        <w:t>主要选型和流程合理，有实验及部署计划，部分参数、资源或成本仍待细化。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10—16分　</w:t>
      </w:r>
      <w:r>
        <w:rPr>
          <w:rFonts w:ascii="Times New Roman" w:hAnsi="Times New Roman" w:eastAsia="宋体"/>
          <w:b w:val="0"/>
          <w:color w:val="000000"/>
          <w:sz w:val="21"/>
        </w:rPr>
        <w:t>技术清单较多但关系不清，模型或部署未定，关键资源或实验设计论证不足。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0—9分　</w:t>
      </w:r>
      <w:r>
        <w:rPr>
          <w:rFonts w:ascii="Times New Roman" w:hAnsi="Times New Roman" w:eastAsia="宋体"/>
          <w:b w:val="0"/>
          <w:color w:val="000000"/>
          <w:sz w:val="21"/>
        </w:rPr>
        <w:t>缺少具体技术方案，关键假设明显不成立，或只有API调用与界面设想。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开题重点是方案可行和准备充分。无需完成整个系统，也不统一要求已完成参数微调；应说清所选技术路线、资源计划和要做的实验。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同一不足不重复扣分。计划按论证质量评价，实测按证据评价；不因PPT页数、关键词数量、界面美观或声称优于现成产品而直接加分。</w:t>
      </w:r>
    </w:p>
    <w:p>
      <w:r>
        <w:br w:type="page"/>
      </w:r>
    </w:p>
    <w:p>
      <w:pPr>
        <w:pStyle w:val="Heading1"/>
      </w:pPr>
      <w:r>
        <w:t>分项评分标准续</w:t>
      </w:r>
    </w:p>
    <w:p>
      <w:pPr>
        <w:pStyle w:val="Heading2"/>
      </w:pPr>
      <w:r>
        <w:t>最小技术验证　20分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准备与评分依据：真实输入输出、运行环境、演示或日志、关键链路、失败情况及其解释。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18—20分　</w:t>
      </w:r>
      <w:r>
        <w:rPr>
          <w:rFonts w:ascii="Times New Roman" w:hAnsi="Times New Roman" w:eastAsia="宋体"/>
          <w:b w:val="0"/>
          <w:color w:val="000000"/>
          <w:sz w:val="21"/>
        </w:rPr>
        <w:t>关键链路可演示或复现，输入输出和环境明确，能解释一个失败或边界案例。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14—17分　</w:t>
      </w:r>
      <w:r>
        <w:rPr>
          <w:rFonts w:ascii="Times New Roman" w:hAnsi="Times New Roman" w:eastAsia="宋体"/>
          <w:b w:val="0"/>
          <w:color w:val="000000"/>
          <w:sz w:val="21"/>
        </w:rPr>
        <w:t>核心环节已跑通，有真实结果；复现材料、完整链路或失败分析仍有少量不足。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8—13分　</w:t>
      </w:r>
      <w:r>
        <w:rPr>
          <w:rFonts w:ascii="Times New Roman" w:hAnsi="Times New Roman" w:eastAsia="宋体"/>
          <w:b w:val="0"/>
          <w:color w:val="000000"/>
          <w:sz w:val="21"/>
        </w:rPr>
        <w:t>只有局部验证或零散截图，输入输出关系、实际运行情况或关键环节解释不充分。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0—7分　</w:t>
      </w:r>
      <w:r>
        <w:rPr>
          <w:rFonts w:ascii="Times New Roman" w:hAnsi="Times New Roman" w:eastAsia="宋体"/>
          <w:b w:val="0"/>
          <w:color w:val="000000"/>
          <w:sz w:val="21"/>
        </w:rPr>
        <w:t>没有可核对的运行结果，或仅展示效果设想、无法说明来源的演示。</w:t>
      </w:r>
    </w:p>
    <w:p>
      <w:pPr>
        <w:pStyle w:val="Heading2"/>
      </w:pPr>
      <w:r>
        <w:t>评测设计　15分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准备与评分依据：针对改进点的对比对象、相同测试任务、独立样例、评价指标及计算口径、验收条件和失败处理。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13—15分　</w:t>
      </w:r>
      <w:r>
        <w:rPr>
          <w:rFonts w:ascii="Times New Roman" w:hAnsi="Times New Roman" w:eastAsia="宋体"/>
          <w:b w:val="0"/>
          <w:color w:val="000000"/>
          <w:sz w:val="21"/>
        </w:rPr>
        <w:t>用相同任务对比原方案与本组方案，指标能反映痛点改善；测试独立，能检查不足、代价和失败情况。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10—12分　</w:t>
      </w:r>
      <w:r>
        <w:rPr>
          <w:rFonts w:ascii="Times New Roman" w:hAnsi="Times New Roman" w:eastAsia="宋体"/>
          <w:b w:val="0"/>
          <w:color w:val="000000"/>
          <w:sz w:val="21"/>
        </w:rPr>
        <w:t>有基线、指标和测试计划，但人工评价、样本划分或失败场景仍需细化。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6—9分　</w:t>
      </w:r>
      <w:r>
        <w:rPr>
          <w:rFonts w:ascii="Times New Roman" w:hAnsi="Times New Roman" w:eastAsia="宋体"/>
          <w:b w:val="0"/>
          <w:color w:val="000000"/>
          <w:sz w:val="21"/>
        </w:rPr>
        <w:t>只写准确率或用户体验等笼统指标，缺基线、真值、计算口径或独立测试安排。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0—5分　</w:t>
      </w:r>
      <w:r>
        <w:rPr>
          <w:rFonts w:ascii="Times New Roman" w:hAnsi="Times New Roman" w:eastAsia="宋体"/>
          <w:b w:val="0"/>
          <w:color w:val="000000"/>
          <w:sz w:val="21"/>
        </w:rPr>
        <w:t>没有可检查的验收方法，或把目标数值和少量演示当作已经证实的效果。</w:t>
      </w:r>
    </w:p>
    <w:p>
      <w:pPr>
        <w:pStyle w:val="Heading2"/>
      </w:pPr>
      <w:r>
        <w:t>分工与现场答问　10分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准备与评分依据：姓名对应的交付物、阶段计划、已有工作、本人负责内容的解释及回答。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9—10分　</w:t>
      </w:r>
      <w:r>
        <w:rPr>
          <w:rFonts w:ascii="Times New Roman" w:hAnsi="Times New Roman" w:eastAsia="宋体"/>
          <w:b w:val="0"/>
          <w:color w:val="000000"/>
          <w:sz w:val="21"/>
        </w:rPr>
        <w:t>分工落实到姓名和成果，时间安排可执行；成员能说明本人工作并回应关键问题。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7—8分　</w:t>
      </w:r>
      <w:r>
        <w:rPr>
          <w:rFonts w:ascii="Times New Roman" w:hAnsi="Times New Roman" w:eastAsia="宋体"/>
          <w:b w:val="0"/>
          <w:color w:val="000000"/>
          <w:sz w:val="21"/>
        </w:rPr>
        <w:t>主要分工和阶段计划明确，现场回答基本准确，少数职责或依赖仍需细化。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4—6分　</w:t>
      </w:r>
      <w:r>
        <w:rPr>
          <w:rFonts w:ascii="Times New Roman" w:hAnsi="Times New Roman" w:eastAsia="宋体"/>
          <w:b w:val="0"/>
          <w:color w:val="000000"/>
          <w:sz w:val="21"/>
        </w:rPr>
        <w:t>分工较笼统或计划不清，部分成员难以解释负责的内容。</w:t>
      </w:r>
    </w:p>
    <w:p>
      <w:pPr>
        <w:spacing w:after="80" w:line="288" w:lineRule="auto"/>
      </w:pPr>
      <w:r>
        <w:rPr>
          <w:rFonts w:ascii="Times New Roman" w:hAnsi="Times New Roman" w:eastAsia="宋体"/>
          <w:b/>
          <w:color w:val="000000"/>
          <w:sz w:val="21"/>
        </w:rPr>
        <w:t xml:space="preserve">0—3分　</w:t>
      </w:r>
      <w:r>
        <w:rPr>
          <w:rFonts w:ascii="Times New Roman" w:hAnsi="Times New Roman" w:eastAsia="宋体"/>
          <w:b w:val="0"/>
          <w:color w:val="000000"/>
          <w:sz w:val="21"/>
        </w:rPr>
        <w:t>无明确分工与计划，或多数关键问题无法回答，难以确认本组实际准备情况。</w:t>
      </w:r>
    </w:p>
    <w:p>
      <w:pPr>
        <w:pStyle w:val="Heading1"/>
      </w:pPr>
      <w:r>
        <w:t>四 评分办法</w:t>
      </w:r>
    </w:p>
    <w:p>
      <w:r>
        <w:rPr>
          <w:rFonts w:ascii="Times New Roman" w:hAnsi="Times New Roman" w:eastAsia="宋体"/>
          <w:b w:val="0"/>
          <w:color w:val="000000"/>
          <w:sz w:val="21"/>
        </w:rPr>
        <w:t>总分100分，六项分别评整数分。先按实际材料和现场说明确定最符合的分档，再在档内给分：证据充分取接近上限，整体符合但有少量不足取中间，刚达到该档取接近下限；达不到时按下一档评价。六项相加即为总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宋体"/>
        <w:b w:val="0"/>
        <w:color w:val="000000"/>
        <w:sz w:val="18"/>
      </w:rPr>
      <w:t>大模型微调与部署技术　课程设计开题答辩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2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312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开题答辩准备要求与评分标准</dc:title>
  <dc:subject>课程设计开题答辩</dc:subject>
  <dc:creator>李剑锋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