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Dimensionality Reduction for Two Biomedical Classification Tables</w:t>
      </w:r>
    </w:p>
    <w:p>
      <w:pPr>
        <w:pStyle w:val="Subtitle"/>
      </w:pPr>
      <w:r>
        <w:t>Measured pilot comparison of nine dimensionality reduction methods</w:t>
      </w:r>
    </w:p>
    <w:p>
      <w:r>
        <w:t>Research report | 21 October 2026 | Reproducible code and raw run tables accompany this document</w:t>
      </w:r>
    </w:p>
    <w:p>
      <w:pPr>
        <w:pStyle w:val="Heading1"/>
      </w:pPr>
      <w:r>
        <w:t>Abstract</w:t>
      </w:r>
    </w:p>
    <w:p>
      <w:r>
        <w:t>This preliminary study compares nine two-dimensional representations on a lesion image table and a blood-cell feature table. Across three shared splits, Isomap had the highest mean ROC AUC on HAM10000 (0.649), while PCA had the highest mean ROC AUC on the blood-cell table (0.630). Performance varied across splits and parameter settings. The data and validation design do not support clinical or journal-level generalization claims. FROC AUC is unavailable because the files contain no candidate lesion locations.</w:t>
      </w:r>
    </w:p>
    <w:p>
      <w:pPr>
        <w:pStyle w:val="Heading1"/>
      </w:pPr>
      <w:r>
        <w:t>Introduction</w:t>
      </w:r>
    </w:p>
    <w:p>
      <w:r>
        <w:t>Dimensionality reduction is often used to inspect high-dimensional biomedical data. A visually separated map does not automatically retain information needed for a new patient or image. This benchmark therefore compares embeddings through a fixed downstream classifier on held-out samples, while measuring runtime and parameter sensitivity. It treats the methods as representation procedures, not standalone classifiers.</w:t>
      </w:r>
    </w:p>
    <w:p>
      <w:r>
        <w:t>PCA is linear and maximizes retained variance. Kernel PCA applies a radial basis function kernel. Gaussian SNE matches neighbor probabilities with a Gaussian low-dimensional affinity. t-SNE uses a heavy-tailed affinity. The hybrid applies PCA before t-SNE. UMAP builds a fuzzy neighborhood graph. Metric MDS preserves pairwise distances, PCoA decomposes a centered distance matrix, and Isomap approximates geodesic distances. All methods output two coordinates for a common comparison.</w:t>
      </w:r>
    </w:p>
    <w:p>
      <w:pPr>
        <w:pStyle w:val="Heading1"/>
      </w:pPr>
      <w:r>
        <w:t>Dataset description</w:t>
      </w:r>
    </w:p>
    <w:tbl>
      <w:tblPr>
        <w:tblStyle w:val="TableGrid"/>
        <w:tblW w:type="auto" w:w="0"/>
        <w:jc w:val="center"/>
        <w:tblLayout w:type="fixed"/>
        <w:tblLook w:firstColumn="1" w:firstRow="1" w:lastColumn="0" w:lastRow="0" w:noHBand="0" w:noVBand="1" w:val="04A0"/>
      </w:tblPr>
      <w:tblGrid>
        <w:gridCol w:w="1728"/>
        <w:gridCol w:w="1008"/>
        <w:gridCol w:w="3024"/>
        <w:gridCol w:w="1584"/>
        <w:gridCol w:w="1656"/>
      </w:tblGrid>
      <w:tr>
        <w:tc>
          <w:tcPr>
            <w:tcW w:type="dxa" w:w="1999"/>
            <w:shd w:fill="153B50"/>
          </w:tcPr>
          <w:p>
            <w:r>
              <w:rPr>
                <w:b/>
                <w:color w:val="FFFFFF"/>
                <w:sz w:val="16"/>
              </w:rPr>
              <w:t>Dataset</w:t>
            </w:r>
          </w:p>
        </w:tc>
        <w:tc>
          <w:tcPr>
            <w:tcW w:type="dxa" w:w="1999"/>
            <w:shd w:fill="153B50"/>
          </w:tcPr>
          <w:p>
            <w:r>
              <w:rPr>
                <w:b/>
                <w:color w:val="FFFFFF"/>
                <w:sz w:val="16"/>
              </w:rPr>
              <w:t>Records</w:t>
            </w:r>
          </w:p>
        </w:tc>
        <w:tc>
          <w:tcPr>
            <w:tcW w:type="dxa" w:w="1999"/>
            <w:shd w:fill="153B50"/>
          </w:tcPr>
          <w:p>
            <w:r>
              <w:rPr>
                <w:b/>
                <w:color w:val="FFFFFF"/>
                <w:sz w:val="16"/>
              </w:rPr>
              <w:t>Input features</w:t>
            </w:r>
          </w:p>
        </w:tc>
        <w:tc>
          <w:tcPr>
            <w:tcW w:type="dxa" w:w="1999"/>
            <w:shd w:fill="153B50"/>
          </w:tcPr>
          <w:p>
            <w:r>
              <w:rPr>
                <w:b/>
                <w:color w:val="FFFFFF"/>
                <w:sz w:val="16"/>
              </w:rPr>
              <w:t>Positive class</w:t>
            </w:r>
          </w:p>
        </w:tc>
        <w:tc>
          <w:tcPr>
            <w:tcW w:type="dxa" w:w="1999"/>
            <w:shd w:fill="153B50"/>
          </w:tcPr>
          <w:p>
            <w:r>
              <w:rPr>
                <w:b/>
                <w:color w:val="FFFFFF"/>
                <w:sz w:val="16"/>
              </w:rPr>
              <w:t>Split unit</w:t>
            </w:r>
          </w:p>
        </w:tc>
      </w:tr>
      <w:tr>
        <w:tc>
          <w:tcPr>
            <w:tcW w:type="dxa" w:w="1728"/>
            <w:vAlign w:val="center"/>
          </w:tcPr>
          <w:p>
            <w:pPr>
              <w:spacing w:after="0"/>
            </w:pPr>
            <w:r>
              <w:rPr>
                <w:sz w:val="15"/>
              </w:rPr>
              <w:t>HAM10000</w:t>
            </w:r>
          </w:p>
        </w:tc>
        <w:tc>
          <w:tcPr>
            <w:tcW w:type="dxa" w:w="1008"/>
            <w:vAlign w:val="center"/>
          </w:tcPr>
          <w:p>
            <w:pPr>
              <w:spacing w:after="0"/>
            </w:pPr>
            <w:r>
              <w:rPr>
                <w:sz w:val="15"/>
              </w:rPr>
              <w:t>10,015</w:t>
            </w:r>
          </w:p>
        </w:tc>
        <w:tc>
          <w:tcPr>
            <w:tcW w:type="dxa" w:w="3024"/>
            <w:vAlign w:val="center"/>
          </w:tcPr>
          <w:p>
            <w:pPr>
              <w:spacing w:after="0"/>
            </w:pPr>
            <w:r>
              <w:rPr>
                <w:sz w:val="15"/>
              </w:rPr>
              <w:t>192 values from 8 × 8 RGB pixels</w:t>
            </w:r>
          </w:p>
        </w:tc>
        <w:tc>
          <w:tcPr>
            <w:tcW w:type="dxa" w:w="1584"/>
            <w:vAlign w:val="center"/>
          </w:tcPr>
          <w:p>
            <w:pPr>
              <w:spacing w:after="0"/>
            </w:pPr>
            <w:r>
              <w:rPr>
                <w:sz w:val="15"/>
              </w:rPr>
              <w:t>Melanoma: 1,113</w:t>
            </w:r>
          </w:p>
        </w:tc>
        <w:tc>
          <w:tcPr>
            <w:tcW w:type="dxa" w:w="1656"/>
            <w:vAlign w:val="center"/>
          </w:tcPr>
          <w:p>
            <w:pPr>
              <w:spacing w:after="0"/>
            </w:pPr>
            <w:r>
              <w:rPr>
                <w:sz w:val="15"/>
              </w:rPr>
              <w:t>Lesion ID</w:t>
            </w:r>
          </w:p>
        </w:tc>
      </w:tr>
      <w:tr>
        <w:tc>
          <w:tcPr>
            <w:tcW w:type="dxa" w:w="1728"/>
            <w:vAlign w:val="center"/>
            <w:shd w:fill="EDF3F6"/>
          </w:tcPr>
          <w:p>
            <w:pPr>
              <w:spacing w:after="0"/>
            </w:pPr>
            <w:r>
              <w:rPr>
                <w:sz w:val="15"/>
              </w:rPr>
              <w:t>Blood cell anomaly</w:t>
            </w:r>
          </w:p>
        </w:tc>
        <w:tc>
          <w:tcPr>
            <w:tcW w:type="dxa" w:w="1008"/>
            <w:vAlign w:val="center"/>
            <w:shd w:fill="EDF3F6"/>
          </w:tcPr>
          <w:p>
            <w:pPr>
              <w:spacing w:after="0"/>
            </w:pPr>
            <w:r>
              <w:rPr>
                <w:sz w:val="15"/>
              </w:rPr>
              <w:t>5,880</w:t>
            </w:r>
          </w:p>
        </w:tc>
        <w:tc>
          <w:tcPr>
            <w:tcW w:type="dxa" w:w="3024"/>
            <w:vAlign w:val="center"/>
            <w:shd w:fill="EDF3F6"/>
          </w:tcPr>
          <w:p>
            <w:pPr>
              <w:spacing w:after="0"/>
            </w:pPr>
            <w:r>
              <w:rPr>
                <w:sz w:val="15"/>
              </w:rPr>
              <w:t>22 morphology, color, and blood-count values</w:t>
            </w:r>
          </w:p>
        </w:tc>
        <w:tc>
          <w:tcPr>
            <w:tcW w:type="dxa" w:w="1584"/>
            <w:vAlign w:val="center"/>
            <w:shd w:fill="EDF3F6"/>
          </w:tcPr>
          <w:p>
            <w:pPr>
              <w:spacing w:after="0"/>
            </w:pPr>
            <w:r>
              <w:rPr>
                <w:sz w:val="15"/>
              </w:rPr>
              <w:t>Anomaly: 1,880</w:t>
            </w:r>
          </w:p>
        </w:tc>
        <w:tc>
          <w:tcPr>
            <w:tcW w:type="dxa" w:w="1656"/>
            <w:vAlign w:val="center"/>
            <w:shd w:fill="EDF3F6"/>
          </w:tcPr>
          <w:p>
            <w:pPr>
              <w:spacing w:after="0"/>
            </w:pPr>
            <w:r>
              <w:rPr>
                <w:sz w:val="15"/>
              </w:rPr>
              <w:t>Row; patient ID absent</w:t>
            </w:r>
          </w:p>
        </w:tc>
      </w:tr>
    </w:tbl>
    <w:p/>
    <w:p>
      <w:r>
        <w:t>HAM10000 pixel rows were checked against diagnosis metadata, with exact agreement for all 10,015 labels. Lesions are separated between train and test. The 8 × 8 representation reduces compute but discards clinically important detail. The blood-cell table excludes cell type, disease category, anomaly score, classification confidence, and labeller confidence because these fields can directly reveal the target. Its origin and patient independence remain unverified.</w:t>
      </w:r>
    </w:p>
    <w:p>
      <w:pPr>
        <w:pStyle w:val="Heading1"/>
      </w:pPr>
      <w:r>
        <w:t>Preprocessing and evaluation</w:t>
      </w:r>
    </w:p>
    <w:p>
      <w:r>
        <w:t>For each of three seeds, the study draws 750 training records and 300 held-out records after a group split for HAM10000 or a stratified row split for the blood-cell table. Subsampling retains approximate class proportions. Standardization fits on the training data only. Each embedding fits on training data only. A balanced logistic regression is trained in two dimensions and evaluated at a fixed 0.5 probability threshold. This design avoids fitting an embedding on the test observations.</w:t>
      </w:r>
    </w:p>
    <w:p>
      <w:r>
        <w:t>PCA, kernel PCA, UMAP, and Isomap transform held-out records directly. PCoA uses a Gower distance extension. The SNE, t-SNE, and MDS implementations lack an inductive transform; a distance-weighted five-neighbor regression approximates test coordinates from the training embedding. This changes what is being evaluated, so rankings should be read as end-to-end pipeline rankings.</w:t>
      </w:r>
    </w:p>
    <w:tbl>
      <w:tblPr>
        <w:tblStyle w:val="TableGrid"/>
        <w:tblW w:type="auto" w:w="0"/>
        <w:jc w:val="center"/>
        <w:tblLayout w:type="fixed"/>
        <w:tblLook w:firstColumn="1" w:firstRow="1" w:lastColumn="0" w:lastRow="0" w:noHBand="0" w:noVBand="1" w:val="04A0"/>
      </w:tblPr>
      <w:tblGrid>
        <w:gridCol w:w="1872"/>
        <w:gridCol w:w="3240"/>
        <w:gridCol w:w="3240"/>
      </w:tblGrid>
      <w:tr>
        <w:tc>
          <w:tcPr>
            <w:tcW w:type="dxa" w:w="3331"/>
            <w:shd w:fill="153B50"/>
          </w:tcPr>
          <w:p>
            <w:r>
              <w:rPr>
                <w:b/>
                <w:color w:val="FFFFFF"/>
                <w:sz w:val="16"/>
              </w:rPr>
              <w:t>Method</w:t>
            </w:r>
          </w:p>
        </w:tc>
        <w:tc>
          <w:tcPr>
            <w:tcW w:type="dxa" w:w="3331"/>
            <w:shd w:fill="153B50"/>
          </w:tcPr>
          <w:p>
            <w:r>
              <w:rPr>
                <w:b/>
                <w:color w:val="FFFFFF"/>
                <w:sz w:val="16"/>
              </w:rPr>
              <w:t>Setting A</w:t>
            </w:r>
          </w:p>
        </w:tc>
        <w:tc>
          <w:tcPr>
            <w:tcW w:type="dxa" w:w="3331"/>
            <w:shd w:fill="153B50"/>
          </w:tcPr>
          <w:p>
            <w:r>
              <w:rPr>
                <w:b/>
                <w:color w:val="FFFFFF"/>
                <w:sz w:val="16"/>
              </w:rPr>
              <w:t>Setting B</w:t>
            </w:r>
          </w:p>
        </w:tc>
      </w:tr>
      <w:tr>
        <w:tc>
          <w:tcPr>
            <w:tcW w:type="dxa" w:w="1872"/>
            <w:vAlign w:val="center"/>
          </w:tcPr>
          <w:p>
            <w:pPr>
              <w:spacing w:after="0"/>
            </w:pPr>
            <w:r>
              <w:rPr>
                <w:sz w:val="15"/>
              </w:rPr>
              <w:t>PCA</w:t>
            </w:r>
          </w:p>
        </w:tc>
        <w:tc>
          <w:tcPr>
            <w:tcW w:type="dxa" w:w="3240"/>
            <w:vAlign w:val="center"/>
          </w:tcPr>
          <w:p>
            <w:pPr>
              <w:spacing w:after="0"/>
            </w:pPr>
            <w:r>
              <w:rPr>
                <w:sz w:val="15"/>
              </w:rPr>
              <w:t>No whitening</w:t>
            </w:r>
          </w:p>
        </w:tc>
        <w:tc>
          <w:tcPr>
            <w:tcW w:type="dxa" w:w="3240"/>
            <w:vAlign w:val="center"/>
          </w:tcPr>
          <w:p>
            <w:pPr>
              <w:spacing w:after="0"/>
            </w:pPr>
            <w:r>
              <w:rPr>
                <w:sz w:val="15"/>
              </w:rPr>
              <w:t>Whitening</w:t>
            </w:r>
          </w:p>
        </w:tc>
      </w:tr>
      <w:tr>
        <w:tc>
          <w:tcPr>
            <w:tcW w:type="dxa" w:w="1872"/>
            <w:vAlign w:val="center"/>
            <w:shd w:fill="EDF3F6"/>
          </w:tcPr>
          <w:p>
            <w:pPr>
              <w:spacing w:after="0"/>
            </w:pPr>
            <w:r>
              <w:rPr>
                <w:sz w:val="15"/>
              </w:rPr>
              <w:t>Kernel PCA</w:t>
            </w:r>
          </w:p>
        </w:tc>
        <w:tc>
          <w:tcPr>
            <w:tcW w:type="dxa" w:w="3240"/>
            <w:vAlign w:val="center"/>
            <w:shd w:fill="EDF3F6"/>
          </w:tcPr>
          <w:p>
            <w:pPr>
              <w:spacing w:after="0"/>
            </w:pPr>
            <w:r>
              <w:rPr>
                <w:sz w:val="15"/>
              </w:rPr>
              <w:t>RBF gamma = 0.5 / p</w:t>
            </w:r>
          </w:p>
        </w:tc>
        <w:tc>
          <w:tcPr>
            <w:tcW w:type="dxa" w:w="3240"/>
            <w:vAlign w:val="center"/>
            <w:shd w:fill="EDF3F6"/>
          </w:tcPr>
          <w:p>
            <w:pPr>
              <w:spacing w:after="0"/>
            </w:pPr>
            <w:r>
              <w:rPr>
                <w:sz w:val="15"/>
              </w:rPr>
              <w:t>RBF gamma = 2 / p</w:t>
            </w:r>
          </w:p>
        </w:tc>
      </w:tr>
      <w:tr>
        <w:tc>
          <w:tcPr>
            <w:tcW w:type="dxa" w:w="1872"/>
            <w:vAlign w:val="center"/>
          </w:tcPr>
          <w:p>
            <w:pPr>
              <w:spacing w:after="0"/>
            </w:pPr>
            <w:r>
              <w:rPr>
                <w:sz w:val="15"/>
              </w:rPr>
              <w:t>SNE</w:t>
            </w:r>
          </w:p>
        </w:tc>
        <w:tc>
          <w:tcPr>
            <w:tcW w:type="dxa" w:w="3240"/>
            <w:vAlign w:val="center"/>
          </w:tcPr>
          <w:p>
            <w:pPr>
              <w:spacing w:after="0"/>
            </w:pPr>
            <w:r>
              <w:rPr>
                <w:sz w:val="15"/>
              </w:rPr>
              <w:t>Perplexity 15</w:t>
            </w:r>
          </w:p>
        </w:tc>
        <w:tc>
          <w:tcPr>
            <w:tcW w:type="dxa" w:w="3240"/>
            <w:vAlign w:val="center"/>
          </w:tcPr>
          <w:p>
            <w:pPr>
              <w:spacing w:after="0"/>
            </w:pPr>
            <w:r>
              <w:rPr>
                <w:sz w:val="15"/>
              </w:rPr>
              <w:t>Perplexity 30</w:t>
            </w:r>
          </w:p>
        </w:tc>
      </w:tr>
      <w:tr>
        <w:tc>
          <w:tcPr>
            <w:tcW w:type="dxa" w:w="1872"/>
            <w:vAlign w:val="center"/>
            <w:shd w:fill="EDF3F6"/>
          </w:tcPr>
          <w:p>
            <w:pPr>
              <w:spacing w:after="0"/>
            </w:pPr>
            <w:r>
              <w:rPr>
                <w:sz w:val="15"/>
              </w:rPr>
              <w:t>t-SNE</w:t>
            </w:r>
          </w:p>
        </w:tc>
        <w:tc>
          <w:tcPr>
            <w:tcW w:type="dxa" w:w="3240"/>
            <w:vAlign w:val="center"/>
            <w:shd w:fill="EDF3F6"/>
          </w:tcPr>
          <w:p>
            <w:pPr>
              <w:spacing w:after="0"/>
            </w:pPr>
            <w:r>
              <w:rPr>
                <w:sz w:val="15"/>
              </w:rPr>
              <w:t>Perplexity 15</w:t>
            </w:r>
          </w:p>
        </w:tc>
        <w:tc>
          <w:tcPr>
            <w:tcW w:type="dxa" w:w="3240"/>
            <w:vAlign w:val="center"/>
            <w:shd w:fill="EDF3F6"/>
          </w:tcPr>
          <w:p>
            <w:pPr>
              <w:spacing w:after="0"/>
            </w:pPr>
            <w:r>
              <w:rPr>
                <w:sz w:val="15"/>
              </w:rPr>
              <w:t>Perplexity 30</w:t>
            </w:r>
          </w:p>
        </w:tc>
      </w:tr>
      <w:tr>
        <w:tc>
          <w:tcPr>
            <w:tcW w:type="dxa" w:w="1872"/>
            <w:vAlign w:val="center"/>
          </w:tcPr>
          <w:p>
            <w:pPr>
              <w:spacing w:after="0"/>
            </w:pPr>
            <w:r>
              <w:rPr>
                <w:sz w:val="15"/>
              </w:rPr>
              <w:t>PCA + t-SNE</w:t>
            </w:r>
          </w:p>
        </w:tc>
        <w:tc>
          <w:tcPr>
            <w:tcW w:type="dxa" w:w="3240"/>
            <w:vAlign w:val="center"/>
          </w:tcPr>
          <w:p>
            <w:pPr>
              <w:spacing w:after="0"/>
            </w:pPr>
            <w:r>
              <w:rPr>
                <w:sz w:val="15"/>
              </w:rPr>
              <w:t>PCA to ≤30 then perplexity 15</w:t>
            </w:r>
          </w:p>
        </w:tc>
        <w:tc>
          <w:tcPr>
            <w:tcW w:type="dxa" w:w="3240"/>
            <w:vAlign w:val="center"/>
          </w:tcPr>
          <w:p>
            <w:pPr>
              <w:spacing w:after="0"/>
            </w:pPr>
            <w:r>
              <w:rPr>
                <w:sz w:val="15"/>
              </w:rPr>
              <w:t>PCA to ≤30 then perplexity 30</w:t>
            </w:r>
          </w:p>
        </w:tc>
      </w:tr>
      <w:tr>
        <w:tc>
          <w:tcPr>
            <w:tcW w:type="dxa" w:w="1872"/>
            <w:vAlign w:val="center"/>
            <w:shd w:fill="EDF3F6"/>
          </w:tcPr>
          <w:p>
            <w:pPr>
              <w:spacing w:after="0"/>
            </w:pPr>
            <w:r>
              <w:rPr>
                <w:sz w:val="15"/>
              </w:rPr>
              <w:t>UMAP</w:t>
            </w:r>
          </w:p>
        </w:tc>
        <w:tc>
          <w:tcPr>
            <w:tcW w:type="dxa" w:w="3240"/>
            <w:vAlign w:val="center"/>
            <w:shd w:fill="EDF3F6"/>
          </w:tcPr>
          <w:p>
            <w:pPr>
              <w:spacing w:after="0"/>
            </w:pPr>
            <w:r>
              <w:rPr>
                <w:sz w:val="15"/>
              </w:rPr>
              <w:t>15 neighbors</w:t>
            </w:r>
          </w:p>
        </w:tc>
        <w:tc>
          <w:tcPr>
            <w:tcW w:type="dxa" w:w="3240"/>
            <w:vAlign w:val="center"/>
            <w:shd w:fill="EDF3F6"/>
          </w:tcPr>
          <w:p>
            <w:pPr>
              <w:spacing w:after="0"/>
            </w:pPr>
            <w:r>
              <w:rPr>
                <w:sz w:val="15"/>
              </w:rPr>
              <w:t>30 neighbors</w:t>
            </w:r>
          </w:p>
        </w:tc>
      </w:tr>
      <w:tr>
        <w:tc>
          <w:tcPr>
            <w:tcW w:type="dxa" w:w="1872"/>
            <w:vAlign w:val="center"/>
          </w:tcPr>
          <w:p>
            <w:pPr>
              <w:spacing w:after="0"/>
            </w:pPr>
            <w:r>
              <w:rPr>
                <w:sz w:val="15"/>
              </w:rPr>
              <w:t>Metric MDS</w:t>
            </w:r>
          </w:p>
        </w:tc>
        <w:tc>
          <w:tcPr>
            <w:tcW w:type="dxa" w:w="3240"/>
            <w:vAlign w:val="center"/>
          </w:tcPr>
          <w:p>
            <w:pPr>
              <w:spacing w:after="0"/>
            </w:pPr>
            <w:r>
              <w:rPr>
                <w:sz w:val="15"/>
              </w:rPr>
              <w:t>80 iterations</w:t>
            </w:r>
          </w:p>
        </w:tc>
        <w:tc>
          <w:tcPr>
            <w:tcW w:type="dxa" w:w="3240"/>
            <w:vAlign w:val="center"/>
          </w:tcPr>
          <w:p>
            <w:pPr>
              <w:spacing w:after="0"/>
            </w:pPr>
            <w:r>
              <w:rPr>
                <w:sz w:val="15"/>
              </w:rPr>
              <w:t>150 iterations</w:t>
            </w:r>
          </w:p>
        </w:tc>
      </w:tr>
      <w:tr>
        <w:tc>
          <w:tcPr>
            <w:tcW w:type="dxa" w:w="1872"/>
            <w:vAlign w:val="center"/>
            <w:shd w:fill="EDF3F6"/>
          </w:tcPr>
          <w:p>
            <w:pPr>
              <w:spacing w:after="0"/>
            </w:pPr>
            <w:r>
              <w:rPr>
                <w:sz w:val="15"/>
              </w:rPr>
              <w:t>PCoA</w:t>
            </w:r>
          </w:p>
        </w:tc>
        <w:tc>
          <w:tcPr>
            <w:tcW w:type="dxa" w:w="3240"/>
            <w:vAlign w:val="center"/>
            <w:shd w:fill="EDF3F6"/>
          </w:tcPr>
          <w:p>
            <w:pPr>
              <w:spacing w:after="0"/>
            </w:pPr>
            <w:r>
              <w:rPr>
                <w:sz w:val="15"/>
              </w:rPr>
              <w:t>Cosine distance</w:t>
            </w:r>
          </w:p>
        </w:tc>
        <w:tc>
          <w:tcPr>
            <w:tcW w:type="dxa" w:w="3240"/>
            <w:vAlign w:val="center"/>
            <w:shd w:fill="EDF3F6"/>
          </w:tcPr>
          <w:p>
            <w:pPr>
              <w:spacing w:after="0"/>
            </w:pPr>
            <w:r>
              <w:rPr>
                <w:sz w:val="15"/>
              </w:rPr>
              <w:t>Manhattan distance</w:t>
            </w:r>
          </w:p>
        </w:tc>
      </w:tr>
      <w:tr>
        <w:tc>
          <w:tcPr>
            <w:tcW w:type="dxa" w:w="1872"/>
            <w:vAlign w:val="center"/>
          </w:tcPr>
          <w:p>
            <w:pPr>
              <w:spacing w:after="0"/>
            </w:pPr>
            <w:r>
              <w:rPr>
                <w:sz w:val="15"/>
              </w:rPr>
              <w:t>Isomap</w:t>
            </w:r>
          </w:p>
        </w:tc>
        <w:tc>
          <w:tcPr>
            <w:tcW w:type="dxa" w:w="3240"/>
            <w:vAlign w:val="center"/>
          </w:tcPr>
          <w:p>
            <w:pPr>
              <w:spacing w:after="0"/>
            </w:pPr>
            <w:r>
              <w:rPr>
                <w:sz w:val="15"/>
              </w:rPr>
              <w:t>10 neighbors</w:t>
            </w:r>
          </w:p>
        </w:tc>
        <w:tc>
          <w:tcPr>
            <w:tcW w:type="dxa" w:w="3240"/>
            <w:vAlign w:val="center"/>
          </w:tcPr>
          <w:p>
            <w:pPr>
              <w:spacing w:after="0"/>
            </w:pPr>
            <w:r>
              <w:rPr>
                <w:sz w:val="15"/>
              </w:rPr>
              <w:t>25 neighbors</w:t>
            </w:r>
          </w:p>
        </w:tc>
      </w:tr>
    </w:tbl>
    <w:p/>
    <w:p>
      <w:pPr>
        <w:pStyle w:val="Heading1"/>
      </w:pPr>
      <w:r>
        <w:t>Metric definitions</w:t>
      </w:r>
    </w:p>
    <w:p>
      <w:r>
        <w:t>From true positives TP, true negatives TN, false positives FP, and false negatives FN: accuracy = (TP+TN)/N; error = 1−accuracy; sensitivity or recall = TP/(TP+FN); specificity = TN/(TN+FP); precision = TP/(TP+FP); F1 = 2·precision·recall/(precision+recall). ROC AUC integrates sensitivity against false-positive rate across thresholds. Kappa is chance-corrected agreement. Informedness = sensitivity+specificity−1. Markedness = precision+negative predictive value−1. Log loss evaluates probability calibration and discrimination together.</w:t>
      </w:r>
    </w:p>
    <w:p>
      <w:r>
        <w:t>PCoA is defined by its distance matrix. Here cosine distance is primary and Manhattan distance is the sensitivity setting; Euclidean PCoA would largely duplicate PCA. MDS and Isomap use Euclidean input distances. Isomap's neighbor count controls its graph connectivity.</w:t>
      </w:r>
    </w:p>
    <w:p>
      <w:pPr>
        <w:pStyle w:val="Heading1"/>
      </w:pPr>
      <w:r>
        <w:t>Results and discussion</w:t>
      </w:r>
    </w:p>
    <w:p>
      <w:pPr>
        <w:pStyle w:val="Heading2"/>
      </w:pPr>
      <w:r>
        <w:t>HAM10000 measured performance</w:t>
      </w:r>
    </w:p>
    <w:tbl>
      <w:tblPr>
        <w:tblStyle w:val="TableGrid"/>
        <w:tblW w:type="auto" w:w="0"/>
        <w:jc w:val="center"/>
        <w:tblLayout w:type="fixed"/>
        <w:tblLook w:firstColumn="1" w:firstRow="1" w:lastColumn="0" w:lastRow="0" w:noHBand="0" w:noVBand="1" w:val="04A0"/>
      </w:tblPr>
      <w:tblGrid>
        <w:gridCol w:w="1800"/>
        <w:gridCol w:w="1080"/>
        <w:gridCol w:w="1512"/>
        <w:gridCol w:w="1224"/>
        <w:gridCol w:w="1224"/>
        <w:gridCol w:w="792"/>
        <w:gridCol w:w="1080"/>
      </w:tblGrid>
      <w:tr>
        <w:tc>
          <w:tcPr>
            <w:tcW w:type="dxa" w:w="1428"/>
            <w:shd w:fill="153B50"/>
          </w:tcPr>
          <w:p>
            <w:r>
              <w:rPr>
                <w:b/>
                <w:color w:val="FFFFFF"/>
                <w:sz w:val="16"/>
              </w:rPr>
              <w:t>Method</w:t>
            </w:r>
          </w:p>
        </w:tc>
        <w:tc>
          <w:tcPr>
            <w:tcW w:type="dxa" w:w="1428"/>
            <w:shd w:fill="153B50"/>
          </w:tcPr>
          <w:p>
            <w:r>
              <w:rPr>
                <w:b/>
                <w:color w:val="FFFFFF"/>
                <w:sz w:val="16"/>
              </w:rPr>
              <w:t>Accuracy</w:t>
            </w:r>
          </w:p>
        </w:tc>
        <w:tc>
          <w:tcPr>
            <w:tcW w:type="dxa" w:w="1428"/>
            <w:shd w:fill="153B50"/>
          </w:tcPr>
          <w:p>
            <w:r>
              <w:rPr>
                <w:b/>
                <w:color w:val="FFFFFF"/>
                <w:sz w:val="16"/>
              </w:rPr>
              <w:t>Sensitivity / recall</w:t>
            </w:r>
          </w:p>
        </w:tc>
        <w:tc>
          <w:tcPr>
            <w:tcW w:type="dxa" w:w="1428"/>
            <w:shd w:fill="153B50"/>
          </w:tcPr>
          <w:p>
            <w:r>
              <w:rPr>
                <w:b/>
                <w:color w:val="FFFFFF"/>
                <w:sz w:val="16"/>
              </w:rPr>
              <w:t>Specificity</w:t>
            </w:r>
          </w:p>
        </w:tc>
        <w:tc>
          <w:tcPr>
            <w:tcW w:type="dxa" w:w="1428"/>
            <w:shd w:fill="153B50"/>
          </w:tcPr>
          <w:p>
            <w:r>
              <w:rPr>
                <w:b/>
                <w:color w:val="FFFFFF"/>
                <w:sz w:val="16"/>
              </w:rPr>
              <w:t>Precision</w:t>
            </w:r>
          </w:p>
        </w:tc>
        <w:tc>
          <w:tcPr>
            <w:tcW w:type="dxa" w:w="1428"/>
            <w:shd w:fill="153B50"/>
          </w:tcPr>
          <w:p>
            <w:r>
              <w:rPr>
                <w:b/>
                <w:color w:val="FFFFFF"/>
                <w:sz w:val="16"/>
              </w:rPr>
              <w:t>F1</w:t>
            </w:r>
          </w:p>
        </w:tc>
        <w:tc>
          <w:tcPr>
            <w:tcW w:type="dxa" w:w="1428"/>
            <w:shd w:fill="153B50"/>
          </w:tcPr>
          <w:p>
            <w:r>
              <w:rPr>
                <w:b/>
                <w:color w:val="FFFFFF"/>
                <w:sz w:val="16"/>
              </w:rPr>
              <w:t>ROC AUC</w:t>
            </w:r>
          </w:p>
        </w:tc>
      </w:tr>
      <w:tr>
        <w:tc>
          <w:tcPr>
            <w:tcW w:type="dxa" w:w="1800"/>
            <w:vAlign w:val="center"/>
          </w:tcPr>
          <w:p>
            <w:pPr>
              <w:spacing w:after="0"/>
            </w:pPr>
            <w:r>
              <w:rPr>
                <w:sz w:val="15"/>
              </w:rPr>
              <w:t>PCA</w:t>
            </w:r>
          </w:p>
        </w:tc>
        <w:tc>
          <w:tcPr>
            <w:tcW w:type="dxa" w:w="1080"/>
            <w:vAlign w:val="center"/>
          </w:tcPr>
          <w:p>
            <w:pPr>
              <w:spacing w:after="0"/>
            </w:pPr>
            <w:r>
              <w:rPr>
                <w:sz w:val="15"/>
              </w:rPr>
              <w:t>0.609</w:t>
            </w:r>
          </w:p>
        </w:tc>
        <w:tc>
          <w:tcPr>
            <w:tcW w:type="dxa" w:w="1512"/>
            <w:vAlign w:val="center"/>
          </w:tcPr>
          <w:p>
            <w:pPr>
              <w:spacing w:after="0"/>
            </w:pPr>
            <w:r>
              <w:rPr>
                <w:sz w:val="15"/>
              </w:rPr>
              <w:t>0.583</w:t>
            </w:r>
          </w:p>
        </w:tc>
        <w:tc>
          <w:tcPr>
            <w:tcW w:type="dxa" w:w="1224"/>
            <w:vAlign w:val="center"/>
          </w:tcPr>
          <w:p>
            <w:pPr>
              <w:spacing w:after="0"/>
            </w:pPr>
            <w:r>
              <w:rPr>
                <w:sz w:val="15"/>
              </w:rPr>
              <w:t>0.611</w:t>
            </w:r>
          </w:p>
        </w:tc>
        <w:tc>
          <w:tcPr>
            <w:tcW w:type="dxa" w:w="1224"/>
            <w:vAlign w:val="center"/>
          </w:tcPr>
          <w:p>
            <w:pPr>
              <w:spacing w:after="0"/>
            </w:pPr>
            <w:r>
              <w:rPr>
                <w:sz w:val="15"/>
              </w:rPr>
              <w:t>0.144</w:t>
            </w:r>
          </w:p>
        </w:tc>
        <w:tc>
          <w:tcPr>
            <w:tcW w:type="dxa" w:w="792"/>
            <w:vAlign w:val="center"/>
          </w:tcPr>
          <w:p>
            <w:pPr>
              <w:spacing w:after="0"/>
            </w:pPr>
            <w:r>
              <w:rPr>
                <w:sz w:val="15"/>
              </w:rPr>
              <w:t>0.231</w:t>
            </w:r>
          </w:p>
        </w:tc>
        <w:tc>
          <w:tcPr>
            <w:tcW w:type="dxa" w:w="1080"/>
            <w:vAlign w:val="center"/>
          </w:tcPr>
          <w:p>
            <w:pPr>
              <w:spacing w:after="0"/>
            </w:pPr>
            <w:r>
              <w:rPr>
                <w:sz w:val="15"/>
              </w:rPr>
              <w:t>0.602</w:t>
            </w:r>
          </w:p>
        </w:tc>
      </w:tr>
      <w:tr>
        <w:tc>
          <w:tcPr>
            <w:tcW w:type="dxa" w:w="1800"/>
            <w:vAlign w:val="center"/>
            <w:shd w:fill="EDF3F6"/>
          </w:tcPr>
          <w:p>
            <w:pPr>
              <w:spacing w:after="0"/>
            </w:pPr>
            <w:r>
              <w:rPr>
                <w:sz w:val="15"/>
              </w:rPr>
              <w:t>Kernel PCA</w:t>
            </w:r>
          </w:p>
        </w:tc>
        <w:tc>
          <w:tcPr>
            <w:tcW w:type="dxa" w:w="1080"/>
            <w:vAlign w:val="center"/>
            <w:shd w:fill="EDF3F6"/>
          </w:tcPr>
          <w:p>
            <w:pPr>
              <w:spacing w:after="0"/>
            </w:pPr>
            <w:r>
              <w:rPr>
                <w:sz w:val="15"/>
              </w:rPr>
              <w:t>0.603</w:t>
            </w:r>
          </w:p>
        </w:tc>
        <w:tc>
          <w:tcPr>
            <w:tcW w:type="dxa" w:w="1512"/>
            <w:vAlign w:val="center"/>
            <w:shd w:fill="EDF3F6"/>
          </w:tcPr>
          <w:p>
            <w:pPr>
              <w:spacing w:after="0"/>
            </w:pPr>
            <w:r>
              <w:rPr>
                <w:sz w:val="15"/>
              </w:rPr>
              <w:t>0.535</w:t>
            </w:r>
          </w:p>
        </w:tc>
        <w:tc>
          <w:tcPr>
            <w:tcW w:type="dxa" w:w="1224"/>
            <w:vAlign w:val="center"/>
            <w:shd w:fill="EDF3F6"/>
          </w:tcPr>
          <w:p>
            <w:pPr>
              <w:spacing w:after="0"/>
            </w:pPr>
            <w:r>
              <w:rPr>
                <w:sz w:val="15"/>
              </w:rPr>
              <w:t>0.610</w:t>
            </w:r>
          </w:p>
        </w:tc>
        <w:tc>
          <w:tcPr>
            <w:tcW w:type="dxa" w:w="1224"/>
            <w:vAlign w:val="center"/>
            <w:shd w:fill="EDF3F6"/>
          </w:tcPr>
          <w:p>
            <w:pPr>
              <w:spacing w:after="0"/>
            </w:pPr>
            <w:r>
              <w:rPr>
                <w:sz w:val="15"/>
              </w:rPr>
              <w:t>0.133</w:t>
            </w:r>
          </w:p>
        </w:tc>
        <w:tc>
          <w:tcPr>
            <w:tcW w:type="dxa" w:w="792"/>
            <w:vAlign w:val="center"/>
            <w:shd w:fill="EDF3F6"/>
          </w:tcPr>
          <w:p>
            <w:pPr>
              <w:spacing w:after="0"/>
            </w:pPr>
            <w:r>
              <w:rPr>
                <w:sz w:val="15"/>
              </w:rPr>
              <w:t>0.212</w:t>
            </w:r>
          </w:p>
        </w:tc>
        <w:tc>
          <w:tcPr>
            <w:tcW w:type="dxa" w:w="1080"/>
            <w:vAlign w:val="center"/>
            <w:shd w:fill="EDF3F6"/>
          </w:tcPr>
          <w:p>
            <w:pPr>
              <w:spacing w:after="0"/>
            </w:pPr>
            <w:r>
              <w:rPr>
                <w:sz w:val="15"/>
              </w:rPr>
              <w:t>0.638</w:t>
            </w:r>
          </w:p>
        </w:tc>
      </w:tr>
      <w:tr>
        <w:tc>
          <w:tcPr>
            <w:tcW w:type="dxa" w:w="1800"/>
            <w:vAlign w:val="center"/>
          </w:tcPr>
          <w:p>
            <w:pPr>
              <w:spacing w:after="0"/>
            </w:pPr>
            <w:r>
              <w:rPr>
                <w:sz w:val="15"/>
              </w:rPr>
              <w:t>SNE</w:t>
            </w:r>
          </w:p>
        </w:tc>
        <w:tc>
          <w:tcPr>
            <w:tcW w:type="dxa" w:w="1080"/>
            <w:vAlign w:val="center"/>
          </w:tcPr>
          <w:p>
            <w:pPr>
              <w:spacing w:after="0"/>
            </w:pPr>
            <w:r>
              <w:rPr>
                <w:sz w:val="15"/>
              </w:rPr>
              <w:t>0.593</w:t>
            </w:r>
          </w:p>
        </w:tc>
        <w:tc>
          <w:tcPr>
            <w:tcW w:type="dxa" w:w="1512"/>
            <w:vAlign w:val="center"/>
          </w:tcPr>
          <w:p>
            <w:pPr>
              <w:spacing w:after="0"/>
            </w:pPr>
            <w:r>
              <w:rPr>
                <w:sz w:val="15"/>
              </w:rPr>
              <w:t>0.505</w:t>
            </w:r>
          </w:p>
        </w:tc>
        <w:tc>
          <w:tcPr>
            <w:tcW w:type="dxa" w:w="1224"/>
            <w:vAlign w:val="center"/>
          </w:tcPr>
          <w:p>
            <w:pPr>
              <w:spacing w:after="0"/>
            </w:pPr>
            <w:r>
              <w:rPr>
                <w:sz w:val="15"/>
              </w:rPr>
              <w:t>0.602</w:t>
            </w:r>
          </w:p>
        </w:tc>
        <w:tc>
          <w:tcPr>
            <w:tcW w:type="dxa" w:w="1224"/>
            <w:vAlign w:val="center"/>
          </w:tcPr>
          <w:p>
            <w:pPr>
              <w:spacing w:after="0"/>
            </w:pPr>
            <w:r>
              <w:rPr>
                <w:sz w:val="15"/>
              </w:rPr>
              <w:t>0.124</w:t>
            </w:r>
          </w:p>
        </w:tc>
        <w:tc>
          <w:tcPr>
            <w:tcW w:type="dxa" w:w="792"/>
            <w:vAlign w:val="center"/>
          </w:tcPr>
          <w:p>
            <w:pPr>
              <w:spacing w:after="0"/>
            </w:pPr>
            <w:r>
              <w:rPr>
                <w:sz w:val="15"/>
              </w:rPr>
              <w:t>0.199</w:t>
            </w:r>
          </w:p>
        </w:tc>
        <w:tc>
          <w:tcPr>
            <w:tcW w:type="dxa" w:w="1080"/>
            <w:vAlign w:val="center"/>
          </w:tcPr>
          <w:p>
            <w:pPr>
              <w:spacing w:after="0"/>
            </w:pPr>
            <w:r>
              <w:rPr>
                <w:sz w:val="15"/>
              </w:rPr>
              <w:t>0.616</w:t>
            </w:r>
          </w:p>
        </w:tc>
      </w:tr>
      <w:tr>
        <w:tc>
          <w:tcPr>
            <w:tcW w:type="dxa" w:w="1800"/>
            <w:vAlign w:val="center"/>
            <w:shd w:fill="EDF3F6"/>
          </w:tcPr>
          <w:p>
            <w:pPr>
              <w:spacing w:after="0"/>
            </w:pPr>
            <w:r>
              <w:rPr>
                <w:sz w:val="15"/>
              </w:rPr>
              <w:t>t-SNE</w:t>
            </w:r>
          </w:p>
        </w:tc>
        <w:tc>
          <w:tcPr>
            <w:tcW w:type="dxa" w:w="1080"/>
            <w:vAlign w:val="center"/>
            <w:shd w:fill="EDF3F6"/>
          </w:tcPr>
          <w:p>
            <w:pPr>
              <w:spacing w:after="0"/>
            </w:pPr>
            <w:r>
              <w:rPr>
                <w:sz w:val="15"/>
              </w:rPr>
              <w:t>0.600</w:t>
            </w:r>
          </w:p>
        </w:tc>
        <w:tc>
          <w:tcPr>
            <w:tcW w:type="dxa" w:w="1512"/>
            <w:vAlign w:val="center"/>
            <w:shd w:fill="EDF3F6"/>
          </w:tcPr>
          <w:p>
            <w:pPr>
              <w:spacing w:after="0"/>
            </w:pPr>
            <w:r>
              <w:rPr>
                <w:sz w:val="15"/>
              </w:rPr>
              <w:t>0.515</w:t>
            </w:r>
          </w:p>
        </w:tc>
        <w:tc>
          <w:tcPr>
            <w:tcW w:type="dxa" w:w="1224"/>
            <w:vAlign w:val="center"/>
            <w:shd w:fill="EDF3F6"/>
          </w:tcPr>
          <w:p>
            <w:pPr>
              <w:spacing w:after="0"/>
            </w:pPr>
            <w:r>
              <w:rPr>
                <w:sz w:val="15"/>
              </w:rPr>
              <w:t>0.608</w:t>
            </w:r>
          </w:p>
        </w:tc>
        <w:tc>
          <w:tcPr>
            <w:tcW w:type="dxa" w:w="1224"/>
            <w:vAlign w:val="center"/>
            <w:shd w:fill="EDF3F6"/>
          </w:tcPr>
          <w:p>
            <w:pPr>
              <w:spacing w:after="0"/>
            </w:pPr>
            <w:r>
              <w:rPr>
                <w:sz w:val="15"/>
              </w:rPr>
              <w:t>0.128</w:t>
            </w:r>
          </w:p>
        </w:tc>
        <w:tc>
          <w:tcPr>
            <w:tcW w:type="dxa" w:w="792"/>
            <w:vAlign w:val="center"/>
            <w:shd w:fill="EDF3F6"/>
          </w:tcPr>
          <w:p>
            <w:pPr>
              <w:spacing w:after="0"/>
            </w:pPr>
            <w:r>
              <w:rPr>
                <w:sz w:val="15"/>
              </w:rPr>
              <w:t>0.205</w:t>
            </w:r>
          </w:p>
        </w:tc>
        <w:tc>
          <w:tcPr>
            <w:tcW w:type="dxa" w:w="1080"/>
            <w:vAlign w:val="center"/>
            <w:shd w:fill="EDF3F6"/>
          </w:tcPr>
          <w:p>
            <w:pPr>
              <w:spacing w:after="0"/>
            </w:pPr>
            <w:r>
              <w:rPr>
                <w:sz w:val="15"/>
              </w:rPr>
              <w:t>0.638</w:t>
            </w:r>
          </w:p>
        </w:tc>
      </w:tr>
      <w:tr>
        <w:tc>
          <w:tcPr>
            <w:tcW w:type="dxa" w:w="1800"/>
            <w:vAlign w:val="center"/>
          </w:tcPr>
          <w:p>
            <w:pPr>
              <w:spacing w:after="0"/>
            </w:pPr>
            <w:r>
              <w:rPr>
                <w:sz w:val="15"/>
              </w:rPr>
              <w:t>PCA + t-SNE</w:t>
            </w:r>
          </w:p>
        </w:tc>
        <w:tc>
          <w:tcPr>
            <w:tcW w:type="dxa" w:w="1080"/>
            <w:vAlign w:val="center"/>
          </w:tcPr>
          <w:p>
            <w:pPr>
              <w:spacing w:after="0"/>
            </w:pPr>
            <w:r>
              <w:rPr>
                <w:sz w:val="15"/>
              </w:rPr>
              <w:t>0.591</w:t>
            </w:r>
          </w:p>
        </w:tc>
        <w:tc>
          <w:tcPr>
            <w:tcW w:type="dxa" w:w="1512"/>
            <w:vAlign w:val="center"/>
          </w:tcPr>
          <w:p>
            <w:pPr>
              <w:spacing w:after="0"/>
            </w:pPr>
            <w:r>
              <w:rPr>
                <w:sz w:val="15"/>
              </w:rPr>
              <w:t>0.492</w:t>
            </w:r>
          </w:p>
        </w:tc>
        <w:tc>
          <w:tcPr>
            <w:tcW w:type="dxa" w:w="1224"/>
            <w:vAlign w:val="center"/>
          </w:tcPr>
          <w:p>
            <w:pPr>
              <w:spacing w:after="0"/>
            </w:pPr>
            <w:r>
              <w:rPr>
                <w:sz w:val="15"/>
              </w:rPr>
              <w:t>0.601</w:t>
            </w:r>
          </w:p>
        </w:tc>
        <w:tc>
          <w:tcPr>
            <w:tcW w:type="dxa" w:w="1224"/>
            <w:vAlign w:val="center"/>
          </w:tcPr>
          <w:p>
            <w:pPr>
              <w:spacing w:after="0"/>
            </w:pPr>
            <w:r>
              <w:rPr>
                <w:sz w:val="15"/>
              </w:rPr>
              <w:t>0.121</w:t>
            </w:r>
          </w:p>
        </w:tc>
        <w:tc>
          <w:tcPr>
            <w:tcW w:type="dxa" w:w="792"/>
            <w:vAlign w:val="center"/>
          </w:tcPr>
          <w:p>
            <w:pPr>
              <w:spacing w:after="0"/>
            </w:pPr>
            <w:r>
              <w:rPr>
                <w:sz w:val="15"/>
              </w:rPr>
              <w:t>0.194</w:t>
            </w:r>
          </w:p>
        </w:tc>
        <w:tc>
          <w:tcPr>
            <w:tcW w:type="dxa" w:w="1080"/>
            <w:vAlign w:val="center"/>
          </w:tcPr>
          <w:p>
            <w:pPr>
              <w:spacing w:after="0"/>
            </w:pPr>
            <w:r>
              <w:rPr>
                <w:sz w:val="15"/>
              </w:rPr>
              <w:t>0.632</w:t>
            </w:r>
          </w:p>
        </w:tc>
      </w:tr>
      <w:tr>
        <w:tc>
          <w:tcPr>
            <w:tcW w:type="dxa" w:w="1800"/>
            <w:vAlign w:val="center"/>
            <w:shd w:fill="EDF3F6"/>
          </w:tcPr>
          <w:p>
            <w:pPr>
              <w:spacing w:after="0"/>
            </w:pPr>
            <w:r>
              <w:rPr>
                <w:sz w:val="15"/>
              </w:rPr>
              <w:t>UMAP</w:t>
            </w:r>
          </w:p>
        </w:tc>
        <w:tc>
          <w:tcPr>
            <w:tcW w:type="dxa" w:w="1080"/>
            <w:vAlign w:val="center"/>
            <w:shd w:fill="EDF3F6"/>
          </w:tcPr>
          <w:p>
            <w:pPr>
              <w:spacing w:after="0"/>
            </w:pPr>
            <w:r>
              <w:rPr>
                <w:sz w:val="15"/>
              </w:rPr>
              <w:t>0.609</w:t>
            </w:r>
          </w:p>
        </w:tc>
        <w:tc>
          <w:tcPr>
            <w:tcW w:type="dxa" w:w="1512"/>
            <w:vAlign w:val="center"/>
            <w:shd w:fill="EDF3F6"/>
          </w:tcPr>
          <w:p>
            <w:pPr>
              <w:spacing w:after="0"/>
            </w:pPr>
            <w:r>
              <w:rPr>
                <w:sz w:val="15"/>
              </w:rPr>
              <w:t>0.588</w:t>
            </w:r>
          </w:p>
        </w:tc>
        <w:tc>
          <w:tcPr>
            <w:tcW w:type="dxa" w:w="1224"/>
            <w:vAlign w:val="center"/>
            <w:shd w:fill="EDF3F6"/>
          </w:tcPr>
          <w:p>
            <w:pPr>
              <w:spacing w:after="0"/>
            </w:pPr>
            <w:r>
              <w:rPr>
                <w:sz w:val="15"/>
              </w:rPr>
              <w:t>0.610</w:t>
            </w:r>
          </w:p>
        </w:tc>
        <w:tc>
          <w:tcPr>
            <w:tcW w:type="dxa" w:w="1224"/>
            <w:vAlign w:val="center"/>
            <w:shd w:fill="EDF3F6"/>
          </w:tcPr>
          <w:p>
            <w:pPr>
              <w:spacing w:after="0"/>
            </w:pPr>
            <w:r>
              <w:rPr>
                <w:sz w:val="15"/>
              </w:rPr>
              <w:t>0.143</w:t>
            </w:r>
          </w:p>
        </w:tc>
        <w:tc>
          <w:tcPr>
            <w:tcW w:type="dxa" w:w="792"/>
            <w:vAlign w:val="center"/>
            <w:shd w:fill="EDF3F6"/>
          </w:tcPr>
          <w:p>
            <w:pPr>
              <w:spacing w:after="0"/>
            </w:pPr>
            <w:r>
              <w:rPr>
                <w:sz w:val="15"/>
              </w:rPr>
              <w:t>0.230</w:t>
            </w:r>
          </w:p>
        </w:tc>
        <w:tc>
          <w:tcPr>
            <w:tcW w:type="dxa" w:w="1080"/>
            <w:vAlign w:val="center"/>
            <w:shd w:fill="EDF3F6"/>
          </w:tcPr>
          <w:p>
            <w:pPr>
              <w:spacing w:after="0"/>
            </w:pPr>
            <w:r>
              <w:rPr>
                <w:sz w:val="15"/>
              </w:rPr>
              <w:t>0.645</w:t>
            </w:r>
          </w:p>
        </w:tc>
      </w:tr>
      <w:tr>
        <w:tc>
          <w:tcPr>
            <w:tcW w:type="dxa" w:w="1800"/>
            <w:vAlign w:val="center"/>
          </w:tcPr>
          <w:p>
            <w:pPr>
              <w:spacing w:after="0"/>
            </w:pPr>
            <w:r>
              <w:rPr>
                <w:sz w:val="15"/>
              </w:rPr>
              <w:t>MDS</w:t>
            </w:r>
          </w:p>
        </w:tc>
        <w:tc>
          <w:tcPr>
            <w:tcW w:type="dxa" w:w="1080"/>
            <w:vAlign w:val="center"/>
          </w:tcPr>
          <w:p>
            <w:pPr>
              <w:spacing w:after="0"/>
            </w:pPr>
            <w:r>
              <w:rPr>
                <w:sz w:val="15"/>
              </w:rPr>
              <w:t>0.599</w:t>
            </w:r>
          </w:p>
        </w:tc>
        <w:tc>
          <w:tcPr>
            <w:tcW w:type="dxa" w:w="1512"/>
            <w:vAlign w:val="center"/>
          </w:tcPr>
          <w:p>
            <w:pPr>
              <w:spacing w:after="0"/>
            </w:pPr>
            <w:r>
              <w:rPr>
                <w:sz w:val="15"/>
              </w:rPr>
              <w:t>0.556</w:t>
            </w:r>
          </w:p>
        </w:tc>
        <w:tc>
          <w:tcPr>
            <w:tcW w:type="dxa" w:w="1224"/>
            <w:vAlign w:val="center"/>
          </w:tcPr>
          <w:p>
            <w:pPr>
              <w:spacing w:after="0"/>
            </w:pPr>
            <w:r>
              <w:rPr>
                <w:sz w:val="15"/>
              </w:rPr>
              <w:t>0.602</w:t>
            </w:r>
          </w:p>
        </w:tc>
        <w:tc>
          <w:tcPr>
            <w:tcW w:type="dxa" w:w="1224"/>
            <w:vAlign w:val="center"/>
          </w:tcPr>
          <w:p>
            <w:pPr>
              <w:spacing w:after="0"/>
            </w:pPr>
            <w:r>
              <w:rPr>
                <w:sz w:val="15"/>
              </w:rPr>
              <w:t>0.134</w:t>
            </w:r>
          </w:p>
        </w:tc>
        <w:tc>
          <w:tcPr>
            <w:tcW w:type="dxa" w:w="792"/>
            <w:vAlign w:val="center"/>
          </w:tcPr>
          <w:p>
            <w:pPr>
              <w:spacing w:after="0"/>
            </w:pPr>
            <w:r>
              <w:rPr>
                <w:sz w:val="15"/>
              </w:rPr>
              <w:t>0.216</w:t>
            </w:r>
          </w:p>
        </w:tc>
        <w:tc>
          <w:tcPr>
            <w:tcW w:type="dxa" w:w="1080"/>
            <w:vAlign w:val="center"/>
          </w:tcPr>
          <w:p>
            <w:pPr>
              <w:spacing w:after="0"/>
            </w:pPr>
            <w:r>
              <w:rPr>
                <w:sz w:val="15"/>
              </w:rPr>
              <w:t>0.620</w:t>
            </w:r>
          </w:p>
        </w:tc>
      </w:tr>
      <w:tr>
        <w:tc>
          <w:tcPr>
            <w:tcW w:type="dxa" w:w="1800"/>
            <w:vAlign w:val="center"/>
            <w:shd w:fill="EDF3F6"/>
          </w:tcPr>
          <w:p>
            <w:pPr>
              <w:spacing w:after="0"/>
            </w:pPr>
            <w:r>
              <w:rPr>
                <w:sz w:val="15"/>
              </w:rPr>
              <w:t>PCoA</w:t>
            </w:r>
          </w:p>
        </w:tc>
        <w:tc>
          <w:tcPr>
            <w:tcW w:type="dxa" w:w="1080"/>
            <w:vAlign w:val="center"/>
            <w:shd w:fill="EDF3F6"/>
          </w:tcPr>
          <w:p>
            <w:pPr>
              <w:spacing w:after="0"/>
            </w:pPr>
            <w:r>
              <w:rPr>
                <w:sz w:val="15"/>
              </w:rPr>
              <w:t>0.606</w:t>
            </w:r>
          </w:p>
        </w:tc>
        <w:tc>
          <w:tcPr>
            <w:tcW w:type="dxa" w:w="1512"/>
            <w:vAlign w:val="center"/>
            <w:shd w:fill="EDF3F6"/>
          </w:tcPr>
          <w:p>
            <w:pPr>
              <w:spacing w:after="0"/>
            </w:pPr>
            <w:r>
              <w:rPr>
                <w:sz w:val="15"/>
              </w:rPr>
              <w:t>0.546</w:t>
            </w:r>
          </w:p>
        </w:tc>
        <w:tc>
          <w:tcPr>
            <w:tcW w:type="dxa" w:w="1224"/>
            <w:vAlign w:val="center"/>
            <w:shd w:fill="EDF3F6"/>
          </w:tcPr>
          <w:p>
            <w:pPr>
              <w:spacing w:after="0"/>
            </w:pPr>
            <w:r>
              <w:rPr>
                <w:sz w:val="15"/>
              </w:rPr>
              <w:t>0.611</w:t>
            </w:r>
          </w:p>
        </w:tc>
        <w:tc>
          <w:tcPr>
            <w:tcW w:type="dxa" w:w="1224"/>
            <w:vAlign w:val="center"/>
            <w:shd w:fill="EDF3F6"/>
          </w:tcPr>
          <w:p>
            <w:pPr>
              <w:spacing w:after="0"/>
            </w:pPr>
            <w:r>
              <w:rPr>
                <w:sz w:val="15"/>
              </w:rPr>
              <w:t>0.135</w:t>
            </w:r>
          </w:p>
        </w:tc>
        <w:tc>
          <w:tcPr>
            <w:tcW w:type="dxa" w:w="792"/>
            <w:vAlign w:val="center"/>
            <w:shd w:fill="EDF3F6"/>
          </w:tcPr>
          <w:p>
            <w:pPr>
              <w:spacing w:after="0"/>
            </w:pPr>
            <w:r>
              <w:rPr>
                <w:sz w:val="15"/>
              </w:rPr>
              <w:t>0.217</w:t>
            </w:r>
          </w:p>
        </w:tc>
        <w:tc>
          <w:tcPr>
            <w:tcW w:type="dxa" w:w="1080"/>
            <w:vAlign w:val="center"/>
            <w:shd w:fill="EDF3F6"/>
          </w:tcPr>
          <w:p>
            <w:pPr>
              <w:spacing w:after="0"/>
            </w:pPr>
            <w:r>
              <w:rPr>
                <w:sz w:val="15"/>
              </w:rPr>
              <w:t>0.633</w:t>
            </w:r>
          </w:p>
        </w:tc>
      </w:tr>
      <w:tr>
        <w:tc>
          <w:tcPr>
            <w:tcW w:type="dxa" w:w="1800"/>
            <w:vAlign w:val="center"/>
          </w:tcPr>
          <w:p>
            <w:pPr>
              <w:spacing w:after="0"/>
            </w:pPr>
            <w:r>
              <w:rPr>
                <w:sz w:val="15"/>
              </w:rPr>
              <w:t>Isomap</w:t>
            </w:r>
          </w:p>
        </w:tc>
        <w:tc>
          <w:tcPr>
            <w:tcW w:type="dxa" w:w="1080"/>
            <w:vAlign w:val="center"/>
          </w:tcPr>
          <w:p>
            <w:pPr>
              <w:spacing w:after="0"/>
            </w:pPr>
            <w:r>
              <w:rPr>
                <w:sz w:val="15"/>
              </w:rPr>
              <w:t>0.590</w:t>
            </w:r>
          </w:p>
        </w:tc>
        <w:tc>
          <w:tcPr>
            <w:tcW w:type="dxa" w:w="1512"/>
            <w:vAlign w:val="center"/>
          </w:tcPr>
          <w:p>
            <w:pPr>
              <w:spacing w:after="0"/>
            </w:pPr>
            <w:r>
              <w:rPr>
                <w:sz w:val="15"/>
              </w:rPr>
              <w:t>0.571</w:t>
            </w:r>
          </w:p>
        </w:tc>
        <w:tc>
          <w:tcPr>
            <w:tcW w:type="dxa" w:w="1224"/>
            <w:vAlign w:val="center"/>
          </w:tcPr>
          <w:p>
            <w:pPr>
              <w:spacing w:after="0"/>
            </w:pPr>
            <w:r>
              <w:rPr>
                <w:sz w:val="15"/>
              </w:rPr>
              <w:t>0.591</w:t>
            </w:r>
          </w:p>
        </w:tc>
        <w:tc>
          <w:tcPr>
            <w:tcW w:type="dxa" w:w="1224"/>
            <w:vAlign w:val="center"/>
          </w:tcPr>
          <w:p>
            <w:pPr>
              <w:spacing w:after="0"/>
            </w:pPr>
            <w:r>
              <w:rPr>
                <w:sz w:val="15"/>
              </w:rPr>
              <w:t>0.134</w:t>
            </w:r>
          </w:p>
        </w:tc>
        <w:tc>
          <w:tcPr>
            <w:tcW w:type="dxa" w:w="792"/>
            <w:vAlign w:val="center"/>
          </w:tcPr>
          <w:p>
            <w:pPr>
              <w:spacing w:after="0"/>
            </w:pPr>
            <w:r>
              <w:rPr>
                <w:sz w:val="15"/>
              </w:rPr>
              <w:t>0.218</w:t>
            </w:r>
          </w:p>
        </w:tc>
        <w:tc>
          <w:tcPr>
            <w:tcW w:type="dxa" w:w="1080"/>
            <w:vAlign w:val="center"/>
          </w:tcPr>
          <w:p>
            <w:pPr>
              <w:spacing w:after="0"/>
            </w:pPr>
            <w:r>
              <w:rPr>
                <w:sz w:val="15"/>
              </w:rPr>
              <w:t>0.649</w:t>
            </w:r>
          </w:p>
        </w:tc>
      </w:tr>
    </w:tbl>
    <w:p/>
    <w:tbl>
      <w:tblPr>
        <w:tblStyle w:val="TableGrid"/>
        <w:tblW w:type="auto" w:w="0"/>
        <w:jc w:val="center"/>
        <w:tblLayout w:type="fixed"/>
        <w:tblLook w:firstColumn="1" w:firstRow="1" w:lastColumn="0" w:lastRow="0" w:noHBand="0" w:noVBand="1" w:val="04A0"/>
      </w:tblPr>
      <w:tblGrid>
        <w:gridCol w:w="1800"/>
        <w:gridCol w:w="936"/>
        <w:gridCol w:w="936"/>
        <w:gridCol w:w="1512"/>
        <w:gridCol w:w="1512"/>
        <w:gridCol w:w="1152"/>
        <w:gridCol w:w="936"/>
      </w:tblGrid>
      <w:tr>
        <w:tc>
          <w:tcPr>
            <w:tcW w:type="dxa" w:w="1428"/>
            <w:shd w:fill="153B50"/>
          </w:tcPr>
          <w:p>
            <w:r>
              <w:rPr>
                <w:b/>
                <w:color w:val="FFFFFF"/>
                <w:sz w:val="16"/>
              </w:rPr>
              <w:t>Method</w:t>
            </w:r>
          </w:p>
        </w:tc>
        <w:tc>
          <w:tcPr>
            <w:tcW w:type="dxa" w:w="1428"/>
            <w:shd w:fill="153B50"/>
          </w:tcPr>
          <w:p>
            <w:r>
              <w:rPr>
                <w:b/>
                <w:color w:val="FFFFFF"/>
                <w:sz w:val="16"/>
              </w:rPr>
              <w:t>Error</w:t>
            </w:r>
          </w:p>
        </w:tc>
        <w:tc>
          <w:tcPr>
            <w:tcW w:type="dxa" w:w="1428"/>
            <w:shd w:fill="153B50"/>
          </w:tcPr>
          <w:p>
            <w:r>
              <w:rPr>
                <w:b/>
                <w:color w:val="FFFFFF"/>
                <w:sz w:val="16"/>
              </w:rPr>
              <w:t>Kappa</w:t>
            </w:r>
          </w:p>
        </w:tc>
        <w:tc>
          <w:tcPr>
            <w:tcW w:type="dxa" w:w="1428"/>
            <w:shd w:fill="153B50"/>
          </w:tcPr>
          <w:p>
            <w:r>
              <w:rPr>
                <w:b/>
                <w:color w:val="FFFFFF"/>
                <w:sz w:val="16"/>
              </w:rPr>
              <w:t>Informedness</w:t>
            </w:r>
          </w:p>
        </w:tc>
        <w:tc>
          <w:tcPr>
            <w:tcW w:type="dxa" w:w="1428"/>
            <w:shd w:fill="153B50"/>
          </w:tcPr>
          <w:p>
            <w:r>
              <w:rPr>
                <w:b/>
                <w:color w:val="FFFFFF"/>
                <w:sz w:val="16"/>
              </w:rPr>
              <w:t>Markedness</w:t>
            </w:r>
          </w:p>
        </w:tc>
        <w:tc>
          <w:tcPr>
            <w:tcW w:type="dxa" w:w="1428"/>
            <w:shd w:fill="153B50"/>
          </w:tcPr>
          <w:p>
            <w:r>
              <w:rPr>
                <w:b/>
                <w:color w:val="FFFFFF"/>
                <w:sz w:val="16"/>
              </w:rPr>
              <w:t>Log loss</w:t>
            </w:r>
          </w:p>
        </w:tc>
        <w:tc>
          <w:tcPr>
            <w:tcW w:type="dxa" w:w="1428"/>
            <w:shd w:fill="153B50"/>
          </w:tcPr>
          <w:p>
            <w:r>
              <w:rPr>
                <w:b/>
                <w:color w:val="FFFFFF"/>
                <w:sz w:val="16"/>
              </w:rPr>
              <w:t>CPU s</w:t>
            </w:r>
          </w:p>
        </w:tc>
      </w:tr>
      <w:tr>
        <w:tc>
          <w:tcPr>
            <w:tcW w:type="dxa" w:w="1800"/>
            <w:vAlign w:val="center"/>
          </w:tcPr>
          <w:p>
            <w:pPr>
              <w:spacing w:after="0"/>
            </w:pPr>
            <w:r>
              <w:rPr>
                <w:sz w:val="15"/>
              </w:rPr>
              <w:t>PCA</w:t>
            </w:r>
          </w:p>
        </w:tc>
        <w:tc>
          <w:tcPr>
            <w:tcW w:type="dxa" w:w="936"/>
            <w:vAlign w:val="center"/>
          </w:tcPr>
          <w:p>
            <w:pPr>
              <w:spacing w:after="0"/>
            </w:pPr>
            <w:r>
              <w:rPr>
                <w:sz w:val="15"/>
              </w:rPr>
              <w:t>0.391</w:t>
            </w:r>
          </w:p>
        </w:tc>
        <w:tc>
          <w:tcPr>
            <w:tcW w:type="dxa" w:w="936"/>
            <w:vAlign w:val="center"/>
          </w:tcPr>
          <w:p>
            <w:pPr>
              <w:spacing w:after="0"/>
            </w:pPr>
            <w:r>
              <w:rPr>
                <w:sz w:val="15"/>
              </w:rPr>
              <w:t>0.084</w:t>
            </w:r>
          </w:p>
        </w:tc>
        <w:tc>
          <w:tcPr>
            <w:tcW w:type="dxa" w:w="1512"/>
            <w:vAlign w:val="center"/>
          </w:tcPr>
          <w:p>
            <w:pPr>
              <w:spacing w:after="0"/>
            </w:pPr>
            <w:r>
              <w:rPr>
                <w:sz w:val="15"/>
              </w:rPr>
              <w:t>0.194</w:t>
            </w:r>
          </w:p>
        </w:tc>
        <w:tc>
          <w:tcPr>
            <w:tcW w:type="dxa" w:w="1512"/>
            <w:vAlign w:val="center"/>
          </w:tcPr>
          <w:p>
            <w:pPr>
              <w:spacing w:after="0"/>
            </w:pPr>
            <w:r>
              <w:rPr>
                <w:sz w:val="15"/>
              </w:rPr>
              <w:t>0.075</w:t>
            </w:r>
          </w:p>
        </w:tc>
        <w:tc>
          <w:tcPr>
            <w:tcW w:type="dxa" w:w="1152"/>
            <w:vAlign w:val="center"/>
          </w:tcPr>
          <w:p>
            <w:pPr>
              <w:spacing w:after="0"/>
            </w:pPr>
            <w:r>
              <w:rPr>
                <w:sz w:val="15"/>
              </w:rPr>
              <w:t>0.679</w:t>
            </w:r>
          </w:p>
        </w:tc>
        <w:tc>
          <w:tcPr>
            <w:tcW w:type="dxa" w:w="936"/>
            <w:vAlign w:val="center"/>
          </w:tcPr>
          <w:p>
            <w:pPr>
              <w:spacing w:after="0"/>
            </w:pPr>
            <w:r>
              <w:rPr>
                <w:sz w:val="15"/>
              </w:rPr>
              <w:t>0.08</w:t>
            </w:r>
          </w:p>
        </w:tc>
      </w:tr>
      <w:tr>
        <w:tc>
          <w:tcPr>
            <w:tcW w:type="dxa" w:w="1800"/>
            <w:vAlign w:val="center"/>
            <w:shd w:fill="EDF3F6"/>
          </w:tcPr>
          <w:p>
            <w:pPr>
              <w:spacing w:after="0"/>
            </w:pPr>
            <w:r>
              <w:rPr>
                <w:sz w:val="15"/>
              </w:rPr>
              <w:t>Kernel PCA</w:t>
            </w:r>
          </w:p>
        </w:tc>
        <w:tc>
          <w:tcPr>
            <w:tcW w:type="dxa" w:w="936"/>
            <w:vAlign w:val="center"/>
            <w:shd w:fill="EDF3F6"/>
          </w:tcPr>
          <w:p>
            <w:pPr>
              <w:spacing w:after="0"/>
            </w:pPr>
            <w:r>
              <w:rPr>
                <w:sz w:val="15"/>
              </w:rPr>
              <w:t>0.397</w:t>
            </w:r>
          </w:p>
        </w:tc>
        <w:tc>
          <w:tcPr>
            <w:tcW w:type="dxa" w:w="936"/>
            <w:vAlign w:val="center"/>
            <w:shd w:fill="EDF3F6"/>
          </w:tcPr>
          <w:p>
            <w:pPr>
              <w:spacing w:after="0"/>
            </w:pPr>
            <w:r>
              <w:rPr>
                <w:sz w:val="15"/>
              </w:rPr>
              <w:t>0.062</w:t>
            </w:r>
          </w:p>
        </w:tc>
        <w:tc>
          <w:tcPr>
            <w:tcW w:type="dxa" w:w="1512"/>
            <w:vAlign w:val="center"/>
            <w:shd w:fill="EDF3F6"/>
          </w:tcPr>
          <w:p>
            <w:pPr>
              <w:spacing w:after="0"/>
            </w:pPr>
            <w:r>
              <w:rPr>
                <w:sz w:val="15"/>
              </w:rPr>
              <w:t>0.144</w:t>
            </w:r>
          </w:p>
        </w:tc>
        <w:tc>
          <w:tcPr>
            <w:tcW w:type="dxa" w:w="1512"/>
            <w:vAlign w:val="center"/>
            <w:shd w:fill="EDF3F6"/>
          </w:tcPr>
          <w:p>
            <w:pPr>
              <w:spacing w:after="0"/>
            </w:pPr>
            <w:r>
              <w:rPr>
                <w:sz w:val="15"/>
              </w:rPr>
              <w:t>0.056</w:t>
            </w:r>
          </w:p>
        </w:tc>
        <w:tc>
          <w:tcPr>
            <w:tcW w:type="dxa" w:w="1152"/>
            <w:vAlign w:val="center"/>
            <w:shd w:fill="EDF3F6"/>
          </w:tcPr>
          <w:p>
            <w:pPr>
              <w:spacing w:after="0"/>
            </w:pPr>
            <w:r>
              <w:rPr>
                <w:sz w:val="15"/>
              </w:rPr>
              <w:t>0.655</w:t>
            </w:r>
          </w:p>
        </w:tc>
        <w:tc>
          <w:tcPr>
            <w:tcW w:type="dxa" w:w="936"/>
            <w:vAlign w:val="center"/>
            <w:shd w:fill="EDF3F6"/>
          </w:tcPr>
          <w:p>
            <w:pPr>
              <w:spacing w:after="0"/>
            </w:pPr>
            <w:r>
              <w:rPr>
                <w:sz w:val="15"/>
              </w:rPr>
              <w:t>0.05</w:t>
            </w:r>
          </w:p>
        </w:tc>
      </w:tr>
      <w:tr>
        <w:tc>
          <w:tcPr>
            <w:tcW w:type="dxa" w:w="1800"/>
            <w:vAlign w:val="center"/>
          </w:tcPr>
          <w:p>
            <w:pPr>
              <w:spacing w:after="0"/>
            </w:pPr>
            <w:r>
              <w:rPr>
                <w:sz w:val="15"/>
              </w:rPr>
              <w:t>SNE</w:t>
            </w:r>
          </w:p>
        </w:tc>
        <w:tc>
          <w:tcPr>
            <w:tcW w:type="dxa" w:w="936"/>
            <w:vAlign w:val="center"/>
          </w:tcPr>
          <w:p>
            <w:pPr>
              <w:spacing w:after="0"/>
            </w:pPr>
            <w:r>
              <w:rPr>
                <w:sz w:val="15"/>
              </w:rPr>
              <w:t>0.407</w:t>
            </w:r>
          </w:p>
        </w:tc>
        <w:tc>
          <w:tcPr>
            <w:tcW w:type="dxa" w:w="936"/>
            <w:vAlign w:val="center"/>
          </w:tcPr>
          <w:p>
            <w:pPr>
              <w:spacing w:after="0"/>
            </w:pPr>
            <w:r>
              <w:rPr>
                <w:sz w:val="15"/>
              </w:rPr>
              <w:t>0.047</w:t>
            </w:r>
          </w:p>
        </w:tc>
        <w:tc>
          <w:tcPr>
            <w:tcW w:type="dxa" w:w="1512"/>
            <w:vAlign w:val="center"/>
          </w:tcPr>
          <w:p>
            <w:pPr>
              <w:spacing w:after="0"/>
            </w:pPr>
            <w:r>
              <w:rPr>
                <w:sz w:val="15"/>
              </w:rPr>
              <w:t>0.107</w:t>
            </w:r>
          </w:p>
        </w:tc>
        <w:tc>
          <w:tcPr>
            <w:tcW w:type="dxa" w:w="1512"/>
            <w:vAlign w:val="center"/>
          </w:tcPr>
          <w:p>
            <w:pPr>
              <w:spacing w:after="0"/>
            </w:pPr>
            <w:r>
              <w:rPr>
                <w:sz w:val="15"/>
              </w:rPr>
              <w:t>0.042</w:t>
            </w:r>
          </w:p>
        </w:tc>
        <w:tc>
          <w:tcPr>
            <w:tcW w:type="dxa" w:w="1152"/>
            <w:vAlign w:val="center"/>
          </w:tcPr>
          <w:p>
            <w:pPr>
              <w:spacing w:after="0"/>
            </w:pPr>
            <w:r>
              <w:rPr>
                <w:sz w:val="15"/>
              </w:rPr>
              <w:t>0.665</w:t>
            </w:r>
          </w:p>
        </w:tc>
        <w:tc>
          <w:tcPr>
            <w:tcW w:type="dxa" w:w="936"/>
            <w:vAlign w:val="center"/>
          </w:tcPr>
          <w:p>
            <w:pPr>
              <w:spacing w:after="0"/>
            </w:pPr>
            <w:r>
              <w:rPr>
                <w:sz w:val="15"/>
              </w:rPr>
              <w:t>1.81</w:t>
            </w:r>
          </w:p>
        </w:tc>
      </w:tr>
      <w:tr>
        <w:tc>
          <w:tcPr>
            <w:tcW w:type="dxa" w:w="1800"/>
            <w:vAlign w:val="center"/>
            <w:shd w:fill="EDF3F6"/>
          </w:tcPr>
          <w:p>
            <w:pPr>
              <w:spacing w:after="0"/>
            </w:pPr>
            <w:r>
              <w:rPr>
                <w:sz w:val="15"/>
              </w:rPr>
              <w:t>t-SNE</w:t>
            </w:r>
          </w:p>
        </w:tc>
        <w:tc>
          <w:tcPr>
            <w:tcW w:type="dxa" w:w="936"/>
            <w:vAlign w:val="center"/>
            <w:shd w:fill="EDF3F6"/>
          </w:tcPr>
          <w:p>
            <w:pPr>
              <w:spacing w:after="0"/>
            </w:pPr>
            <w:r>
              <w:rPr>
                <w:sz w:val="15"/>
              </w:rPr>
              <w:t>0.400</w:t>
            </w:r>
          </w:p>
        </w:tc>
        <w:tc>
          <w:tcPr>
            <w:tcW w:type="dxa" w:w="936"/>
            <w:vAlign w:val="center"/>
            <w:shd w:fill="EDF3F6"/>
          </w:tcPr>
          <w:p>
            <w:pPr>
              <w:spacing w:after="0"/>
            </w:pPr>
            <w:r>
              <w:rPr>
                <w:sz w:val="15"/>
              </w:rPr>
              <w:t>0.054</w:t>
            </w:r>
          </w:p>
        </w:tc>
        <w:tc>
          <w:tcPr>
            <w:tcW w:type="dxa" w:w="1512"/>
            <w:vAlign w:val="center"/>
            <w:shd w:fill="EDF3F6"/>
          </w:tcPr>
          <w:p>
            <w:pPr>
              <w:spacing w:after="0"/>
            </w:pPr>
            <w:r>
              <w:rPr>
                <w:sz w:val="15"/>
              </w:rPr>
              <w:t>0.123</w:t>
            </w:r>
          </w:p>
        </w:tc>
        <w:tc>
          <w:tcPr>
            <w:tcW w:type="dxa" w:w="1512"/>
            <w:vAlign w:val="center"/>
            <w:shd w:fill="EDF3F6"/>
          </w:tcPr>
          <w:p>
            <w:pPr>
              <w:spacing w:after="0"/>
            </w:pPr>
            <w:r>
              <w:rPr>
                <w:sz w:val="15"/>
              </w:rPr>
              <w:t>0.048</w:t>
            </w:r>
          </w:p>
        </w:tc>
        <w:tc>
          <w:tcPr>
            <w:tcW w:type="dxa" w:w="1152"/>
            <w:vAlign w:val="center"/>
            <w:shd w:fill="EDF3F6"/>
          </w:tcPr>
          <w:p>
            <w:pPr>
              <w:spacing w:after="0"/>
            </w:pPr>
            <w:r>
              <w:rPr>
                <w:sz w:val="15"/>
              </w:rPr>
              <w:t>0.647</w:t>
            </w:r>
          </w:p>
        </w:tc>
        <w:tc>
          <w:tcPr>
            <w:tcW w:type="dxa" w:w="936"/>
            <w:vAlign w:val="center"/>
            <w:shd w:fill="EDF3F6"/>
          </w:tcPr>
          <w:p>
            <w:pPr>
              <w:spacing w:after="0"/>
            </w:pPr>
            <w:r>
              <w:rPr>
                <w:sz w:val="15"/>
              </w:rPr>
              <w:t>1.74</w:t>
            </w:r>
          </w:p>
        </w:tc>
      </w:tr>
      <w:tr>
        <w:tc>
          <w:tcPr>
            <w:tcW w:type="dxa" w:w="1800"/>
            <w:vAlign w:val="center"/>
          </w:tcPr>
          <w:p>
            <w:pPr>
              <w:spacing w:after="0"/>
            </w:pPr>
            <w:r>
              <w:rPr>
                <w:sz w:val="15"/>
              </w:rPr>
              <w:t>PCA + t-SNE</w:t>
            </w:r>
          </w:p>
        </w:tc>
        <w:tc>
          <w:tcPr>
            <w:tcW w:type="dxa" w:w="936"/>
            <w:vAlign w:val="center"/>
          </w:tcPr>
          <w:p>
            <w:pPr>
              <w:spacing w:after="0"/>
            </w:pPr>
            <w:r>
              <w:rPr>
                <w:sz w:val="15"/>
              </w:rPr>
              <w:t>0.409</w:t>
            </w:r>
          </w:p>
        </w:tc>
        <w:tc>
          <w:tcPr>
            <w:tcW w:type="dxa" w:w="936"/>
            <w:vAlign w:val="center"/>
          </w:tcPr>
          <w:p>
            <w:pPr>
              <w:spacing w:after="0"/>
            </w:pPr>
            <w:r>
              <w:rPr>
                <w:sz w:val="15"/>
              </w:rPr>
              <w:t>0.040</w:t>
            </w:r>
          </w:p>
        </w:tc>
        <w:tc>
          <w:tcPr>
            <w:tcW w:type="dxa" w:w="1512"/>
            <w:vAlign w:val="center"/>
          </w:tcPr>
          <w:p>
            <w:pPr>
              <w:spacing w:after="0"/>
            </w:pPr>
            <w:r>
              <w:rPr>
                <w:sz w:val="15"/>
              </w:rPr>
              <w:t>0.093</w:t>
            </w:r>
          </w:p>
        </w:tc>
        <w:tc>
          <w:tcPr>
            <w:tcW w:type="dxa" w:w="1512"/>
            <w:vAlign w:val="center"/>
          </w:tcPr>
          <w:p>
            <w:pPr>
              <w:spacing w:after="0"/>
            </w:pPr>
            <w:r>
              <w:rPr>
                <w:sz w:val="15"/>
              </w:rPr>
              <w:t>0.037</w:t>
            </w:r>
          </w:p>
        </w:tc>
        <w:tc>
          <w:tcPr>
            <w:tcW w:type="dxa" w:w="1152"/>
            <w:vAlign w:val="center"/>
          </w:tcPr>
          <w:p>
            <w:pPr>
              <w:spacing w:after="0"/>
            </w:pPr>
            <w:r>
              <w:rPr>
                <w:sz w:val="15"/>
              </w:rPr>
              <w:t>0.654</w:t>
            </w:r>
          </w:p>
        </w:tc>
        <w:tc>
          <w:tcPr>
            <w:tcW w:type="dxa" w:w="936"/>
            <w:vAlign w:val="center"/>
          </w:tcPr>
          <w:p>
            <w:pPr>
              <w:spacing w:after="0"/>
            </w:pPr>
            <w:r>
              <w:rPr>
                <w:sz w:val="15"/>
              </w:rPr>
              <w:t>1.73</w:t>
            </w:r>
          </w:p>
        </w:tc>
      </w:tr>
      <w:tr>
        <w:tc>
          <w:tcPr>
            <w:tcW w:type="dxa" w:w="1800"/>
            <w:vAlign w:val="center"/>
            <w:shd w:fill="EDF3F6"/>
          </w:tcPr>
          <w:p>
            <w:pPr>
              <w:spacing w:after="0"/>
            </w:pPr>
            <w:r>
              <w:rPr>
                <w:sz w:val="15"/>
              </w:rPr>
              <w:t>UMAP</w:t>
            </w:r>
          </w:p>
        </w:tc>
        <w:tc>
          <w:tcPr>
            <w:tcW w:type="dxa" w:w="936"/>
            <w:vAlign w:val="center"/>
            <w:shd w:fill="EDF3F6"/>
          </w:tcPr>
          <w:p>
            <w:pPr>
              <w:spacing w:after="0"/>
            </w:pPr>
            <w:r>
              <w:rPr>
                <w:sz w:val="15"/>
              </w:rPr>
              <w:t>0.391</w:t>
            </w:r>
          </w:p>
        </w:tc>
        <w:tc>
          <w:tcPr>
            <w:tcW w:type="dxa" w:w="936"/>
            <w:vAlign w:val="center"/>
            <w:shd w:fill="EDF3F6"/>
          </w:tcPr>
          <w:p>
            <w:pPr>
              <w:spacing w:after="0"/>
            </w:pPr>
            <w:r>
              <w:rPr>
                <w:sz w:val="15"/>
              </w:rPr>
              <w:t>0.083</w:t>
            </w:r>
          </w:p>
        </w:tc>
        <w:tc>
          <w:tcPr>
            <w:tcW w:type="dxa" w:w="1512"/>
            <w:vAlign w:val="center"/>
            <w:shd w:fill="EDF3F6"/>
          </w:tcPr>
          <w:p>
            <w:pPr>
              <w:spacing w:after="0"/>
            </w:pPr>
            <w:r>
              <w:rPr>
                <w:sz w:val="15"/>
              </w:rPr>
              <w:t>0.198</w:t>
            </w:r>
          </w:p>
        </w:tc>
        <w:tc>
          <w:tcPr>
            <w:tcW w:type="dxa" w:w="1512"/>
            <w:vAlign w:val="center"/>
            <w:shd w:fill="EDF3F6"/>
          </w:tcPr>
          <w:p>
            <w:pPr>
              <w:spacing w:after="0"/>
            </w:pPr>
            <w:r>
              <w:rPr>
                <w:sz w:val="15"/>
              </w:rPr>
              <w:t>0.076</w:t>
            </w:r>
          </w:p>
        </w:tc>
        <w:tc>
          <w:tcPr>
            <w:tcW w:type="dxa" w:w="1152"/>
            <w:vAlign w:val="center"/>
            <w:shd w:fill="EDF3F6"/>
          </w:tcPr>
          <w:p>
            <w:pPr>
              <w:spacing w:after="0"/>
            </w:pPr>
            <w:r>
              <w:rPr>
                <w:sz w:val="15"/>
              </w:rPr>
              <w:t>0.655</w:t>
            </w:r>
          </w:p>
        </w:tc>
        <w:tc>
          <w:tcPr>
            <w:tcW w:type="dxa" w:w="936"/>
            <w:vAlign w:val="center"/>
            <w:shd w:fill="EDF3F6"/>
          </w:tcPr>
          <w:p>
            <w:pPr>
              <w:spacing w:after="0"/>
            </w:pPr>
            <w:r>
              <w:rPr>
                <w:sz w:val="15"/>
              </w:rPr>
              <w:t>2.24</w:t>
            </w:r>
          </w:p>
        </w:tc>
      </w:tr>
      <w:tr>
        <w:tc>
          <w:tcPr>
            <w:tcW w:type="dxa" w:w="1800"/>
            <w:vAlign w:val="center"/>
          </w:tcPr>
          <w:p>
            <w:pPr>
              <w:spacing w:after="0"/>
            </w:pPr>
            <w:r>
              <w:rPr>
                <w:sz w:val="15"/>
              </w:rPr>
              <w:t>MDS</w:t>
            </w:r>
          </w:p>
        </w:tc>
        <w:tc>
          <w:tcPr>
            <w:tcW w:type="dxa" w:w="936"/>
            <w:vAlign w:val="center"/>
          </w:tcPr>
          <w:p>
            <w:pPr>
              <w:spacing w:after="0"/>
            </w:pPr>
            <w:r>
              <w:rPr>
                <w:sz w:val="15"/>
              </w:rPr>
              <w:t>0.401</w:t>
            </w:r>
          </w:p>
        </w:tc>
        <w:tc>
          <w:tcPr>
            <w:tcW w:type="dxa" w:w="936"/>
            <w:vAlign w:val="center"/>
          </w:tcPr>
          <w:p>
            <w:pPr>
              <w:spacing w:after="0"/>
            </w:pPr>
            <w:r>
              <w:rPr>
                <w:sz w:val="15"/>
              </w:rPr>
              <w:t>0.066</w:t>
            </w:r>
          </w:p>
        </w:tc>
        <w:tc>
          <w:tcPr>
            <w:tcW w:type="dxa" w:w="1512"/>
            <w:vAlign w:val="center"/>
          </w:tcPr>
          <w:p>
            <w:pPr>
              <w:spacing w:after="0"/>
            </w:pPr>
            <w:r>
              <w:rPr>
                <w:sz w:val="15"/>
              </w:rPr>
              <w:t>0.158</w:t>
            </w:r>
          </w:p>
        </w:tc>
        <w:tc>
          <w:tcPr>
            <w:tcW w:type="dxa" w:w="1512"/>
            <w:vAlign w:val="center"/>
          </w:tcPr>
          <w:p>
            <w:pPr>
              <w:spacing w:after="0"/>
            </w:pPr>
            <w:r>
              <w:rPr>
                <w:sz w:val="15"/>
              </w:rPr>
              <w:t>0.061</w:t>
            </w:r>
          </w:p>
        </w:tc>
        <w:tc>
          <w:tcPr>
            <w:tcW w:type="dxa" w:w="1152"/>
            <w:vAlign w:val="center"/>
          </w:tcPr>
          <w:p>
            <w:pPr>
              <w:spacing w:after="0"/>
            </w:pPr>
            <w:r>
              <w:rPr>
                <w:sz w:val="15"/>
              </w:rPr>
              <w:t>0.657</w:t>
            </w:r>
          </w:p>
        </w:tc>
        <w:tc>
          <w:tcPr>
            <w:tcW w:type="dxa" w:w="936"/>
            <w:vAlign w:val="center"/>
          </w:tcPr>
          <w:p>
            <w:pPr>
              <w:spacing w:after="0"/>
            </w:pPr>
            <w:r>
              <w:rPr>
                <w:sz w:val="15"/>
              </w:rPr>
              <w:t>1.16</w:t>
            </w:r>
          </w:p>
        </w:tc>
      </w:tr>
      <w:tr>
        <w:tc>
          <w:tcPr>
            <w:tcW w:type="dxa" w:w="1800"/>
            <w:vAlign w:val="center"/>
            <w:shd w:fill="EDF3F6"/>
          </w:tcPr>
          <w:p>
            <w:pPr>
              <w:spacing w:after="0"/>
            </w:pPr>
            <w:r>
              <w:rPr>
                <w:sz w:val="15"/>
              </w:rPr>
              <w:t>PCoA</w:t>
            </w:r>
          </w:p>
        </w:tc>
        <w:tc>
          <w:tcPr>
            <w:tcW w:type="dxa" w:w="936"/>
            <w:vAlign w:val="center"/>
            <w:shd w:fill="EDF3F6"/>
          </w:tcPr>
          <w:p>
            <w:pPr>
              <w:spacing w:after="0"/>
            </w:pPr>
            <w:r>
              <w:rPr>
                <w:sz w:val="15"/>
              </w:rPr>
              <w:t>0.394</w:t>
            </w:r>
          </w:p>
        </w:tc>
        <w:tc>
          <w:tcPr>
            <w:tcW w:type="dxa" w:w="936"/>
            <w:vAlign w:val="center"/>
            <w:shd w:fill="EDF3F6"/>
          </w:tcPr>
          <w:p>
            <w:pPr>
              <w:spacing w:after="0"/>
            </w:pPr>
            <w:r>
              <w:rPr>
                <w:sz w:val="15"/>
              </w:rPr>
              <w:t>0.068</w:t>
            </w:r>
          </w:p>
        </w:tc>
        <w:tc>
          <w:tcPr>
            <w:tcW w:type="dxa" w:w="1512"/>
            <w:vAlign w:val="center"/>
            <w:shd w:fill="EDF3F6"/>
          </w:tcPr>
          <w:p>
            <w:pPr>
              <w:spacing w:after="0"/>
            </w:pPr>
            <w:r>
              <w:rPr>
                <w:sz w:val="15"/>
              </w:rPr>
              <w:t>0.157</w:t>
            </w:r>
          </w:p>
        </w:tc>
        <w:tc>
          <w:tcPr>
            <w:tcW w:type="dxa" w:w="1512"/>
            <w:vAlign w:val="center"/>
            <w:shd w:fill="EDF3F6"/>
          </w:tcPr>
          <w:p>
            <w:pPr>
              <w:spacing w:after="0"/>
            </w:pPr>
            <w:r>
              <w:rPr>
                <w:sz w:val="15"/>
              </w:rPr>
              <w:t>0.061</w:t>
            </w:r>
          </w:p>
        </w:tc>
        <w:tc>
          <w:tcPr>
            <w:tcW w:type="dxa" w:w="1152"/>
            <w:vAlign w:val="center"/>
            <w:shd w:fill="EDF3F6"/>
          </w:tcPr>
          <w:p>
            <w:pPr>
              <w:spacing w:after="0"/>
            </w:pPr>
            <w:r>
              <w:rPr>
                <w:sz w:val="15"/>
              </w:rPr>
              <w:t>0.659</w:t>
            </w:r>
          </w:p>
        </w:tc>
        <w:tc>
          <w:tcPr>
            <w:tcW w:type="dxa" w:w="936"/>
            <w:vAlign w:val="center"/>
            <w:shd w:fill="EDF3F6"/>
          </w:tcPr>
          <w:p>
            <w:pPr>
              <w:spacing w:after="0"/>
            </w:pPr>
            <w:r>
              <w:rPr>
                <w:sz w:val="15"/>
              </w:rPr>
              <w:t>0.09</w:t>
            </w:r>
          </w:p>
        </w:tc>
      </w:tr>
      <w:tr>
        <w:tc>
          <w:tcPr>
            <w:tcW w:type="dxa" w:w="1800"/>
            <w:vAlign w:val="center"/>
          </w:tcPr>
          <w:p>
            <w:pPr>
              <w:spacing w:after="0"/>
            </w:pPr>
            <w:r>
              <w:rPr>
                <w:sz w:val="15"/>
              </w:rPr>
              <w:t>Isomap</w:t>
            </w:r>
          </w:p>
        </w:tc>
        <w:tc>
          <w:tcPr>
            <w:tcW w:type="dxa" w:w="936"/>
            <w:vAlign w:val="center"/>
          </w:tcPr>
          <w:p>
            <w:pPr>
              <w:spacing w:after="0"/>
            </w:pPr>
            <w:r>
              <w:rPr>
                <w:sz w:val="15"/>
              </w:rPr>
              <w:t>0.410</w:t>
            </w:r>
          </w:p>
        </w:tc>
        <w:tc>
          <w:tcPr>
            <w:tcW w:type="dxa" w:w="936"/>
            <w:vAlign w:val="center"/>
          </w:tcPr>
          <w:p>
            <w:pPr>
              <w:spacing w:after="0"/>
            </w:pPr>
            <w:r>
              <w:rPr>
                <w:sz w:val="15"/>
              </w:rPr>
              <w:t>0.067</w:t>
            </w:r>
          </w:p>
        </w:tc>
        <w:tc>
          <w:tcPr>
            <w:tcW w:type="dxa" w:w="1512"/>
            <w:vAlign w:val="center"/>
          </w:tcPr>
          <w:p>
            <w:pPr>
              <w:spacing w:after="0"/>
            </w:pPr>
            <w:r>
              <w:rPr>
                <w:sz w:val="15"/>
              </w:rPr>
              <w:t>0.162</w:t>
            </w:r>
          </w:p>
        </w:tc>
        <w:tc>
          <w:tcPr>
            <w:tcW w:type="dxa" w:w="1512"/>
            <w:vAlign w:val="center"/>
          </w:tcPr>
          <w:p>
            <w:pPr>
              <w:spacing w:after="0"/>
            </w:pPr>
            <w:r>
              <w:rPr>
                <w:sz w:val="15"/>
              </w:rPr>
              <w:t>0.061</w:t>
            </w:r>
          </w:p>
        </w:tc>
        <w:tc>
          <w:tcPr>
            <w:tcW w:type="dxa" w:w="1152"/>
            <w:vAlign w:val="center"/>
          </w:tcPr>
          <w:p>
            <w:pPr>
              <w:spacing w:after="0"/>
            </w:pPr>
            <w:r>
              <w:rPr>
                <w:sz w:val="15"/>
              </w:rPr>
              <w:t>0.646</w:t>
            </w:r>
          </w:p>
        </w:tc>
        <w:tc>
          <w:tcPr>
            <w:tcW w:type="dxa" w:w="936"/>
            <w:vAlign w:val="center"/>
          </w:tcPr>
          <w:p>
            <w:pPr>
              <w:spacing w:after="0"/>
            </w:pPr>
            <w:r>
              <w:rPr>
                <w:sz w:val="15"/>
              </w:rPr>
              <w:t>0.10</w:t>
            </w:r>
          </w:p>
        </w:tc>
      </w:tr>
    </w:tbl>
    <w:p/>
    <w:p>
      <w:r>
        <w:t>Values are means across three held-out splits for prespecified setting A. Recall equals sensitivity. CPU time includes embedding, held-out transform, classifier fit, and prediction, after the separately reported UMAP compilation warmup.</w:t>
      </w:r>
    </w:p>
    <w:p>
      <w:r>
        <w:t>In HAM10000, Isomap has the highest mean ROC AUC for setting A (0.649). Kernel PCA uses the least mean CPU time (0.05 s). These are descriptive rankings across only three overlapping splits. Accuracy should be read together with sensitivity and specificity because the positive class is less frequent.</w:t>
      </w:r>
    </w:p>
    <w:p>
      <w:pPr>
        <w:jc w:val="center"/>
      </w:pPr>
      <w:r>
        <w:drawing>
          <wp:inline xmlns:a="http://schemas.openxmlformats.org/drawingml/2006/main" xmlns:pic="http://schemas.openxmlformats.org/drawingml/2006/picture">
            <wp:extent cx="5989320" cy="2409726"/>
            <wp:docPr id="1" name="Picture 1"/>
            <wp:cNvGraphicFramePr>
              <a:graphicFrameLocks noChangeAspect="1"/>
            </wp:cNvGraphicFramePr>
            <a:graphic>
              <a:graphicData uri="http://schemas.openxmlformats.org/drawingml/2006/picture">
                <pic:pic>
                  <pic:nvPicPr>
                    <pic:cNvPr id="0" name="HAM10000_accuracy.png"/>
                    <pic:cNvPicPr/>
                  </pic:nvPicPr>
                  <pic:blipFill>
                    <a:blip r:embed="rId9"/>
                    <a:stretch>
                      <a:fillRect/>
                    </a:stretch>
                  </pic:blipFill>
                  <pic:spPr>
                    <a:xfrm>
                      <a:off x="0" y="0"/>
                      <a:ext cx="5989320" cy="2409726"/>
                    </a:xfrm>
                    <a:prstGeom prst="rect"/>
                  </pic:spPr>
                </pic:pic>
              </a:graphicData>
            </a:graphic>
          </wp:inline>
        </w:drawing>
      </w:r>
    </w:p>
    <w:p>
      <w:pPr>
        <w:pStyle w:val="Caption"/>
        <w:jc w:val="center"/>
      </w:pPr>
      <w:r>
        <w:t>Figure. Held-out accuracy by method on HAM10000.</w:t>
      </w:r>
    </w:p>
    <w:p>
      <w:pPr>
        <w:jc w:val="center"/>
      </w:pPr>
      <w:r>
        <w:drawing>
          <wp:inline xmlns:a="http://schemas.openxmlformats.org/drawingml/2006/main" xmlns:pic="http://schemas.openxmlformats.org/drawingml/2006/picture">
            <wp:extent cx="5989320" cy="2409726"/>
            <wp:docPr id="2" name="Picture 2"/>
            <wp:cNvGraphicFramePr>
              <a:graphicFrameLocks noChangeAspect="1"/>
            </wp:cNvGraphicFramePr>
            <a:graphic>
              <a:graphicData uri="http://schemas.openxmlformats.org/drawingml/2006/picture">
                <pic:pic>
                  <pic:nvPicPr>
                    <pic:cNvPr id="0" name="HAM10000_loss.png"/>
                    <pic:cNvPicPr/>
                  </pic:nvPicPr>
                  <pic:blipFill>
                    <a:blip r:embed="rId10"/>
                    <a:stretch>
                      <a:fillRect/>
                    </a:stretch>
                  </pic:blipFill>
                  <pic:spPr>
                    <a:xfrm>
                      <a:off x="0" y="0"/>
                      <a:ext cx="5989320" cy="2409726"/>
                    </a:xfrm>
                    <a:prstGeom prst="rect"/>
                  </pic:spPr>
                </pic:pic>
              </a:graphicData>
            </a:graphic>
          </wp:inline>
        </w:drawing>
      </w:r>
    </w:p>
    <w:p>
      <w:pPr>
        <w:pStyle w:val="Caption"/>
        <w:jc w:val="center"/>
      </w:pPr>
      <w:r>
        <w:t>Figure. Common held-out classifier log loss on HAM10000.</w:t>
      </w:r>
    </w:p>
    <w:p>
      <w:pPr>
        <w:jc w:val="center"/>
      </w:pPr>
      <w:r>
        <w:drawing>
          <wp:inline xmlns:a="http://schemas.openxmlformats.org/drawingml/2006/main" xmlns:pic="http://schemas.openxmlformats.org/drawingml/2006/picture">
            <wp:extent cx="5989320" cy="4719844"/>
            <wp:docPr id="3" name="Picture 3"/>
            <wp:cNvGraphicFramePr>
              <a:graphicFrameLocks noChangeAspect="1"/>
            </wp:cNvGraphicFramePr>
            <a:graphic>
              <a:graphicData uri="http://schemas.openxmlformats.org/drawingml/2006/picture">
                <pic:pic>
                  <pic:nvPicPr>
                    <pic:cNvPr id="0" name="HAM10000_roc.png"/>
                    <pic:cNvPicPr/>
                  </pic:nvPicPr>
                  <pic:blipFill>
                    <a:blip r:embed="rId11"/>
                    <a:stretch>
                      <a:fillRect/>
                    </a:stretch>
                  </pic:blipFill>
                  <pic:spPr>
                    <a:xfrm>
                      <a:off x="0" y="0"/>
                      <a:ext cx="5989320" cy="4719844"/>
                    </a:xfrm>
                    <a:prstGeom prst="rect"/>
                  </pic:spPr>
                </pic:pic>
              </a:graphicData>
            </a:graphic>
          </wp:inline>
        </w:drawing>
      </w:r>
    </w:p>
    <w:p>
      <w:pPr>
        <w:pStyle w:val="Caption"/>
        <w:jc w:val="center"/>
      </w:pPr>
      <w:r>
        <w:t>Figure. ROC curves for the first shared split on HAM10000; legend gives split-specific AUC.</w:t>
      </w:r>
    </w:p>
    <w:p>
      <w:pPr>
        <w:jc w:val="center"/>
      </w:pPr>
      <w:r>
        <w:drawing>
          <wp:inline xmlns:a="http://schemas.openxmlformats.org/drawingml/2006/main" xmlns:pic="http://schemas.openxmlformats.org/drawingml/2006/picture">
            <wp:extent cx="5989320" cy="5983436"/>
            <wp:docPr id="4" name="Picture 4"/>
            <wp:cNvGraphicFramePr>
              <a:graphicFrameLocks noChangeAspect="1"/>
            </wp:cNvGraphicFramePr>
            <a:graphic>
              <a:graphicData uri="http://schemas.openxmlformats.org/drawingml/2006/picture">
                <pic:pic>
                  <pic:nvPicPr>
                    <pic:cNvPr id="0" name="HAM10000_confusion.png"/>
                    <pic:cNvPicPr/>
                  </pic:nvPicPr>
                  <pic:blipFill>
                    <a:blip r:embed="rId12"/>
                    <a:stretch>
                      <a:fillRect/>
                    </a:stretch>
                  </pic:blipFill>
                  <pic:spPr>
                    <a:xfrm>
                      <a:off x="0" y="0"/>
                      <a:ext cx="5989320" cy="5983436"/>
                    </a:xfrm>
                    <a:prstGeom prst="rect"/>
                  </pic:spPr>
                </pic:pic>
              </a:graphicData>
            </a:graphic>
          </wp:inline>
        </w:drawing>
      </w:r>
    </w:p>
    <w:p>
      <w:pPr>
        <w:pStyle w:val="Caption"/>
        <w:jc w:val="center"/>
      </w:pPr>
      <w:r>
        <w:t>Figure. Held-out confusion matrices for the first shared split on HAM10000.</w:t>
      </w:r>
    </w:p>
    <w:p>
      <w:pPr>
        <w:jc w:val="center"/>
      </w:pPr>
      <w:r>
        <w:drawing>
          <wp:inline xmlns:a="http://schemas.openxmlformats.org/drawingml/2006/main" xmlns:pic="http://schemas.openxmlformats.org/drawingml/2006/picture">
            <wp:extent cx="5989320" cy="2409726"/>
            <wp:docPr id="5" name="Picture 5"/>
            <wp:cNvGraphicFramePr>
              <a:graphicFrameLocks noChangeAspect="1"/>
            </wp:cNvGraphicFramePr>
            <a:graphic>
              <a:graphicData uri="http://schemas.openxmlformats.org/drawingml/2006/picture">
                <pic:pic>
                  <pic:nvPicPr>
                    <pic:cNvPr id="0" name="HAM10000_cpu.png"/>
                    <pic:cNvPicPr/>
                  </pic:nvPicPr>
                  <pic:blipFill>
                    <a:blip r:embed="rId13"/>
                    <a:stretch>
                      <a:fillRect/>
                    </a:stretch>
                  </pic:blipFill>
                  <pic:spPr>
                    <a:xfrm>
                      <a:off x="0" y="0"/>
                      <a:ext cx="5989320" cy="2409726"/>
                    </a:xfrm>
                    <a:prstGeom prst="rect"/>
                  </pic:spPr>
                </pic:pic>
              </a:graphicData>
            </a:graphic>
          </wp:inline>
        </w:drawing>
      </w:r>
    </w:p>
    <w:p>
      <w:pPr>
        <w:pStyle w:val="Caption"/>
        <w:jc w:val="center"/>
      </w:pPr>
      <w:r>
        <w:t>Figure. Mean process CPU time per run on HAM10000, excluding UMAP compilation warmup.</w:t>
      </w:r>
    </w:p>
    <w:p>
      <w:pPr>
        <w:jc w:val="center"/>
      </w:pPr>
      <w:r>
        <w:drawing>
          <wp:inline xmlns:a="http://schemas.openxmlformats.org/drawingml/2006/main" xmlns:pic="http://schemas.openxmlformats.org/drawingml/2006/picture">
            <wp:extent cx="5989320" cy="3134476"/>
            <wp:docPr id="6" name="Picture 6"/>
            <wp:cNvGraphicFramePr>
              <a:graphicFrameLocks noChangeAspect="1"/>
            </wp:cNvGraphicFramePr>
            <a:graphic>
              <a:graphicData uri="http://schemas.openxmlformats.org/drawingml/2006/picture">
                <pic:pic>
                  <pic:nvPicPr>
                    <pic:cNvPr id="0" name="HAM10000_parameters.png"/>
                    <pic:cNvPicPr/>
                  </pic:nvPicPr>
                  <pic:blipFill>
                    <a:blip r:embed="rId14"/>
                    <a:stretch>
                      <a:fillRect/>
                    </a:stretch>
                  </pic:blipFill>
                  <pic:spPr>
                    <a:xfrm>
                      <a:off x="0" y="0"/>
                      <a:ext cx="5989320" cy="3134476"/>
                    </a:xfrm>
                    <a:prstGeom prst="rect"/>
                  </pic:spPr>
                </pic:pic>
              </a:graphicData>
            </a:graphic>
          </wp:inline>
        </w:drawing>
      </w:r>
    </w:p>
    <w:p>
      <w:pPr>
        <w:pStyle w:val="Caption"/>
        <w:jc w:val="center"/>
      </w:pPr>
      <w:r>
        <w:t>Figure. Mean ROC AUC for two prespecified parameter settings on HAM10000.</w:t>
      </w:r>
    </w:p>
    <w:p>
      <w:pPr>
        <w:pStyle w:val="Heading2"/>
      </w:pPr>
      <w:r>
        <w:t>Blood cell measured performance</w:t>
      </w:r>
    </w:p>
    <w:tbl>
      <w:tblPr>
        <w:tblStyle w:val="TableGrid"/>
        <w:tblW w:type="auto" w:w="0"/>
        <w:jc w:val="center"/>
        <w:tblLayout w:type="fixed"/>
        <w:tblLook w:firstColumn="1" w:firstRow="1" w:lastColumn="0" w:lastRow="0" w:noHBand="0" w:noVBand="1" w:val="04A0"/>
      </w:tblPr>
      <w:tblGrid>
        <w:gridCol w:w="1800"/>
        <w:gridCol w:w="1080"/>
        <w:gridCol w:w="1512"/>
        <w:gridCol w:w="1224"/>
        <w:gridCol w:w="1224"/>
        <w:gridCol w:w="792"/>
        <w:gridCol w:w="1080"/>
      </w:tblGrid>
      <w:tr>
        <w:tc>
          <w:tcPr>
            <w:tcW w:type="dxa" w:w="1428"/>
            <w:shd w:fill="153B50"/>
          </w:tcPr>
          <w:p>
            <w:r>
              <w:rPr>
                <w:b/>
                <w:color w:val="FFFFFF"/>
                <w:sz w:val="16"/>
              </w:rPr>
              <w:t>Method</w:t>
            </w:r>
          </w:p>
        </w:tc>
        <w:tc>
          <w:tcPr>
            <w:tcW w:type="dxa" w:w="1428"/>
            <w:shd w:fill="153B50"/>
          </w:tcPr>
          <w:p>
            <w:r>
              <w:rPr>
                <w:b/>
                <w:color w:val="FFFFFF"/>
                <w:sz w:val="16"/>
              </w:rPr>
              <w:t>Accuracy</w:t>
            </w:r>
          </w:p>
        </w:tc>
        <w:tc>
          <w:tcPr>
            <w:tcW w:type="dxa" w:w="1428"/>
            <w:shd w:fill="153B50"/>
          </w:tcPr>
          <w:p>
            <w:r>
              <w:rPr>
                <w:b/>
                <w:color w:val="FFFFFF"/>
                <w:sz w:val="16"/>
              </w:rPr>
              <w:t>Sensitivity / recall</w:t>
            </w:r>
          </w:p>
        </w:tc>
        <w:tc>
          <w:tcPr>
            <w:tcW w:type="dxa" w:w="1428"/>
            <w:shd w:fill="153B50"/>
          </w:tcPr>
          <w:p>
            <w:r>
              <w:rPr>
                <w:b/>
                <w:color w:val="FFFFFF"/>
                <w:sz w:val="16"/>
              </w:rPr>
              <w:t>Specificity</w:t>
            </w:r>
          </w:p>
        </w:tc>
        <w:tc>
          <w:tcPr>
            <w:tcW w:type="dxa" w:w="1428"/>
            <w:shd w:fill="153B50"/>
          </w:tcPr>
          <w:p>
            <w:r>
              <w:rPr>
                <w:b/>
                <w:color w:val="FFFFFF"/>
                <w:sz w:val="16"/>
              </w:rPr>
              <w:t>Precision</w:t>
            </w:r>
          </w:p>
        </w:tc>
        <w:tc>
          <w:tcPr>
            <w:tcW w:type="dxa" w:w="1428"/>
            <w:shd w:fill="153B50"/>
          </w:tcPr>
          <w:p>
            <w:r>
              <w:rPr>
                <w:b/>
                <w:color w:val="FFFFFF"/>
                <w:sz w:val="16"/>
              </w:rPr>
              <w:t>F1</w:t>
            </w:r>
          </w:p>
        </w:tc>
        <w:tc>
          <w:tcPr>
            <w:tcW w:type="dxa" w:w="1428"/>
            <w:shd w:fill="153B50"/>
          </w:tcPr>
          <w:p>
            <w:r>
              <w:rPr>
                <w:b/>
                <w:color w:val="FFFFFF"/>
                <w:sz w:val="16"/>
              </w:rPr>
              <w:t>ROC AUC</w:t>
            </w:r>
          </w:p>
        </w:tc>
      </w:tr>
      <w:tr>
        <w:tc>
          <w:tcPr>
            <w:tcW w:type="dxa" w:w="1800"/>
            <w:vAlign w:val="center"/>
          </w:tcPr>
          <w:p>
            <w:pPr>
              <w:spacing w:after="0"/>
            </w:pPr>
            <w:r>
              <w:rPr>
                <w:sz w:val="15"/>
              </w:rPr>
              <w:t>PCA</w:t>
            </w:r>
          </w:p>
        </w:tc>
        <w:tc>
          <w:tcPr>
            <w:tcW w:type="dxa" w:w="1080"/>
            <w:vAlign w:val="center"/>
          </w:tcPr>
          <w:p>
            <w:pPr>
              <w:spacing w:after="0"/>
            </w:pPr>
            <w:r>
              <w:rPr>
                <w:sz w:val="15"/>
              </w:rPr>
              <w:t>0.567</w:t>
            </w:r>
          </w:p>
        </w:tc>
        <w:tc>
          <w:tcPr>
            <w:tcW w:type="dxa" w:w="1512"/>
            <w:vAlign w:val="center"/>
          </w:tcPr>
          <w:p>
            <w:pPr>
              <w:spacing w:after="0"/>
            </w:pPr>
            <w:r>
              <w:rPr>
                <w:sz w:val="15"/>
              </w:rPr>
              <w:t>0.528</w:t>
            </w:r>
          </w:p>
        </w:tc>
        <w:tc>
          <w:tcPr>
            <w:tcW w:type="dxa" w:w="1224"/>
            <w:vAlign w:val="center"/>
          </w:tcPr>
          <w:p>
            <w:pPr>
              <w:spacing w:after="0"/>
            </w:pPr>
            <w:r>
              <w:rPr>
                <w:sz w:val="15"/>
              </w:rPr>
              <w:t>0.585</w:t>
            </w:r>
          </w:p>
        </w:tc>
        <w:tc>
          <w:tcPr>
            <w:tcW w:type="dxa" w:w="1224"/>
            <w:vAlign w:val="center"/>
          </w:tcPr>
          <w:p>
            <w:pPr>
              <w:spacing w:after="0"/>
            </w:pPr>
            <w:r>
              <w:rPr>
                <w:sz w:val="15"/>
              </w:rPr>
              <w:t>0.378</w:t>
            </w:r>
          </w:p>
        </w:tc>
        <w:tc>
          <w:tcPr>
            <w:tcW w:type="dxa" w:w="792"/>
            <w:vAlign w:val="center"/>
          </w:tcPr>
          <w:p>
            <w:pPr>
              <w:spacing w:after="0"/>
            </w:pPr>
            <w:r>
              <w:rPr>
                <w:sz w:val="15"/>
              </w:rPr>
              <w:t>0.439</w:t>
            </w:r>
          </w:p>
        </w:tc>
        <w:tc>
          <w:tcPr>
            <w:tcW w:type="dxa" w:w="1080"/>
            <w:vAlign w:val="center"/>
          </w:tcPr>
          <w:p>
            <w:pPr>
              <w:spacing w:after="0"/>
            </w:pPr>
            <w:r>
              <w:rPr>
                <w:sz w:val="15"/>
              </w:rPr>
              <w:t>0.630</w:t>
            </w:r>
          </w:p>
        </w:tc>
      </w:tr>
      <w:tr>
        <w:tc>
          <w:tcPr>
            <w:tcW w:type="dxa" w:w="1800"/>
            <w:vAlign w:val="center"/>
            <w:shd w:fill="EDF3F6"/>
          </w:tcPr>
          <w:p>
            <w:pPr>
              <w:spacing w:after="0"/>
            </w:pPr>
            <w:r>
              <w:rPr>
                <w:sz w:val="15"/>
              </w:rPr>
              <w:t>Kernel PCA</w:t>
            </w:r>
          </w:p>
        </w:tc>
        <w:tc>
          <w:tcPr>
            <w:tcW w:type="dxa" w:w="1080"/>
            <w:vAlign w:val="center"/>
            <w:shd w:fill="EDF3F6"/>
          </w:tcPr>
          <w:p>
            <w:pPr>
              <w:spacing w:after="0"/>
            </w:pPr>
            <w:r>
              <w:rPr>
                <w:sz w:val="15"/>
              </w:rPr>
              <w:t>0.552</w:t>
            </w:r>
          </w:p>
        </w:tc>
        <w:tc>
          <w:tcPr>
            <w:tcW w:type="dxa" w:w="1512"/>
            <w:vAlign w:val="center"/>
            <w:shd w:fill="EDF3F6"/>
          </w:tcPr>
          <w:p>
            <w:pPr>
              <w:spacing w:after="0"/>
            </w:pPr>
            <w:r>
              <w:rPr>
                <w:sz w:val="15"/>
              </w:rPr>
              <w:t>0.545</w:t>
            </w:r>
          </w:p>
        </w:tc>
        <w:tc>
          <w:tcPr>
            <w:tcW w:type="dxa" w:w="1224"/>
            <w:vAlign w:val="center"/>
            <w:shd w:fill="EDF3F6"/>
          </w:tcPr>
          <w:p>
            <w:pPr>
              <w:spacing w:after="0"/>
            </w:pPr>
            <w:r>
              <w:rPr>
                <w:sz w:val="15"/>
              </w:rPr>
              <w:t>0.556</w:t>
            </w:r>
          </w:p>
        </w:tc>
        <w:tc>
          <w:tcPr>
            <w:tcW w:type="dxa" w:w="1224"/>
            <w:vAlign w:val="center"/>
            <w:shd w:fill="EDF3F6"/>
          </w:tcPr>
          <w:p>
            <w:pPr>
              <w:spacing w:after="0"/>
            </w:pPr>
            <w:r>
              <w:rPr>
                <w:sz w:val="15"/>
              </w:rPr>
              <w:t>0.369</w:t>
            </w:r>
          </w:p>
        </w:tc>
        <w:tc>
          <w:tcPr>
            <w:tcW w:type="dxa" w:w="792"/>
            <w:vAlign w:val="center"/>
            <w:shd w:fill="EDF3F6"/>
          </w:tcPr>
          <w:p>
            <w:pPr>
              <w:spacing w:after="0"/>
            </w:pPr>
            <w:r>
              <w:rPr>
                <w:sz w:val="15"/>
              </w:rPr>
              <w:t>0.438</w:t>
            </w:r>
          </w:p>
        </w:tc>
        <w:tc>
          <w:tcPr>
            <w:tcW w:type="dxa" w:w="1080"/>
            <w:vAlign w:val="center"/>
            <w:shd w:fill="EDF3F6"/>
          </w:tcPr>
          <w:p>
            <w:pPr>
              <w:spacing w:after="0"/>
            </w:pPr>
            <w:r>
              <w:rPr>
                <w:sz w:val="15"/>
              </w:rPr>
              <w:t>0.624</w:t>
            </w:r>
          </w:p>
        </w:tc>
      </w:tr>
      <w:tr>
        <w:tc>
          <w:tcPr>
            <w:tcW w:type="dxa" w:w="1800"/>
            <w:vAlign w:val="center"/>
          </w:tcPr>
          <w:p>
            <w:pPr>
              <w:spacing w:after="0"/>
            </w:pPr>
            <w:r>
              <w:rPr>
                <w:sz w:val="15"/>
              </w:rPr>
              <w:t>SNE</w:t>
            </w:r>
          </w:p>
        </w:tc>
        <w:tc>
          <w:tcPr>
            <w:tcW w:type="dxa" w:w="1080"/>
            <w:vAlign w:val="center"/>
          </w:tcPr>
          <w:p>
            <w:pPr>
              <w:spacing w:after="0"/>
            </w:pPr>
            <w:r>
              <w:rPr>
                <w:sz w:val="15"/>
              </w:rPr>
              <w:t>0.614</w:t>
            </w:r>
          </w:p>
        </w:tc>
        <w:tc>
          <w:tcPr>
            <w:tcW w:type="dxa" w:w="1512"/>
            <w:vAlign w:val="center"/>
          </w:tcPr>
          <w:p>
            <w:pPr>
              <w:spacing w:after="0"/>
            </w:pPr>
            <w:r>
              <w:rPr>
                <w:sz w:val="15"/>
              </w:rPr>
              <w:t>0.500</w:t>
            </w:r>
          </w:p>
        </w:tc>
        <w:tc>
          <w:tcPr>
            <w:tcW w:type="dxa" w:w="1224"/>
            <w:vAlign w:val="center"/>
          </w:tcPr>
          <w:p>
            <w:pPr>
              <w:spacing w:after="0"/>
            </w:pPr>
            <w:r>
              <w:rPr>
                <w:sz w:val="15"/>
              </w:rPr>
              <w:t>0.668</w:t>
            </w:r>
          </w:p>
        </w:tc>
        <w:tc>
          <w:tcPr>
            <w:tcW w:type="dxa" w:w="1224"/>
            <w:vAlign w:val="center"/>
          </w:tcPr>
          <w:p>
            <w:pPr>
              <w:spacing w:after="0"/>
            </w:pPr>
            <w:r>
              <w:rPr>
                <w:sz w:val="15"/>
              </w:rPr>
              <w:t>0.428</w:t>
            </w:r>
          </w:p>
        </w:tc>
        <w:tc>
          <w:tcPr>
            <w:tcW w:type="dxa" w:w="792"/>
            <w:vAlign w:val="center"/>
          </w:tcPr>
          <w:p>
            <w:pPr>
              <w:spacing w:after="0"/>
            </w:pPr>
            <w:r>
              <w:rPr>
                <w:sz w:val="15"/>
              </w:rPr>
              <w:t>0.458</w:t>
            </w:r>
          </w:p>
        </w:tc>
        <w:tc>
          <w:tcPr>
            <w:tcW w:type="dxa" w:w="1080"/>
            <w:vAlign w:val="center"/>
          </w:tcPr>
          <w:p>
            <w:pPr>
              <w:spacing w:after="0"/>
            </w:pPr>
            <w:r>
              <w:rPr>
                <w:sz w:val="15"/>
              </w:rPr>
              <w:t>0.581</w:t>
            </w:r>
          </w:p>
        </w:tc>
      </w:tr>
      <w:tr>
        <w:tc>
          <w:tcPr>
            <w:tcW w:type="dxa" w:w="1800"/>
            <w:vAlign w:val="center"/>
            <w:shd w:fill="EDF3F6"/>
          </w:tcPr>
          <w:p>
            <w:pPr>
              <w:spacing w:after="0"/>
            </w:pPr>
            <w:r>
              <w:rPr>
                <w:sz w:val="15"/>
              </w:rPr>
              <w:t>t-SNE</w:t>
            </w:r>
          </w:p>
        </w:tc>
        <w:tc>
          <w:tcPr>
            <w:tcW w:type="dxa" w:w="1080"/>
            <w:vAlign w:val="center"/>
            <w:shd w:fill="EDF3F6"/>
          </w:tcPr>
          <w:p>
            <w:pPr>
              <w:spacing w:after="0"/>
            </w:pPr>
            <w:r>
              <w:rPr>
                <w:sz w:val="15"/>
              </w:rPr>
              <w:t>0.512</w:t>
            </w:r>
          </w:p>
        </w:tc>
        <w:tc>
          <w:tcPr>
            <w:tcW w:type="dxa" w:w="1512"/>
            <w:vAlign w:val="center"/>
            <w:shd w:fill="EDF3F6"/>
          </w:tcPr>
          <w:p>
            <w:pPr>
              <w:spacing w:after="0"/>
            </w:pPr>
            <w:r>
              <w:rPr>
                <w:sz w:val="15"/>
              </w:rPr>
              <w:t>0.562</w:t>
            </w:r>
          </w:p>
        </w:tc>
        <w:tc>
          <w:tcPr>
            <w:tcW w:type="dxa" w:w="1224"/>
            <w:vAlign w:val="center"/>
            <w:shd w:fill="EDF3F6"/>
          </w:tcPr>
          <w:p>
            <w:pPr>
              <w:spacing w:after="0"/>
            </w:pPr>
            <w:r>
              <w:rPr>
                <w:sz w:val="15"/>
              </w:rPr>
              <w:t>0.489</w:t>
            </w:r>
          </w:p>
        </w:tc>
        <w:tc>
          <w:tcPr>
            <w:tcW w:type="dxa" w:w="1224"/>
            <w:vAlign w:val="center"/>
            <w:shd w:fill="EDF3F6"/>
          </w:tcPr>
          <w:p>
            <w:pPr>
              <w:spacing w:after="0"/>
            </w:pPr>
            <w:r>
              <w:rPr>
                <w:sz w:val="15"/>
              </w:rPr>
              <w:t>0.341</w:t>
            </w:r>
          </w:p>
        </w:tc>
        <w:tc>
          <w:tcPr>
            <w:tcW w:type="dxa" w:w="792"/>
            <w:vAlign w:val="center"/>
            <w:shd w:fill="EDF3F6"/>
          </w:tcPr>
          <w:p>
            <w:pPr>
              <w:spacing w:after="0"/>
            </w:pPr>
            <w:r>
              <w:rPr>
                <w:sz w:val="15"/>
              </w:rPr>
              <w:t>0.423</w:t>
            </w:r>
          </w:p>
        </w:tc>
        <w:tc>
          <w:tcPr>
            <w:tcW w:type="dxa" w:w="1080"/>
            <w:vAlign w:val="center"/>
            <w:shd w:fill="EDF3F6"/>
          </w:tcPr>
          <w:p>
            <w:pPr>
              <w:spacing w:after="0"/>
            </w:pPr>
            <w:r>
              <w:rPr>
                <w:sz w:val="15"/>
              </w:rPr>
              <w:t>0.622</w:t>
            </w:r>
          </w:p>
        </w:tc>
      </w:tr>
      <w:tr>
        <w:tc>
          <w:tcPr>
            <w:tcW w:type="dxa" w:w="1800"/>
            <w:vAlign w:val="center"/>
          </w:tcPr>
          <w:p>
            <w:pPr>
              <w:spacing w:after="0"/>
            </w:pPr>
            <w:r>
              <w:rPr>
                <w:sz w:val="15"/>
              </w:rPr>
              <w:t>PCA + t-SNE</w:t>
            </w:r>
          </w:p>
        </w:tc>
        <w:tc>
          <w:tcPr>
            <w:tcW w:type="dxa" w:w="1080"/>
            <w:vAlign w:val="center"/>
          </w:tcPr>
          <w:p>
            <w:pPr>
              <w:spacing w:after="0"/>
            </w:pPr>
            <w:r>
              <w:rPr>
                <w:sz w:val="15"/>
              </w:rPr>
              <w:t>0.504</w:t>
            </w:r>
          </w:p>
        </w:tc>
        <w:tc>
          <w:tcPr>
            <w:tcW w:type="dxa" w:w="1512"/>
            <w:vAlign w:val="center"/>
          </w:tcPr>
          <w:p>
            <w:pPr>
              <w:spacing w:after="0"/>
            </w:pPr>
            <w:r>
              <w:rPr>
                <w:sz w:val="15"/>
              </w:rPr>
              <w:t>0.552</w:t>
            </w:r>
          </w:p>
        </w:tc>
        <w:tc>
          <w:tcPr>
            <w:tcW w:type="dxa" w:w="1224"/>
            <w:vAlign w:val="center"/>
          </w:tcPr>
          <w:p>
            <w:pPr>
              <w:spacing w:after="0"/>
            </w:pPr>
            <w:r>
              <w:rPr>
                <w:sz w:val="15"/>
              </w:rPr>
              <w:t>0.482</w:t>
            </w:r>
          </w:p>
        </w:tc>
        <w:tc>
          <w:tcPr>
            <w:tcW w:type="dxa" w:w="1224"/>
            <w:vAlign w:val="center"/>
          </w:tcPr>
          <w:p>
            <w:pPr>
              <w:spacing w:after="0"/>
            </w:pPr>
            <w:r>
              <w:rPr>
                <w:sz w:val="15"/>
              </w:rPr>
              <w:t>0.336</w:t>
            </w:r>
          </w:p>
        </w:tc>
        <w:tc>
          <w:tcPr>
            <w:tcW w:type="dxa" w:w="792"/>
            <w:vAlign w:val="center"/>
          </w:tcPr>
          <w:p>
            <w:pPr>
              <w:spacing w:after="0"/>
            </w:pPr>
            <w:r>
              <w:rPr>
                <w:sz w:val="15"/>
              </w:rPr>
              <w:t>0.416</w:t>
            </w:r>
          </w:p>
        </w:tc>
        <w:tc>
          <w:tcPr>
            <w:tcW w:type="dxa" w:w="1080"/>
            <w:vAlign w:val="center"/>
          </w:tcPr>
          <w:p>
            <w:pPr>
              <w:spacing w:after="0"/>
            </w:pPr>
            <w:r>
              <w:rPr>
                <w:sz w:val="15"/>
              </w:rPr>
              <w:t>0.616</w:t>
            </w:r>
          </w:p>
        </w:tc>
      </w:tr>
      <w:tr>
        <w:tc>
          <w:tcPr>
            <w:tcW w:type="dxa" w:w="1800"/>
            <w:vAlign w:val="center"/>
            <w:shd w:fill="EDF3F6"/>
          </w:tcPr>
          <w:p>
            <w:pPr>
              <w:spacing w:after="0"/>
            </w:pPr>
            <w:r>
              <w:rPr>
                <w:sz w:val="15"/>
              </w:rPr>
              <w:t>UMAP</w:t>
            </w:r>
          </w:p>
        </w:tc>
        <w:tc>
          <w:tcPr>
            <w:tcW w:type="dxa" w:w="1080"/>
            <w:vAlign w:val="center"/>
            <w:shd w:fill="EDF3F6"/>
          </w:tcPr>
          <w:p>
            <w:pPr>
              <w:spacing w:after="0"/>
            </w:pPr>
            <w:r>
              <w:rPr>
                <w:sz w:val="15"/>
              </w:rPr>
              <w:t>0.566</w:t>
            </w:r>
          </w:p>
        </w:tc>
        <w:tc>
          <w:tcPr>
            <w:tcW w:type="dxa" w:w="1512"/>
            <w:vAlign w:val="center"/>
            <w:shd w:fill="EDF3F6"/>
          </w:tcPr>
          <w:p>
            <w:pPr>
              <w:spacing w:after="0"/>
            </w:pPr>
            <w:r>
              <w:rPr>
                <w:sz w:val="15"/>
              </w:rPr>
              <w:t>0.476</w:t>
            </w:r>
          </w:p>
        </w:tc>
        <w:tc>
          <w:tcPr>
            <w:tcW w:type="dxa" w:w="1224"/>
            <w:vAlign w:val="center"/>
            <w:shd w:fill="EDF3F6"/>
          </w:tcPr>
          <w:p>
            <w:pPr>
              <w:spacing w:after="0"/>
            </w:pPr>
            <w:r>
              <w:rPr>
                <w:sz w:val="15"/>
              </w:rPr>
              <w:t>0.608</w:t>
            </w:r>
          </w:p>
        </w:tc>
        <w:tc>
          <w:tcPr>
            <w:tcW w:type="dxa" w:w="1224"/>
            <w:vAlign w:val="center"/>
            <w:shd w:fill="EDF3F6"/>
          </w:tcPr>
          <w:p>
            <w:pPr>
              <w:spacing w:after="0"/>
            </w:pPr>
            <w:r>
              <w:rPr>
                <w:sz w:val="15"/>
              </w:rPr>
              <w:t>0.364</w:t>
            </w:r>
          </w:p>
        </w:tc>
        <w:tc>
          <w:tcPr>
            <w:tcW w:type="dxa" w:w="792"/>
            <w:vAlign w:val="center"/>
            <w:shd w:fill="EDF3F6"/>
          </w:tcPr>
          <w:p>
            <w:pPr>
              <w:spacing w:after="0"/>
            </w:pPr>
            <w:r>
              <w:rPr>
                <w:sz w:val="15"/>
              </w:rPr>
              <w:t>0.410</w:t>
            </w:r>
          </w:p>
        </w:tc>
        <w:tc>
          <w:tcPr>
            <w:tcW w:type="dxa" w:w="1080"/>
            <w:vAlign w:val="center"/>
            <w:shd w:fill="EDF3F6"/>
          </w:tcPr>
          <w:p>
            <w:pPr>
              <w:spacing w:after="0"/>
            </w:pPr>
            <w:r>
              <w:rPr>
                <w:sz w:val="15"/>
              </w:rPr>
              <w:t>0.600</w:t>
            </w:r>
          </w:p>
        </w:tc>
      </w:tr>
      <w:tr>
        <w:tc>
          <w:tcPr>
            <w:tcW w:type="dxa" w:w="1800"/>
            <w:vAlign w:val="center"/>
          </w:tcPr>
          <w:p>
            <w:pPr>
              <w:spacing w:after="0"/>
            </w:pPr>
            <w:r>
              <w:rPr>
                <w:sz w:val="15"/>
              </w:rPr>
              <w:t>MDS</w:t>
            </w:r>
          </w:p>
        </w:tc>
        <w:tc>
          <w:tcPr>
            <w:tcW w:type="dxa" w:w="1080"/>
            <w:vAlign w:val="center"/>
          </w:tcPr>
          <w:p>
            <w:pPr>
              <w:spacing w:after="0"/>
            </w:pPr>
            <w:r>
              <w:rPr>
                <w:sz w:val="15"/>
              </w:rPr>
              <w:t>0.474</w:t>
            </w:r>
          </w:p>
        </w:tc>
        <w:tc>
          <w:tcPr>
            <w:tcW w:type="dxa" w:w="1512"/>
            <w:vAlign w:val="center"/>
          </w:tcPr>
          <w:p>
            <w:pPr>
              <w:spacing w:after="0"/>
            </w:pPr>
            <w:r>
              <w:rPr>
                <w:sz w:val="15"/>
              </w:rPr>
              <w:t>0.465</w:t>
            </w:r>
          </w:p>
        </w:tc>
        <w:tc>
          <w:tcPr>
            <w:tcW w:type="dxa" w:w="1224"/>
            <w:vAlign w:val="center"/>
          </w:tcPr>
          <w:p>
            <w:pPr>
              <w:spacing w:after="0"/>
            </w:pPr>
            <w:r>
              <w:rPr>
                <w:sz w:val="15"/>
              </w:rPr>
              <w:t>0.479</w:t>
            </w:r>
          </w:p>
        </w:tc>
        <w:tc>
          <w:tcPr>
            <w:tcW w:type="dxa" w:w="1224"/>
            <w:vAlign w:val="center"/>
          </w:tcPr>
          <w:p>
            <w:pPr>
              <w:spacing w:after="0"/>
            </w:pPr>
            <w:r>
              <w:rPr>
                <w:sz w:val="15"/>
              </w:rPr>
              <w:t>0.313</w:t>
            </w:r>
          </w:p>
        </w:tc>
        <w:tc>
          <w:tcPr>
            <w:tcW w:type="dxa" w:w="792"/>
            <w:vAlign w:val="center"/>
          </w:tcPr>
          <w:p>
            <w:pPr>
              <w:spacing w:after="0"/>
            </w:pPr>
            <w:r>
              <w:rPr>
                <w:sz w:val="15"/>
              </w:rPr>
              <w:t>0.368</w:t>
            </w:r>
          </w:p>
        </w:tc>
        <w:tc>
          <w:tcPr>
            <w:tcW w:type="dxa" w:w="1080"/>
            <w:vAlign w:val="center"/>
          </w:tcPr>
          <w:p>
            <w:pPr>
              <w:spacing w:after="0"/>
            </w:pPr>
            <w:r>
              <w:rPr>
                <w:sz w:val="15"/>
              </w:rPr>
              <w:t>0.562</w:t>
            </w:r>
          </w:p>
        </w:tc>
      </w:tr>
      <w:tr>
        <w:tc>
          <w:tcPr>
            <w:tcW w:type="dxa" w:w="1800"/>
            <w:vAlign w:val="center"/>
            <w:shd w:fill="EDF3F6"/>
          </w:tcPr>
          <w:p>
            <w:pPr>
              <w:spacing w:after="0"/>
            </w:pPr>
            <w:r>
              <w:rPr>
                <w:sz w:val="15"/>
              </w:rPr>
              <w:t>PCoA</w:t>
            </w:r>
          </w:p>
        </w:tc>
        <w:tc>
          <w:tcPr>
            <w:tcW w:type="dxa" w:w="1080"/>
            <w:vAlign w:val="center"/>
            <w:shd w:fill="EDF3F6"/>
          </w:tcPr>
          <w:p>
            <w:pPr>
              <w:spacing w:after="0"/>
            </w:pPr>
            <w:r>
              <w:rPr>
                <w:sz w:val="15"/>
              </w:rPr>
              <w:t>0.518</w:t>
            </w:r>
          </w:p>
        </w:tc>
        <w:tc>
          <w:tcPr>
            <w:tcW w:type="dxa" w:w="1512"/>
            <w:vAlign w:val="center"/>
            <w:shd w:fill="EDF3F6"/>
          </w:tcPr>
          <w:p>
            <w:pPr>
              <w:spacing w:after="0"/>
            </w:pPr>
            <w:r>
              <w:rPr>
                <w:sz w:val="15"/>
              </w:rPr>
              <w:t>0.545</w:t>
            </w:r>
          </w:p>
        </w:tc>
        <w:tc>
          <w:tcPr>
            <w:tcW w:type="dxa" w:w="1224"/>
            <w:vAlign w:val="center"/>
            <w:shd w:fill="EDF3F6"/>
          </w:tcPr>
          <w:p>
            <w:pPr>
              <w:spacing w:after="0"/>
            </w:pPr>
            <w:r>
              <w:rPr>
                <w:sz w:val="15"/>
              </w:rPr>
              <w:t>0.505</w:t>
            </w:r>
          </w:p>
        </w:tc>
        <w:tc>
          <w:tcPr>
            <w:tcW w:type="dxa" w:w="1224"/>
            <w:vAlign w:val="center"/>
            <w:shd w:fill="EDF3F6"/>
          </w:tcPr>
          <w:p>
            <w:pPr>
              <w:spacing w:after="0"/>
            </w:pPr>
            <w:r>
              <w:rPr>
                <w:sz w:val="15"/>
              </w:rPr>
              <w:t>0.351</w:t>
            </w:r>
          </w:p>
        </w:tc>
        <w:tc>
          <w:tcPr>
            <w:tcW w:type="dxa" w:w="792"/>
            <w:vAlign w:val="center"/>
            <w:shd w:fill="EDF3F6"/>
          </w:tcPr>
          <w:p>
            <w:pPr>
              <w:spacing w:after="0"/>
            </w:pPr>
            <w:r>
              <w:rPr>
                <w:sz w:val="15"/>
              </w:rPr>
              <w:t>0.424</w:t>
            </w:r>
          </w:p>
        </w:tc>
        <w:tc>
          <w:tcPr>
            <w:tcW w:type="dxa" w:w="1080"/>
            <w:vAlign w:val="center"/>
            <w:shd w:fill="EDF3F6"/>
          </w:tcPr>
          <w:p>
            <w:pPr>
              <w:spacing w:after="0"/>
            </w:pPr>
            <w:r>
              <w:rPr>
                <w:sz w:val="15"/>
              </w:rPr>
              <w:t>0.616</w:t>
            </w:r>
          </w:p>
        </w:tc>
      </w:tr>
      <w:tr>
        <w:tc>
          <w:tcPr>
            <w:tcW w:type="dxa" w:w="1800"/>
            <w:vAlign w:val="center"/>
          </w:tcPr>
          <w:p>
            <w:pPr>
              <w:spacing w:after="0"/>
            </w:pPr>
            <w:r>
              <w:rPr>
                <w:sz w:val="15"/>
              </w:rPr>
              <w:t>Isomap</w:t>
            </w:r>
          </w:p>
        </w:tc>
        <w:tc>
          <w:tcPr>
            <w:tcW w:type="dxa" w:w="1080"/>
            <w:vAlign w:val="center"/>
          </w:tcPr>
          <w:p>
            <w:pPr>
              <w:spacing w:after="0"/>
            </w:pPr>
            <w:r>
              <w:rPr>
                <w:sz w:val="15"/>
              </w:rPr>
              <w:t>0.596</w:t>
            </w:r>
          </w:p>
        </w:tc>
        <w:tc>
          <w:tcPr>
            <w:tcW w:type="dxa" w:w="1512"/>
            <w:vAlign w:val="center"/>
          </w:tcPr>
          <w:p>
            <w:pPr>
              <w:spacing w:after="0"/>
            </w:pPr>
            <w:r>
              <w:rPr>
                <w:sz w:val="15"/>
              </w:rPr>
              <w:t>0.420</w:t>
            </w:r>
          </w:p>
        </w:tc>
        <w:tc>
          <w:tcPr>
            <w:tcW w:type="dxa" w:w="1224"/>
            <w:vAlign w:val="center"/>
          </w:tcPr>
          <w:p>
            <w:pPr>
              <w:spacing w:after="0"/>
            </w:pPr>
            <w:r>
              <w:rPr>
                <w:sz w:val="15"/>
              </w:rPr>
              <w:t>0.678</w:t>
            </w:r>
          </w:p>
        </w:tc>
        <w:tc>
          <w:tcPr>
            <w:tcW w:type="dxa" w:w="1224"/>
            <w:vAlign w:val="center"/>
          </w:tcPr>
          <w:p>
            <w:pPr>
              <w:spacing w:after="0"/>
            </w:pPr>
            <w:r>
              <w:rPr>
                <w:sz w:val="15"/>
              </w:rPr>
              <w:t>0.382</w:t>
            </w:r>
          </w:p>
        </w:tc>
        <w:tc>
          <w:tcPr>
            <w:tcW w:type="dxa" w:w="792"/>
            <w:vAlign w:val="center"/>
          </w:tcPr>
          <w:p>
            <w:pPr>
              <w:spacing w:after="0"/>
            </w:pPr>
            <w:r>
              <w:rPr>
                <w:sz w:val="15"/>
              </w:rPr>
              <w:t>0.396</w:t>
            </w:r>
          </w:p>
        </w:tc>
        <w:tc>
          <w:tcPr>
            <w:tcW w:type="dxa" w:w="1080"/>
            <w:vAlign w:val="center"/>
          </w:tcPr>
          <w:p>
            <w:pPr>
              <w:spacing w:after="0"/>
            </w:pPr>
            <w:r>
              <w:rPr>
                <w:sz w:val="15"/>
              </w:rPr>
              <w:t>0.582</w:t>
            </w:r>
          </w:p>
        </w:tc>
      </w:tr>
    </w:tbl>
    <w:p/>
    <w:tbl>
      <w:tblPr>
        <w:tblStyle w:val="TableGrid"/>
        <w:tblW w:type="auto" w:w="0"/>
        <w:jc w:val="center"/>
        <w:tblLayout w:type="fixed"/>
        <w:tblLook w:firstColumn="1" w:firstRow="1" w:lastColumn="0" w:lastRow="0" w:noHBand="0" w:noVBand="1" w:val="04A0"/>
      </w:tblPr>
      <w:tblGrid>
        <w:gridCol w:w="1800"/>
        <w:gridCol w:w="936"/>
        <w:gridCol w:w="936"/>
        <w:gridCol w:w="1512"/>
        <w:gridCol w:w="1512"/>
        <w:gridCol w:w="1152"/>
        <w:gridCol w:w="936"/>
      </w:tblGrid>
      <w:tr>
        <w:tc>
          <w:tcPr>
            <w:tcW w:type="dxa" w:w="1428"/>
            <w:shd w:fill="153B50"/>
          </w:tcPr>
          <w:p>
            <w:r>
              <w:rPr>
                <w:b/>
                <w:color w:val="FFFFFF"/>
                <w:sz w:val="16"/>
              </w:rPr>
              <w:t>Method</w:t>
            </w:r>
          </w:p>
        </w:tc>
        <w:tc>
          <w:tcPr>
            <w:tcW w:type="dxa" w:w="1428"/>
            <w:shd w:fill="153B50"/>
          </w:tcPr>
          <w:p>
            <w:r>
              <w:rPr>
                <w:b/>
                <w:color w:val="FFFFFF"/>
                <w:sz w:val="16"/>
              </w:rPr>
              <w:t>Error</w:t>
            </w:r>
          </w:p>
        </w:tc>
        <w:tc>
          <w:tcPr>
            <w:tcW w:type="dxa" w:w="1428"/>
            <w:shd w:fill="153B50"/>
          </w:tcPr>
          <w:p>
            <w:r>
              <w:rPr>
                <w:b/>
                <w:color w:val="FFFFFF"/>
                <w:sz w:val="16"/>
              </w:rPr>
              <w:t>Kappa</w:t>
            </w:r>
          </w:p>
        </w:tc>
        <w:tc>
          <w:tcPr>
            <w:tcW w:type="dxa" w:w="1428"/>
            <w:shd w:fill="153B50"/>
          </w:tcPr>
          <w:p>
            <w:r>
              <w:rPr>
                <w:b/>
                <w:color w:val="FFFFFF"/>
                <w:sz w:val="16"/>
              </w:rPr>
              <w:t>Informedness</w:t>
            </w:r>
          </w:p>
        </w:tc>
        <w:tc>
          <w:tcPr>
            <w:tcW w:type="dxa" w:w="1428"/>
            <w:shd w:fill="153B50"/>
          </w:tcPr>
          <w:p>
            <w:r>
              <w:rPr>
                <w:b/>
                <w:color w:val="FFFFFF"/>
                <w:sz w:val="16"/>
              </w:rPr>
              <w:t>Markedness</w:t>
            </w:r>
          </w:p>
        </w:tc>
        <w:tc>
          <w:tcPr>
            <w:tcW w:type="dxa" w:w="1428"/>
            <w:shd w:fill="153B50"/>
          </w:tcPr>
          <w:p>
            <w:r>
              <w:rPr>
                <w:b/>
                <w:color w:val="FFFFFF"/>
                <w:sz w:val="16"/>
              </w:rPr>
              <w:t>Log loss</w:t>
            </w:r>
          </w:p>
        </w:tc>
        <w:tc>
          <w:tcPr>
            <w:tcW w:type="dxa" w:w="1428"/>
            <w:shd w:fill="153B50"/>
          </w:tcPr>
          <w:p>
            <w:r>
              <w:rPr>
                <w:b/>
                <w:color w:val="FFFFFF"/>
                <w:sz w:val="16"/>
              </w:rPr>
              <w:t>CPU s</w:t>
            </w:r>
          </w:p>
        </w:tc>
      </w:tr>
      <w:tr>
        <w:tc>
          <w:tcPr>
            <w:tcW w:type="dxa" w:w="1800"/>
            <w:vAlign w:val="center"/>
          </w:tcPr>
          <w:p>
            <w:pPr>
              <w:spacing w:after="0"/>
            </w:pPr>
            <w:r>
              <w:rPr>
                <w:sz w:val="15"/>
              </w:rPr>
              <w:t>PCA</w:t>
            </w:r>
          </w:p>
        </w:tc>
        <w:tc>
          <w:tcPr>
            <w:tcW w:type="dxa" w:w="936"/>
            <w:vAlign w:val="center"/>
          </w:tcPr>
          <w:p>
            <w:pPr>
              <w:spacing w:after="0"/>
            </w:pPr>
            <w:r>
              <w:rPr>
                <w:sz w:val="15"/>
              </w:rPr>
              <w:t>0.433</w:t>
            </w:r>
          </w:p>
        </w:tc>
        <w:tc>
          <w:tcPr>
            <w:tcW w:type="dxa" w:w="936"/>
            <w:vAlign w:val="center"/>
          </w:tcPr>
          <w:p>
            <w:pPr>
              <w:spacing w:after="0"/>
            </w:pPr>
            <w:r>
              <w:rPr>
                <w:sz w:val="15"/>
              </w:rPr>
              <w:t>0.104</w:t>
            </w:r>
          </w:p>
        </w:tc>
        <w:tc>
          <w:tcPr>
            <w:tcW w:type="dxa" w:w="1512"/>
            <w:vAlign w:val="center"/>
          </w:tcPr>
          <w:p>
            <w:pPr>
              <w:spacing w:after="0"/>
            </w:pPr>
            <w:r>
              <w:rPr>
                <w:sz w:val="15"/>
              </w:rPr>
              <w:t>0.113</w:t>
            </w:r>
          </w:p>
        </w:tc>
        <w:tc>
          <w:tcPr>
            <w:tcW w:type="dxa" w:w="1512"/>
            <w:vAlign w:val="center"/>
          </w:tcPr>
          <w:p>
            <w:pPr>
              <w:spacing w:after="0"/>
            </w:pPr>
            <w:r>
              <w:rPr>
                <w:sz w:val="15"/>
              </w:rPr>
              <w:t>0.101</w:t>
            </w:r>
          </w:p>
        </w:tc>
        <w:tc>
          <w:tcPr>
            <w:tcW w:type="dxa" w:w="1152"/>
            <w:vAlign w:val="center"/>
          </w:tcPr>
          <w:p>
            <w:pPr>
              <w:spacing w:after="0"/>
            </w:pPr>
            <w:r>
              <w:rPr>
                <w:sz w:val="15"/>
              </w:rPr>
              <w:t>0.645</w:t>
            </w:r>
          </w:p>
        </w:tc>
        <w:tc>
          <w:tcPr>
            <w:tcW w:type="dxa" w:w="936"/>
            <w:vAlign w:val="center"/>
          </w:tcPr>
          <w:p>
            <w:pPr>
              <w:spacing w:after="0"/>
            </w:pPr>
            <w:r>
              <w:rPr>
                <w:sz w:val="15"/>
              </w:rPr>
              <w:t>0.02</w:t>
            </w:r>
          </w:p>
        </w:tc>
      </w:tr>
      <w:tr>
        <w:tc>
          <w:tcPr>
            <w:tcW w:type="dxa" w:w="1800"/>
            <w:vAlign w:val="center"/>
            <w:shd w:fill="EDF3F6"/>
          </w:tcPr>
          <w:p>
            <w:pPr>
              <w:spacing w:after="0"/>
            </w:pPr>
            <w:r>
              <w:rPr>
                <w:sz w:val="15"/>
              </w:rPr>
              <w:t>Kernel PCA</w:t>
            </w:r>
          </w:p>
        </w:tc>
        <w:tc>
          <w:tcPr>
            <w:tcW w:type="dxa" w:w="936"/>
            <w:vAlign w:val="center"/>
            <w:shd w:fill="EDF3F6"/>
          </w:tcPr>
          <w:p>
            <w:pPr>
              <w:spacing w:after="0"/>
            </w:pPr>
            <w:r>
              <w:rPr>
                <w:sz w:val="15"/>
              </w:rPr>
              <w:t>0.448</w:t>
            </w:r>
          </w:p>
        </w:tc>
        <w:tc>
          <w:tcPr>
            <w:tcW w:type="dxa" w:w="936"/>
            <w:vAlign w:val="center"/>
            <w:shd w:fill="EDF3F6"/>
          </w:tcPr>
          <w:p>
            <w:pPr>
              <w:spacing w:after="0"/>
            </w:pPr>
            <w:r>
              <w:rPr>
                <w:sz w:val="15"/>
              </w:rPr>
              <w:t>0.091</w:t>
            </w:r>
          </w:p>
        </w:tc>
        <w:tc>
          <w:tcPr>
            <w:tcW w:type="dxa" w:w="1512"/>
            <w:vAlign w:val="center"/>
            <w:shd w:fill="EDF3F6"/>
          </w:tcPr>
          <w:p>
            <w:pPr>
              <w:spacing w:after="0"/>
            </w:pPr>
            <w:r>
              <w:rPr>
                <w:sz w:val="15"/>
              </w:rPr>
              <w:t>0.101</w:t>
            </w:r>
          </w:p>
        </w:tc>
        <w:tc>
          <w:tcPr>
            <w:tcW w:type="dxa" w:w="1512"/>
            <w:vAlign w:val="center"/>
            <w:shd w:fill="EDF3F6"/>
          </w:tcPr>
          <w:p>
            <w:pPr>
              <w:spacing w:after="0"/>
            </w:pPr>
            <w:r>
              <w:rPr>
                <w:sz w:val="15"/>
              </w:rPr>
              <w:t>0.090</w:t>
            </w:r>
          </w:p>
        </w:tc>
        <w:tc>
          <w:tcPr>
            <w:tcW w:type="dxa" w:w="1152"/>
            <w:vAlign w:val="center"/>
            <w:shd w:fill="EDF3F6"/>
          </w:tcPr>
          <w:p>
            <w:pPr>
              <w:spacing w:after="0"/>
            </w:pPr>
            <w:r>
              <w:rPr>
                <w:sz w:val="15"/>
              </w:rPr>
              <w:t>0.648</w:t>
            </w:r>
          </w:p>
        </w:tc>
        <w:tc>
          <w:tcPr>
            <w:tcW w:type="dxa" w:w="936"/>
            <w:vAlign w:val="center"/>
            <w:shd w:fill="EDF3F6"/>
          </w:tcPr>
          <w:p>
            <w:pPr>
              <w:spacing w:after="0"/>
            </w:pPr>
            <w:r>
              <w:rPr>
                <w:sz w:val="15"/>
              </w:rPr>
              <w:t>0.04</w:t>
            </w:r>
          </w:p>
        </w:tc>
      </w:tr>
      <w:tr>
        <w:tc>
          <w:tcPr>
            <w:tcW w:type="dxa" w:w="1800"/>
            <w:vAlign w:val="center"/>
          </w:tcPr>
          <w:p>
            <w:pPr>
              <w:spacing w:after="0"/>
            </w:pPr>
            <w:r>
              <w:rPr>
                <w:sz w:val="15"/>
              </w:rPr>
              <w:t>SNE</w:t>
            </w:r>
          </w:p>
        </w:tc>
        <w:tc>
          <w:tcPr>
            <w:tcW w:type="dxa" w:w="936"/>
            <w:vAlign w:val="center"/>
          </w:tcPr>
          <w:p>
            <w:pPr>
              <w:spacing w:after="0"/>
            </w:pPr>
            <w:r>
              <w:rPr>
                <w:sz w:val="15"/>
              </w:rPr>
              <w:t>0.386</w:t>
            </w:r>
          </w:p>
        </w:tc>
        <w:tc>
          <w:tcPr>
            <w:tcW w:type="dxa" w:w="936"/>
            <w:vAlign w:val="center"/>
          </w:tcPr>
          <w:p>
            <w:pPr>
              <w:spacing w:after="0"/>
            </w:pPr>
            <w:r>
              <w:rPr>
                <w:sz w:val="15"/>
              </w:rPr>
              <w:t>0.165</w:t>
            </w:r>
          </w:p>
        </w:tc>
        <w:tc>
          <w:tcPr>
            <w:tcW w:type="dxa" w:w="1512"/>
            <w:vAlign w:val="center"/>
          </w:tcPr>
          <w:p>
            <w:pPr>
              <w:spacing w:after="0"/>
            </w:pPr>
            <w:r>
              <w:rPr>
                <w:sz w:val="15"/>
              </w:rPr>
              <w:t>0.168</w:t>
            </w:r>
          </w:p>
        </w:tc>
        <w:tc>
          <w:tcPr>
            <w:tcW w:type="dxa" w:w="1512"/>
            <w:vAlign w:val="center"/>
          </w:tcPr>
          <w:p>
            <w:pPr>
              <w:spacing w:after="0"/>
            </w:pPr>
            <w:r>
              <w:rPr>
                <w:sz w:val="15"/>
              </w:rPr>
              <w:t>0.165</w:t>
            </w:r>
          </w:p>
        </w:tc>
        <w:tc>
          <w:tcPr>
            <w:tcW w:type="dxa" w:w="1152"/>
            <w:vAlign w:val="center"/>
          </w:tcPr>
          <w:p>
            <w:pPr>
              <w:spacing w:after="0"/>
            </w:pPr>
            <w:r>
              <w:rPr>
                <w:sz w:val="15"/>
              </w:rPr>
              <w:t>0.642</w:t>
            </w:r>
          </w:p>
        </w:tc>
        <w:tc>
          <w:tcPr>
            <w:tcW w:type="dxa" w:w="936"/>
            <w:vAlign w:val="center"/>
          </w:tcPr>
          <w:p>
            <w:pPr>
              <w:spacing w:after="0"/>
            </w:pPr>
            <w:r>
              <w:rPr>
                <w:sz w:val="15"/>
              </w:rPr>
              <w:t>6.10</w:t>
            </w:r>
          </w:p>
        </w:tc>
      </w:tr>
      <w:tr>
        <w:tc>
          <w:tcPr>
            <w:tcW w:type="dxa" w:w="1800"/>
            <w:vAlign w:val="center"/>
            <w:shd w:fill="EDF3F6"/>
          </w:tcPr>
          <w:p>
            <w:pPr>
              <w:spacing w:after="0"/>
            </w:pPr>
            <w:r>
              <w:rPr>
                <w:sz w:val="15"/>
              </w:rPr>
              <w:t>t-SNE</w:t>
            </w:r>
          </w:p>
        </w:tc>
        <w:tc>
          <w:tcPr>
            <w:tcW w:type="dxa" w:w="936"/>
            <w:vAlign w:val="center"/>
            <w:shd w:fill="EDF3F6"/>
          </w:tcPr>
          <w:p>
            <w:pPr>
              <w:spacing w:after="0"/>
            </w:pPr>
            <w:r>
              <w:rPr>
                <w:sz w:val="15"/>
              </w:rPr>
              <w:t>0.488</w:t>
            </w:r>
          </w:p>
        </w:tc>
        <w:tc>
          <w:tcPr>
            <w:tcW w:type="dxa" w:w="936"/>
            <w:vAlign w:val="center"/>
            <w:shd w:fill="EDF3F6"/>
          </w:tcPr>
          <w:p>
            <w:pPr>
              <w:spacing w:after="0"/>
            </w:pPr>
            <w:r>
              <w:rPr>
                <w:sz w:val="15"/>
              </w:rPr>
              <w:t>0.044</w:t>
            </w:r>
          </w:p>
        </w:tc>
        <w:tc>
          <w:tcPr>
            <w:tcW w:type="dxa" w:w="1512"/>
            <w:vAlign w:val="center"/>
            <w:shd w:fill="EDF3F6"/>
          </w:tcPr>
          <w:p>
            <w:pPr>
              <w:spacing w:after="0"/>
            </w:pPr>
            <w:r>
              <w:rPr>
                <w:sz w:val="15"/>
              </w:rPr>
              <w:t>0.051</w:t>
            </w:r>
          </w:p>
        </w:tc>
        <w:tc>
          <w:tcPr>
            <w:tcW w:type="dxa" w:w="1512"/>
            <w:vAlign w:val="center"/>
            <w:shd w:fill="EDF3F6"/>
          </w:tcPr>
          <w:p>
            <w:pPr>
              <w:spacing w:after="0"/>
            </w:pPr>
            <w:r>
              <w:rPr>
                <w:sz w:val="15"/>
              </w:rPr>
              <w:t>0.046</w:t>
            </w:r>
          </w:p>
        </w:tc>
        <w:tc>
          <w:tcPr>
            <w:tcW w:type="dxa" w:w="1152"/>
            <w:vAlign w:val="center"/>
            <w:shd w:fill="EDF3F6"/>
          </w:tcPr>
          <w:p>
            <w:pPr>
              <w:spacing w:after="0"/>
            </w:pPr>
            <w:r>
              <w:rPr>
                <w:sz w:val="15"/>
              </w:rPr>
              <w:t>0.663</w:t>
            </w:r>
          </w:p>
        </w:tc>
        <w:tc>
          <w:tcPr>
            <w:tcW w:type="dxa" w:w="936"/>
            <w:vAlign w:val="center"/>
            <w:shd w:fill="EDF3F6"/>
          </w:tcPr>
          <w:p>
            <w:pPr>
              <w:spacing w:after="0"/>
            </w:pPr>
            <w:r>
              <w:rPr>
                <w:sz w:val="15"/>
              </w:rPr>
              <w:t>1.92</w:t>
            </w:r>
          </w:p>
        </w:tc>
      </w:tr>
      <w:tr>
        <w:tc>
          <w:tcPr>
            <w:tcW w:type="dxa" w:w="1800"/>
            <w:vAlign w:val="center"/>
          </w:tcPr>
          <w:p>
            <w:pPr>
              <w:spacing w:after="0"/>
            </w:pPr>
            <w:r>
              <w:rPr>
                <w:sz w:val="15"/>
              </w:rPr>
              <w:t>PCA + t-SNE</w:t>
            </w:r>
          </w:p>
        </w:tc>
        <w:tc>
          <w:tcPr>
            <w:tcW w:type="dxa" w:w="936"/>
            <w:vAlign w:val="center"/>
          </w:tcPr>
          <w:p>
            <w:pPr>
              <w:spacing w:after="0"/>
            </w:pPr>
            <w:r>
              <w:rPr>
                <w:sz w:val="15"/>
              </w:rPr>
              <w:t>0.496</w:t>
            </w:r>
          </w:p>
        </w:tc>
        <w:tc>
          <w:tcPr>
            <w:tcW w:type="dxa" w:w="936"/>
            <w:vAlign w:val="center"/>
          </w:tcPr>
          <w:p>
            <w:pPr>
              <w:spacing w:after="0"/>
            </w:pPr>
            <w:r>
              <w:rPr>
                <w:sz w:val="15"/>
              </w:rPr>
              <w:t>0.030</w:t>
            </w:r>
          </w:p>
        </w:tc>
        <w:tc>
          <w:tcPr>
            <w:tcW w:type="dxa" w:w="1512"/>
            <w:vAlign w:val="center"/>
          </w:tcPr>
          <w:p>
            <w:pPr>
              <w:spacing w:after="0"/>
            </w:pPr>
            <w:r>
              <w:rPr>
                <w:sz w:val="15"/>
              </w:rPr>
              <w:t>0.034</w:t>
            </w:r>
          </w:p>
        </w:tc>
        <w:tc>
          <w:tcPr>
            <w:tcW w:type="dxa" w:w="1512"/>
            <w:vAlign w:val="center"/>
          </w:tcPr>
          <w:p>
            <w:pPr>
              <w:spacing w:after="0"/>
            </w:pPr>
            <w:r>
              <w:rPr>
                <w:sz w:val="15"/>
              </w:rPr>
              <w:t>0.030</w:t>
            </w:r>
          </w:p>
        </w:tc>
        <w:tc>
          <w:tcPr>
            <w:tcW w:type="dxa" w:w="1152"/>
            <w:vAlign w:val="center"/>
          </w:tcPr>
          <w:p>
            <w:pPr>
              <w:spacing w:after="0"/>
            </w:pPr>
            <w:r>
              <w:rPr>
                <w:sz w:val="15"/>
              </w:rPr>
              <w:t>0.665</w:t>
            </w:r>
          </w:p>
        </w:tc>
        <w:tc>
          <w:tcPr>
            <w:tcW w:type="dxa" w:w="936"/>
            <w:vAlign w:val="center"/>
          </w:tcPr>
          <w:p>
            <w:pPr>
              <w:spacing w:after="0"/>
            </w:pPr>
            <w:r>
              <w:rPr>
                <w:sz w:val="15"/>
              </w:rPr>
              <w:t>1.92</w:t>
            </w:r>
          </w:p>
        </w:tc>
      </w:tr>
      <w:tr>
        <w:tc>
          <w:tcPr>
            <w:tcW w:type="dxa" w:w="1800"/>
            <w:vAlign w:val="center"/>
            <w:shd w:fill="EDF3F6"/>
          </w:tcPr>
          <w:p>
            <w:pPr>
              <w:spacing w:after="0"/>
            </w:pPr>
            <w:r>
              <w:rPr>
                <w:sz w:val="15"/>
              </w:rPr>
              <w:t>UMAP</w:t>
            </w:r>
          </w:p>
        </w:tc>
        <w:tc>
          <w:tcPr>
            <w:tcW w:type="dxa" w:w="936"/>
            <w:vAlign w:val="center"/>
            <w:shd w:fill="EDF3F6"/>
          </w:tcPr>
          <w:p>
            <w:pPr>
              <w:spacing w:after="0"/>
            </w:pPr>
            <w:r>
              <w:rPr>
                <w:sz w:val="15"/>
              </w:rPr>
              <w:t>0.434</w:t>
            </w:r>
          </w:p>
        </w:tc>
        <w:tc>
          <w:tcPr>
            <w:tcW w:type="dxa" w:w="936"/>
            <w:vAlign w:val="center"/>
            <w:shd w:fill="EDF3F6"/>
          </w:tcPr>
          <w:p>
            <w:pPr>
              <w:spacing w:after="0"/>
            </w:pPr>
            <w:r>
              <w:rPr>
                <w:sz w:val="15"/>
              </w:rPr>
              <w:t>0.077</w:t>
            </w:r>
          </w:p>
        </w:tc>
        <w:tc>
          <w:tcPr>
            <w:tcW w:type="dxa" w:w="1512"/>
            <w:vAlign w:val="center"/>
            <w:shd w:fill="EDF3F6"/>
          </w:tcPr>
          <w:p>
            <w:pPr>
              <w:spacing w:after="0"/>
            </w:pPr>
            <w:r>
              <w:rPr>
                <w:sz w:val="15"/>
              </w:rPr>
              <w:t>0.084</w:t>
            </w:r>
          </w:p>
        </w:tc>
        <w:tc>
          <w:tcPr>
            <w:tcW w:type="dxa" w:w="1512"/>
            <w:vAlign w:val="center"/>
            <w:shd w:fill="EDF3F6"/>
          </w:tcPr>
          <w:p>
            <w:pPr>
              <w:spacing w:after="0"/>
            </w:pPr>
            <w:r>
              <w:rPr>
                <w:sz w:val="15"/>
              </w:rPr>
              <w:t>0.076</w:t>
            </w:r>
          </w:p>
        </w:tc>
        <w:tc>
          <w:tcPr>
            <w:tcW w:type="dxa" w:w="1152"/>
            <w:vAlign w:val="center"/>
            <w:shd w:fill="EDF3F6"/>
          </w:tcPr>
          <w:p>
            <w:pPr>
              <w:spacing w:after="0"/>
            </w:pPr>
            <w:r>
              <w:rPr>
                <w:sz w:val="15"/>
              </w:rPr>
              <w:t>0.654</w:t>
            </w:r>
          </w:p>
        </w:tc>
        <w:tc>
          <w:tcPr>
            <w:tcW w:type="dxa" w:w="936"/>
            <w:vAlign w:val="center"/>
            <w:shd w:fill="EDF3F6"/>
          </w:tcPr>
          <w:p>
            <w:pPr>
              <w:spacing w:after="0"/>
            </w:pPr>
            <w:r>
              <w:rPr>
                <w:sz w:val="15"/>
              </w:rPr>
              <w:t>2.26</w:t>
            </w:r>
          </w:p>
        </w:tc>
      </w:tr>
      <w:tr>
        <w:tc>
          <w:tcPr>
            <w:tcW w:type="dxa" w:w="1800"/>
            <w:vAlign w:val="center"/>
          </w:tcPr>
          <w:p>
            <w:pPr>
              <w:spacing w:after="0"/>
            </w:pPr>
            <w:r>
              <w:rPr>
                <w:sz w:val="15"/>
              </w:rPr>
              <w:t>MDS</w:t>
            </w:r>
          </w:p>
        </w:tc>
        <w:tc>
          <w:tcPr>
            <w:tcW w:type="dxa" w:w="936"/>
            <w:vAlign w:val="center"/>
          </w:tcPr>
          <w:p>
            <w:pPr>
              <w:spacing w:after="0"/>
            </w:pPr>
            <w:r>
              <w:rPr>
                <w:sz w:val="15"/>
              </w:rPr>
              <w:t>0.526</w:t>
            </w:r>
          </w:p>
        </w:tc>
        <w:tc>
          <w:tcPr>
            <w:tcW w:type="dxa" w:w="936"/>
            <w:vAlign w:val="center"/>
          </w:tcPr>
          <w:p>
            <w:pPr>
              <w:spacing w:after="0"/>
            </w:pPr>
            <w:r>
              <w:rPr>
                <w:sz w:val="15"/>
              </w:rPr>
              <w:t>-0.036</w:t>
            </w:r>
          </w:p>
        </w:tc>
        <w:tc>
          <w:tcPr>
            <w:tcW w:type="dxa" w:w="1512"/>
            <w:vAlign w:val="center"/>
          </w:tcPr>
          <w:p>
            <w:pPr>
              <w:spacing w:after="0"/>
            </w:pPr>
            <w:r>
              <w:rPr>
                <w:sz w:val="15"/>
              </w:rPr>
              <w:t>-0.056</w:t>
            </w:r>
          </w:p>
        </w:tc>
        <w:tc>
          <w:tcPr>
            <w:tcW w:type="dxa" w:w="1512"/>
            <w:vAlign w:val="center"/>
          </w:tcPr>
          <w:p>
            <w:pPr>
              <w:spacing w:after="0"/>
            </w:pPr>
            <w:r>
              <w:rPr>
                <w:sz w:val="15"/>
              </w:rPr>
              <w:t>-0.056</w:t>
            </w:r>
          </w:p>
        </w:tc>
        <w:tc>
          <w:tcPr>
            <w:tcW w:type="dxa" w:w="1152"/>
            <w:vAlign w:val="center"/>
          </w:tcPr>
          <w:p>
            <w:pPr>
              <w:spacing w:after="0"/>
            </w:pPr>
            <w:r>
              <w:rPr>
                <w:sz w:val="15"/>
              </w:rPr>
              <w:t>0.681</w:t>
            </w:r>
          </w:p>
        </w:tc>
        <w:tc>
          <w:tcPr>
            <w:tcW w:type="dxa" w:w="936"/>
            <w:vAlign w:val="center"/>
          </w:tcPr>
          <w:p>
            <w:pPr>
              <w:spacing w:after="0"/>
            </w:pPr>
            <w:r>
              <w:rPr>
                <w:sz w:val="15"/>
              </w:rPr>
              <w:t>1.06</w:t>
            </w:r>
          </w:p>
        </w:tc>
      </w:tr>
      <w:tr>
        <w:tc>
          <w:tcPr>
            <w:tcW w:type="dxa" w:w="1800"/>
            <w:vAlign w:val="center"/>
            <w:shd w:fill="EDF3F6"/>
          </w:tcPr>
          <w:p>
            <w:pPr>
              <w:spacing w:after="0"/>
            </w:pPr>
            <w:r>
              <w:rPr>
                <w:sz w:val="15"/>
              </w:rPr>
              <w:t>PCoA</w:t>
            </w:r>
          </w:p>
        </w:tc>
        <w:tc>
          <w:tcPr>
            <w:tcW w:type="dxa" w:w="936"/>
            <w:vAlign w:val="center"/>
            <w:shd w:fill="EDF3F6"/>
          </w:tcPr>
          <w:p>
            <w:pPr>
              <w:spacing w:after="0"/>
            </w:pPr>
            <w:r>
              <w:rPr>
                <w:sz w:val="15"/>
              </w:rPr>
              <w:t>0.482</w:t>
            </w:r>
          </w:p>
        </w:tc>
        <w:tc>
          <w:tcPr>
            <w:tcW w:type="dxa" w:w="936"/>
            <w:vAlign w:val="center"/>
            <w:shd w:fill="EDF3F6"/>
          </w:tcPr>
          <w:p>
            <w:pPr>
              <w:spacing w:after="0"/>
            </w:pPr>
            <w:r>
              <w:rPr>
                <w:sz w:val="15"/>
              </w:rPr>
              <w:t>0.050</w:t>
            </w:r>
          </w:p>
        </w:tc>
        <w:tc>
          <w:tcPr>
            <w:tcW w:type="dxa" w:w="1512"/>
            <w:vAlign w:val="center"/>
            <w:shd w:fill="EDF3F6"/>
          </w:tcPr>
          <w:p>
            <w:pPr>
              <w:spacing w:after="0"/>
            </w:pPr>
            <w:r>
              <w:rPr>
                <w:sz w:val="15"/>
              </w:rPr>
              <w:t>0.050</w:t>
            </w:r>
          </w:p>
        </w:tc>
        <w:tc>
          <w:tcPr>
            <w:tcW w:type="dxa" w:w="1512"/>
            <w:vAlign w:val="center"/>
            <w:shd w:fill="EDF3F6"/>
          </w:tcPr>
          <w:p>
            <w:pPr>
              <w:spacing w:after="0"/>
            </w:pPr>
            <w:r>
              <w:rPr>
                <w:sz w:val="15"/>
              </w:rPr>
              <w:t>0.044</w:t>
            </w:r>
          </w:p>
        </w:tc>
        <w:tc>
          <w:tcPr>
            <w:tcW w:type="dxa" w:w="1152"/>
            <w:vAlign w:val="center"/>
            <w:shd w:fill="EDF3F6"/>
          </w:tcPr>
          <w:p>
            <w:pPr>
              <w:spacing w:after="0"/>
            </w:pPr>
            <w:r>
              <w:rPr>
                <w:sz w:val="15"/>
              </w:rPr>
              <w:t>0.663</w:t>
            </w:r>
          </w:p>
        </w:tc>
        <w:tc>
          <w:tcPr>
            <w:tcW w:type="dxa" w:w="936"/>
            <w:vAlign w:val="center"/>
            <w:shd w:fill="EDF3F6"/>
          </w:tcPr>
          <w:p>
            <w:pPr>
              <w:spacing w:after="0"/>
            </w:pPr>
            <w:r>
              <w:rPr>
                <w:sz w:val="15"/>
              </w:rPr>
              <w:t>0.08</w:t>
            </w:r>
          </w:p>
        </w:tc>
      </w:tr>
      <w:tr>
        <w:tc>
          <w:tcPr>
            <w:tcW w:type="dxa" w:w="1800"/>
            <w:vAlign w:val="center"/>
          </w:tcPr>
          <w:p>
            <w:pPr>
              <w:spacing w:after="0"/>
            </w:pPr>
            <w:r>
              <w:rPr>
                <w:sz w:val="15"/>
              </w:rPr>
              <w:t>Isomap</w:t>
            </w:r>
          </w:p>
        </w:tc>
        <w:tc>
          <w:tcPr>
            <w:tcW w:type="dxa" w:w="936"/>
            <w:vAlign w:val="center"/>
          </w:tcPr>
          <w:p>
            <w:pPr>
              <w:spacing w:after="0"/>
            </w:pPr>
            <w:r>
              <w:rPr>
                <w:sz w:val="15"/>
              </w:rPr>
              <w:t>0.404</w:t>
            </w:r>
          </w:p>
        </w:tc>
        <w:tc>
          <w:tcPr>
            <w:tcW w:type="dxa" w:w="936"/>
            <w:vAlign w:val="center"/>
          </w:tcPr>
          <w:p>
            <w:pPr>
              <w:spacing w:after="0"/>
            </w:pPr>
            <w:r>
              <w:rPr>
                <w:sz w:val="15"/>
              </w:rPr>
              <w:t>0.096</w:t>
            </w:r>
          </w:p>
        </w:tc>
        <w:tc>
          <w:tcPr>
            <w:tcW w:type="dxa" w:w="1512"/>
            <w:vAlign w:val="center"/>
          </w:tcPr>
          <w:p>
            <w:pPr>
              <w:spacing w:after="0"/>
            </w:pPr>
            <w:r>
              <w:rPr>
                <w:sz w:val="15"/>
              </w:rPr>
              <w:t>0.098</w:t>
            </w:r>
          </w:p>
        </w:tc>
        <w:tc>
          <w:tcPr>
            <w:tcW w:type="dxa" w:w="1512"/>
            <w:vAlign w:val="center"/>
          </w:tcPr>
          <w:p>
            <w:pPr>
              <w:spacing w:after="0"/>
            </w:pPr>
            <w:r>
              <w:rPr>
                <w:sz w:val="15"/>
              </w:rPr>
              <w:t>0.096</w:t>
            </w:r>
          </w:p>
        </w:tc>
        <w:tc>
          <w:tcPr>
            <w:tcW w:type="dxa" w:w="1152"/>
            <w:vAlign w:val="center"/>
          </w:tcPr>
          <w:p>
            <w:pPr>
              <w:spacing w:after="0"/>
            </w:pPr>
            <w:r>
              <w:rPr>
                <w:sz w:val="15"/>
              </w:rPr>
              <w:t>0.640</w:t>
            </w:r>
          </w:p>
        </w:tc>
        <w:tc>
          <w:tcPr>
            <w:tcW w:type="dxa" w:w="936"/>
            <w:vAlign w:val="center"/>
          </w:tcPr>
          <w:p>
            <w:pPr>
              <w:spacing w:after="0"/>
            </w:pPr>
            <w:r>
              <w:rPr>
                <w:sz w:val="15"/>
              </w:rPr>
              <w:t>0.09</w:t>
            </w:r>
          </w:p>
        </w:tc>
      </w:tr>
    </w:tbl>
    <w:p/>
    <w:p>
      <w:r>
        <w:t>Values are means across three held-out splits for prespecified setting A. Recall equals sensitivity. CPU time includes embedding, held-out transform, classifier fit, and prediction, after the separately reported UMAP compilation warmup.</w:t>
      </w:r>
    </w:p>
    <w:p>
      <w:r>
        <w:t>In Blood cell, PCA has the highest mean ROC AUC for setting A (0.630). PCA uses the least mean CPU time (0.02 s). These are descriptive rankings across only three overlapping splits. Accuracy should be read together with sensitivity and specificity because the positive class is less frequent.</w:t>
      </w:r>
    </w:p>
    <w:p>
      <w:pPr>
        <w:jc w:val="center"/>
      </w:pPr>
      <w:r>
        <w:drawing>
          <wp:inline xmlns:a="http://schemas.openxmlformats.org/drawingml/2006/main" xmlns:pic="http://schemas.openxmlformats.org/drawingml/2006/picture">
            <wp:extent cx="5989320" cy="2409726"/>
            <wp:docPr id="7" name="Picture 7"/>
            <wp:cNvGraphicFramePr>
              <a:graphicFrameLocks noChangeAspect="1"/>
            </wp:cNvGraphicFramePr>
            <a:graphic>
              <a:graphicData uri="http://schemas.openxmlformats.org/drawingml/2006/picture">
                <pic:pic>
                  <pic:nvPicPr>
                    <pic:cNvPr id="0" name="Blood_cell_accuracy.png"/>
                    <pic:cNvPicPr/>
                  </pic:nvPicPr>
                  <pic:blipFill>
                    <a:blip r:embed="rId15"/>
                    <a:stretch>
                      <a:fillRect/>
                    </a:stretch>
                  </pic:blipFill>
                  <pic:spPr>
                    <a:xfrm>
                      <a:off x="0" y="0"/>
                      <a:ext cx="5989320" cy="2409726"/>
                    </a:xfrm>
                    <a:prstGeom prst="rect"/>
                  </pic:spPr>
                </pic:pic>
              </a:graphicData>
            </a:graphic>
          </wp:inline>
        </w:drawing>
      </w:r>
    </w:p>
    <w:p>
      <w:pPr>
        <w:pStyle w:val="Caption"/>
        <w:jc w:val="center"/>
      </w:pPr>
      <w:r>
        <w:t>Figure. Held-out accuracy by method on Blood cell.</w:t>
      </w:r>
    </w:p>
    <w:p>
      <w:pPr>
        <w:jc w:val="center"/>
      </w:pPr>
      <w:r>
        <w:drawing>
          <wp:inline xmlns:a="http://schemas.openxmlformats.org/drawingml/2006/main" xmlns:pic="http://schemas.openxmlformats.org/drawingml/2006/picture">
            <wp:extent cx="5989320" cy="2409726"/>
            <wp:docPr id="8" name="Picture 8"/>
            <wp:cNvGraphicFramePr>
              <a:graphicFrameLocks noChangeAspect="1"/>
            </wp:cNvGraphicFramePr>
            <a:graphic>
              <a:graphicData uri="http://schemas.openxmlformats.org/drawingml/2006/picture">
                <pic:pic>
                  <pic:nvPicPr>
                    <pic:cNvPr id="0" name="Blood_cell_loss.png"/>
                    <pic:cNvPicPr/>
                  </pic:nvPicPr>
                  <pic:blipFill>
                    <a:blip r:embed="rId16"/>
                    <a:stretch>
                      <a:fillRect/>
                    </a:stretch>
                  </pic:blipFill>
                  <pic:spPr>
                    <a:xfrm>
                      <a:off x="0" y="0"/>
                      <a:ext cx="5989320" cy="2409726"/>
                    </a:xfrm>
                    <a:prstGeom prst="rect"/>
                  </pic:spPr>
                </pic:pic>
              </a:graphicData>
            </a:graphic>
          </wp:inline>
        </w:drawing>
      </w:r>
    </w:p>
    <w:p>
      <w:pPr>
        <w:pStyle w:val="Caption"/>
        <w:jc w:val="center"/>
      </w:pPr>
      <w:r>
        <w:t>Figure. Common held-out classifier log loss on Blood cell.</w:t>
      </w:r>
    </w:p>
    <w:p>
      <w:pPr>
        <w:jc w:val="center"/>
      </w:pPr>
      <w:r>
        <w:drawing>
          <wp:inline xmlns:a="http://schemas.openxmlformats.org/drawingml/2006/main" xmlns:pic="http://schemas.openxmlformats.org/drawingml/2006/picture">
            <wp:extent cx="5989320" cy="4719844"/>
            <wp:docPr id="9" name="Picture 9"/>
            <wp:cNvGraphicFramePr>
              <a:graphicFrameLocks noChangeAspect="1"/>
            </wp:cNvGraphicFramePr>
            <a:graphic>
              <a:graphicData uri="http://schemas.openxmlformats.org/drawingml/2006/picture">
                <pic:pic>
                  <pic:nvPicPr>
                    <pic:cNvPr id="0" name="Blood_cell_roc.png"/>
                    <pic:cNvPicPr/>
                  </pic:nvPicPr>
                  <pic:blipFill>
                    <a:blip r:embed="rId17"/>
                    <a:stretch>
                      <a:fillRect/>
                    </a:stretch>
                  </pic:blipFill>
                  <pic:spPr>
                    <a:xfrm>
                      <a:off x="0" y="0"/>
                      <a:ext cx="5989320" cy="4719844"/>
                    </a:xfrm>
                    <a:prstGeom prst="rect"/>
                  </pic:spPr>
                </pic:pic>
              </a:graphicData>
            </a:graphic>
          </wp:inline>
        </w:drawing>
      </w:r>
    </w:p>
    <w:p>
      <w:pPr>
        <w:pStyle w:val="Caption"/>
        <w:jc w:val="center"/>
      </w:pPr>
      <w:r>
        <w:t>Figure. ROC curves for the first shared split on Blood cell; legend gives split-specific AUC.</w:t>
      </w:r>
    </w:p>
    <w:p>
      <w:pPr>
        <w:jc w:val="center"/>
      </w:pPr>
      <w:r>
        <w:drawing>
          <wp:inline xmlns:a="http://schemas.openxmlformats.org/drawingml/2006/main" xmlns:pic="http://schemas.openxmlformats.org/drawingml/2006/picture">
            <wp:extent cx="5989320" cy="5983436"/>
            <wp:docPr id="10" name="Picture 10"/>
            <wp:cNvGraphicFramePr>
              <a:graphicFrameLocks noChangeAspect="1"/>
            </wp:cNvGraphicFramePr>
            <a:graphic>
              <a:graphicData uri="http://schemas.openxmlformats.org/drawingml/2006/picture">
                <pic:pic>
                  <pic:nvPicPr>
                    <pic:cNvPr id="0" name="Blood_cell_confusion.png"/>
                    <pic:cNvPicPr/>
                  </pic:nvPicPr>
                  <pic:blipFill>
                    <a:blip r:embed="rId18"/>
                    <a:stretch>
                      <a:fillRect/>
                    </a:stretch>
                  </pic:blipFill>
                  <pic:spPr>
                    <a:xfrm>
                      <a:off x="0" y="0"/>
                      <a:ext cx="5989320" cy="5983436"/>
                    </a:xfrm>
                    <a:prstGeom prst="rect"/>
                  </pic:spPr>
                </pic:pic>
              </a:graphicData>
            </a:graphic>
          </wp:inline>
        </w:drawing>
      </w:r>
    </w:p>
    <w:p>
      <w:pPr>
        <w:pStyle w:val="Caption"/>
        <w:jc w:val="center"/>
      </w:pPr>
      <w:r>
        <w:t>Figure. Held-out confusion matrices for the first shared split on Blood cell.</w:t>
      </w:r>
    </w:p>
    <w:p>
      <w:pPr>
        <w:jc w:val="center"/>
      </w:pPr>
      <w:r>
        <w:drawing>
          <wp:inline xmlns:a="http://schemas.openxmlformats.org/drawingml/2006/main" xmlns:pic="http://schemas.openxmlformats.org/drawingml/2006/picture">
            <wp:extent cx="5989320" cy="2409726"/>
            <wp:docPr id="11" name="Picture 11"/>
            <wp:cNvGraphicFramePr>
              <a:graphicFrameLocks noChangeAspect="1"/>
            </wp:cNvGraphicFramePr>
            <a:graphic>
              <a:graphicData uri="http://schemas.openxmlformats.org/drawingml/2006/picture">
                <pic:pic>
                  <pic:nvPicPr>
                    <pic:cNvPr id="0" name="Blood_cell_cpu.png"/>
                    <pic:cNvPicPr/>
                  </pic:nvPicPr>
                  <pic:blipFill>
                    <a:blip r:embed="rId19"/>
                    <a:stretch>
                      <a:fillRect/>
                    </a:stretch>
                  </pic:blipFill>
                  <pic:spPr>
                    <a:xfrm>
                      <a:off x="0" y="0"/>
                      <a:ext cx="5989320" cy="2409726"/>
                    </a:xfrm>
                    <a:prstGeom prst="rect"/>
                  </pic:spPr>
                </pic:pic>
              </a:graphicData>
            </a:graphic>
          </wp:inline>
        </w:drawing>
      </w:r>
    </w:p>
    <w:p>
      <w:pPr>
        <w:pStyle w:val="Caption"/>
        <w:jc w:val="center"/>
      </w:pPr>
      <w:r>
        <w:t>Figure. Mean process CPU time per run on Blood cell, excluding UMAP compilation warmup.</w:t>
      </w:r>
    </w:p>
    <w:p>
      <w:pPr>
        <w:jc w:val="center"/>
      </w:pPr>
      <w:r>
        <w:drawing>
          <wp:inline xmlns:a="http://schemas.openxmlformats.org/drawingml/2006/main" xmlns:pic="http://schemas.openxmlformats.org/drawingml/2006/picture">
            <wp:extent cx="5989320" cy="3134476"/>
            <wp:docPr id="12" name="Picture 12"/>
            <wp:cNvGraphicFramePr>
              <a:graphicFrameLocks noChangeAspect="1"/>
            </wp:cNvGraphicFramePr>
            <a:graphic>
              <a:graphicData uri="http://schemas.openxmlformats.org/drawingml/2006/picture">
                <pic:pic>
                  <pic:nvPicPr>
                    <pic:cNvPr id="0" name="Blood_cell_parameters.png"/>
                    <pic:cNvPicPr/>
                  </pic:nvPicPr>
                  <pic:blipFill>
                    <a:blip r:embed="rId20"/>
                    <a:stretch>
                      <a:fillRect/>
                    </a:stretch>
                  </pic:blipFill>
                  <pic:spPr>
                    <a:xfrm>
                      <a:off x="0" y="0"/>
                      <a:ext cx="5989320" cy="3134476"/>
                    </a:xfrm>
                    <a:prstGeom prst="rect"/>
                  </pic:spPr>
                </pic:pic>
              </a:graphicData>
            </a:graphic>
          </wp:inline>
        </w:drawing>
      </w:r>
    </w:p>
    <w:p>
      <w:pPr>
        <w:pStyle w:val="Caption"/>
        <w:jc w:val="center"/>
      </w:pPr>
      <w:r>
        <w:t>Figure. Mean ROC AUC for two prespecified parameter settings on Blood cell.</w:t>
      </w:r>
    </w:p>
    <w:p>
      <w:pPr>
        <w:pStyle w:val="Heading1"/>
      </w:pPr>
      <w:r>
        <w:t>Optimization loss and FROC</w:t>
      </w:r>
    </w:p>
    <w:p>
      <w:pPr>
        <w:jc w:val="center"/>
      </w:pPr>
      <w:r>
        <w:drawing>
          <wp:inline xmlns:a="http://schemas.openxmlformats.org/drawingml/2006/main" xmlns:pic="http://schemas.openxmlformats.org/drawingml/2006/picture">
            <wp:extent cx="5989320" cy="2224998"/>
            <wp:docPr id="13" name="Picture 13"/>
            <wp:cNvGraphicFramePr>
              <a:graphicFrameLocks noChangeAspect="1"/>
            </wp:cNvGraphicFramePr>
            <a:graphic>
              <a:graphicData uri="http://schemas.openxmlformats.org/drawingml/2006/picture">
                <pic:pic>
                  <pic:nvPicPr>
                    <pic:cNvPr id="0" name="sne_objective.png"/>
                    <pic:cNvPicPr/>
                  </pic:nvPicPr>
                  <pic:blipFill>
                    <a:blip r:embed="rId21"/>
                    <a:stretch>
                      <a:fillRect/>
                    </a:stretch>
                  </pic:blipFill>
                  <pic:spPr>
                    <a:xfrm>
                      <a:off x="0" y="0"/>
                      <a:ext cx="5989320" cy="2224998"/>
                    </a:xfrm>
                    <a:prstGeom prst="rect"/>
                  </pic:spPr>
                </pic:pic>
              </a:graphicData>
            </a:graphic>
          </wp:inline>
        </w:drawing>
      </w:r>
    </w:p>
    <w:p>
      <w:pPr>
        <w:pStyle w:val="Caption"/>
        <w:jc w:val="center"/>
      </w:pPr>
      <w:r>
        <w:t>Figure. Gaussian SNE optimization objective for the first split and setting A. This loss is not directly comparable with the common classifier log loss.</w:t>
      </w:r>
    </w:p>
    <w:p>
      <w:r>
        <w:t>The UMAP and PCA objectives have different units and meanings, so their native optimization losses are not plotted on one axis. The common held-out logistic log loss above is the meaningful cross-method loss comparison.</w:t>
      </w:r>
    </w:p>
    <w:p>
      <w:pPr>
        <w:jc w:val="center"/>
      </w:pPr>
      <w:r>
        <w:drawing>
          <wp:inline xmlns:a="http://schemas.openxmlformats.org/drawingml/2006/main" xmlns:pic="http://schemas.openxmlformats.org/drawingml/2006/picture">
            <wp:extent cx="5989320" cy="2306648"/>
            <wp:docPr id="14" name="Picture 14"/>
            <wp:cNvGraphicFramePr>
              <a:graphicFrameLocks noChangeAspect="1"/>
            </wp:cNvGraphicFramePr>
            <a:graphic>
              <a:graphicData uri="http://schemas.openxmlformats.org/drawingml/2006/picture">
                <pic:pic>
                  <pic:nvPicPr>
                    <pic:cNvPr id="0" name="froc_applicability.png"/>
                    <pic:cNvPicPr/>
                  </pic:nvPicPr>
                  <pic:blipFill>
                    <a:blip r:embed="rId22"/>
                    <a:stretch>
                      <a:fillRect/>
                    </a:stretch>
                  </pic:blipFill>
                  <pic:spPr>
                    <a:xfrm>
                      <a:off x="0" y="0"/>
                      <a:ext cx="5989320" cy="2306648"/>
                    </a:xfrm>
                    <a:prstGeom prst="rect"/>
                  </pic:spPr>
                </pic:pic>
              </a:graphicData>
            </a:graphic>
          </wp:inline>
        </w:drawing>
      </w:r>
    </w:p>
    <w:p>
      <w:pPr>
        <w:pStyle w:val="Caption"/>
        <w:jc w:val="center"/>
      </w:pPr>
      <w:r>
        <w:t>Figure. Why a valid FROC AUC cannot be calculated from the supplied tables.</w:t>
      </w:r>
    </w:p>
    <w:p>
      <w:r>
        <w:t>A free-response operating characteristic requires lesion locations and scored candidate detections per image. The available files provide one class label and one classifier score per record. Counting each positive classification as a detection would simply relabel ROC and falsely imply localization performance. FROC AUC is therefore reported as not estimable.</w:t>
      </w:r>
    </w:p>
    <w:p>
      <w:pPr>
        <w:pStyle w:val="Heading1"/>
      </w:pPr>
      <w:r>
        <w:t>Statistical comparisons</w:t>
      </w:r>
    </w:p>
    <w:p>
      <w:r>
        <w:t>The repository applies paired t and Wilcoxon signed-rank comparisons of AUC against PCA across three shared splits, Holm correction for paired t tests, repeated-measures ANOVA across methods, a requested descriptive MANOVA of AUC and log loss, and McNemar's discordance z statistic on the first split. The paired analyses respect split matching. The repeated splits overlap in training observations and provide weak inferential power; p values are exploratory. MANOVA's independence assumption is violated by repeated splits, so its output is retained as a diagnostic only.</w:t>
      </w:r>
    </w:p>
    <w:tbl>
      <w:tblPr>
        <w:tblStyle w:val="TableGrid"/>
        <w:tblW w:type="auto" w:w="0"/>
        <w:jc w:val="center"/>
        <w:tblLayout w:type="fixed"/>
        <w:tblLook w:firstColumn="1" w:firstRow="1" w:lastColumn="0" w:lastRow="0" w:noHBand="0" w:noVBand="1" w:val="04A0"/>
      </w:tblPr>
      <w:tblGrid>
        <w:gridCol w:w="1512"/>
        <w:gridCol w:w="2448"/>
        <w:gridCol w:w="936"/>
        <w:gridCol w:w="1512"/>
        <w:gridCol w:w="1296"/>
      </w:tblGrid>
      <w:tr>
        <w:tc>
          <w:tcPr>
            <w:tcW w:type="dxa" w:w="1999"/>
            <w:shd w:fill="153B50"/>
          </w:tcPr>
          <w:p>
            <w:r>
              <w:rPr>
                <w:b/>
                <w:color w:val="FFFFFF"/>
                <w:sz w:val="16"/>
              </w:rPr>
              <w:t>Dataset</w:t>
            </w:r>
          </w:p>
        </w:tc>
        <w:tc>
          <w:tcPr>
            <w:tcW w:type="dxa" w:w="1999"/>
            <w:shd w:fill="153B50"/>
          </w:tcPr>
          <w:p>
            <w:r>
              <w:rPr>
                <w:b/>
                <w:color w:val="FFFFFF"/>
                <w:sz w:val="16"/>
              </w:rPr>
              <w:t>AUC comparison</w:t>
            </w:r>
          </w:p>
        </w:tc>
        <w:tc>
          <w:tcPr>
            <w:tcW w:type="dxa" w:w="1999"/>
            <w:shd w:fill="153B50"/>
          </w:tcPr>
          <w:p>
            <w:r>
              <w:rPr>
                <w:b/>
                <w:color w:val="FFFFFF"/>
                <w:sz w:val="16"/>
              </w:rPr>
              <w:t>Mean Δ</w:t>
            </w:r>
          </w:p>
        </w:tc>
        <w:tc>
          <w:tcPr>
            <w:tcW w:type="dxa" w:w="1999"/>
            <w:shd w:fill="153B50"/>
          </w:tcPr>
          <w:p>
            <w:r>
              <w:rPr>
                <w:b/>
                <w:color w:val="FFFFFF"/>
                <w:sz w:val="16"/>
              </w:rPr>
              <w:t>Paired t Holm p</w:t>
            </w:r>
          </w:p>
        </w:tc>
        <w:tc>
          <w:tcPr>
            <w:tcW w:type="dxa" w:w="1999"/>
            <w:shd w:fill="153B50"/>
          </w:tcPr>
          <w:p>
            <w:r>
              <w:rPr>
                <w:b/>
                <w:color w:val="FFFFFF"/>
                <w:sz w:val="16"/>
              </w:rPr>
              <w:t>Wilcoxon p</w:t>
            </w:r>
          </w:p>
        </w:tc>
      </w:tr>
      <w:tr>
        <w:tc>
          <w:tcPr>
            <w:tcW w:type="dxa" w:w="1512"/>
            <w:vAlign w:val="center"/>
          </w:tcPr>
          <w:p>
            <w:pPr>
              <w:spacing w:after="0"/>
            </w:pPr>
            <w:r>
              <w:rPr>
                <w:sz w:val="15"/>
              </w:rPr>
              <w:t>HAM10000</w:t>
            </w:r>
          </w:p>
        </w:tc>
        <w:tc>
          <w:tcPr>
            <w:tcW w:type="dxa" w:w="2448"/>
            <w:vAlign w:val="center"/>
          </w:tcPr>
          <w:p>
            <w:pPr>
              <w:spacing w:after="0"/>
            </w:pPr>
            <w:r>
              <w:rPr>
                <w:sz w:val="15"/>
              </w:rPr>
              <w:t>Kernel PCA vs PCA</w:t>
            </w:r>
          </w:p>
        </w:tc>
        <w:tc>
          <w:tcPr>
            <w:tcW w:type="dxa" w:w="936"/>
            <w:vAlign w:val="center"/>
          </w:tcPr>
          <w:p>
            <w:pPr>
              <w:spacing w:after="0"/>
            </w:pPr>
            <w:r>
              <w:rPr>
                <w:sz w:val="15"/>
              </w:rPr>
              <w:t>+0.036</w:t>
            </w:r>
          </w:p>
        </w:tc>
        <w:tc>
          <w:tcPr>
            <w:tcW w:type="dxa" w:w="1512"/>
            <w:vAlign w:val="center"/>
          </w:tcPr>
          <w:p>
            <w:pPr>
              <w:spacing w:after="0"/>
            </w:pPr>
            <w:r>
              <w:rPr>
                <w:sz w:val="15"/>
              </w:rPr>
              <w:t>1.000</w:t>
            </w:r>
          </w:p>
        </w:tc>
        <w:tc>
          <w:tcPr>
            <w:tcW w:type="dxa" w:w="1296"/>
            <w:vAlign w:val="center"/>
          </w:tcPr>
          <w:p>
            <w:pPr>
              <w:spacing w:after="0"/>
            </w:pPr>
            <w:r>
              <w:rPr>
                <w:sz w:val="15"/>
              </w:rPr>
              <w:t>0.500</w:t>
            </w:r>
          </w:p>
        </w:tc>
      </w:tr>
      <w:tr>
        <w:tc>
          <w:tcPr>
            <w:tcW w:type="dxa" w:w="1512"/>
            <w:vAlign w:val="center"/>
            <w:shd w:fill="EDF3F6"/>
          </w:tcPr>
          <w:p>
            <w:pPr>
              <w:spacing w:after="0"/>
            </w:pPr>
            <w:r>
              <w:rPr>
                <w:sz w:val="15"/>
              </w:rPr>
              <w:t>HAM10000</w:t>
            </w:r>
          </w:p>
        </w:tc>
        <w:tc>
          <w:tcPr>
            <w:tcW w:type="dxa" w:w="2448"/>
            <w:vAlign w:val="center"/>
            <w:shd w:fill="EDF3F6"/>
          </w:tcPr>
          <w:p>
            <w:pPr>
              <w:spacing w:after="0"/>
            </w:pPr>
            <w:r>
              <w:rPr>
                <w:sz w:val="15"/>
              </w:rPr>
              <w:t>SNE vs PCA</w:t>
            </w:r>
          </w:p>
        </w:tc>
        <w:tc>
          <w:tcPr>
            <w:tcW w:type="dxa" w:w="936"/>
            <w:vAlign w:val="center"/>
            <w:shd w:fill="EDF3F6"/>
          </w:tcPr>
          <w:p>
            <w:pPr>
              <w:spacing w:after="0"/>
            </w:pPr>
            <w:r>
              <w:rPr>
                <w:sz w:val="15"/>
              </w:rPr>
              <w:t>+0.014</w:t>
            </w:r>
          </w:p>
        </w:tc>
        <w:tc>
          <w:tcPr>
            <w:tcW w:type="dxa" w:w="1512"/>
            <w:vAlign w:val="center"/>
            <w:shd w:fill="EDF3F6"/>
          </w:tcPr>
          <w:p>
            <w:pPr>
              <w:spacing w:after="0"/>
            </w:pPr>
            <w:r>
              <w:rPr>
                <w:sz w:val="15"/>
              </w:rPr>
              <w:t>1.000</w:t>
            </w:r>
          </w:p>
        </w:tc>
        <w:tc>
          <w:tcPr>
            <w:tcW w:type="dxa" w:w="1296"/>
            <w:vAlign w:val="center"/>
            <w:shd w:fill="EDF3F6"/>
          </w:tcPr>
          <w:p>
            <w:pPr>
              <w:spacing w:after="0"/>
            </w:pPr>
            <w:r>
              <w:rPr>
                <w:sz w:val="15"/>
              </w:rPr>
              <w:t>0.500</w:t>
            </w:r>
          </w:p>
        </w:tc>
      </w:tr>
      <w:tr>
        <w:tc>
          <w:tcPr>
            <w:tcW w:type="dxa" w:w="1512"/>
            <w:vAlign w:val="center"/>
          </w:tcPr>
          <w:p>
            <w:pPr>
              <w:spacing w:after="0"/>
            </w:pPr>
            <w:r>
              <w:rPr>
                <w:sz w:val="15"/>
              </w:rPr>
              <w:t>HAM10000</w:t>
            </w:r>
          </w:p>
        </w:tc>
        <w:tc>
          <w:tcPr>
            <w:tcW w:type="dxa" w:w="2448"/>
            <w:vAlign w:val="center"/>
          </w:tcPr>
          <w:p>
            <w:pPr>
              <w:spacing w:after="0"/>
            </w:pPr>
            <w:r>
              <w:rPr>
                <w:sz w:val="15"/>
              </w:rPr>
              <w:t>t-SNE vs PCA</w:t>
            </w:r>
          </w:p>
        </w:tc>
        <w:tc>
          <w:tcPr>
            <w:tcW w:type="dxa" w:w="936"/>
            <w:vAlign w:val="center"/>
          </w:tcPr>
          <w:p>
            <w:pPr>
              <w:spacing w:after="0"/>
            </w:pPr>
            <w:r>
              <w:rPr>
                <w:sz w:val="15"/>
              </w:rPr>
              <w:t>+0.035</w:t>
            </w:r>
          </w:p>
        </w:tc>
        <w:tc>
          <w:tcPr>
            <w:tcW w:type="dxa" w:w="1512"/>
            <w:vAlign w:val="center"/>
          </w:tcPr>
          <w:p>
            <w:pPr>
              <w:spacing w:after="0"/>
            </w:pPr>
            <w:r>
              <w:rPr>
                <w:sz w:val="15"/>
              </w:rPr>
              <w:t>1.000</w:t>
            </w:r>
          </w:p>
        </w:tc>
        <w:tc>
          <w:tcPr>
            <w:tcW w:type="dxa" w:w="1296"/>
            <w:vAlign w:val="center"/>
          </w:tcPr>
          <w:p>
            <w:pPr>
              <w:spacing w:after="0"/>
            </w:pPr>
            <w:r>
              <w:rPr>
                <w:sz w:val="15"/>
              </w:rPr>
              <w:t>0.500</w:t>
            </w:r>
          </w:p>
        </w:tc>
      </w:tr>
      <w:tr>
        <w:tc>
          <w:tcPr>
            <w:tcW w:type="dxa" w:w="1512"/>
            <w:vAlign w:val="center"/>
            <w:shd w:fill="EDF3F6"/>
          </w:tcPr>
          <w:p>
            <w:pPr>
              <w:spacing w:after="0"/>
            </w:pPr>
            <w:r>
              <w:rPr>
                <w:sz w:val="15"/>
              </w:rPr>
              <w:t>HAM10000</w:t>
            </w:r>
          </w:p>
        </w:tc>
        <w:tc>
          <w:tcPr>
            <w:tcW w:type="dxa" w:w="2448"/>
            <w:vAlign w:val="center"/>
            <w:shd w:fill="EDF3F6"/>
          </w:tcPr>
          <w:p>
            <w:pPr>
              <w:spacing w:after="0"/>
            </w:pPr>
            <w:r>
              <w:rPr>
                <w:sz w:val="15"/>
              </w:rPr>
              <w:t>PCA + t-SNE vs PCA</w:t>
            </w:r>
          </w:p>
        </w:tc>
        <w:tc>
          <w:tcPr>
            <w:tcW w:type="dxa" w:w="936"/>
            <w:vAlign w:val="center"/>
            <w:shd w:fill="EDF3F6"/>
          </w:tcPr>
          <w:p>
            <w:pPr>
              <w:spacing w:after="0"/>
            </w:pPr>
            <w:r>
              <w:rPr>
                <w:sz w:val="15"/>
              </w:rPr>
              <w:t>+0.030</w:t>
            </w:r>
          </w:p>
        </w:tc>
        <w:tc>
          <w:tcPr>
            <w:tcW w:type="dxa" w:w="1512"/>
            <w:vAlign w:val="center"/>
            <w:shd w:fill="EDF3F6"/>
          </w:tcPr>
          <w:p>
            <w:pPr>
              <w:spacing w:after="0"/>
            </w:pPr>
            <w:r>
              <w:rPr>
                <w:sz w:val="15"/>
              </w:rPr>
              <w:t>1.000</w:t>
            </w:r>
          </w:p>
        </w:tc>
        <w:tc>
          <w:tcPr>
            <w:tcW w:type="dxa" w:w="1296"/>
            <w:vAlign w:val="center"/>
            <w:shd w:fill="EDF3F6"/>
          </w:tcPr>
          <w:p>
            <w:pPr>
              <w:spacing w:after="0"/>
            </w:pPr>
            <w:r>
              <w:rPr>
                <w:sz w:val="15"/>
              </w:rPr>
              <w:t>0.500</w:t>
            </w:r>
          </w:p>
        </w:tc>
      </w:tr>
      <w:tr>
        <w:tc>
          <w:tcPr>
            <w:tcW w:type="dxa" w:w="1512"/>
            <w:vAlign w:val="center"/>
          </w:tcPr>
          <w:p>
            <w:pPr>
              <w:spacing w:after="0"/>
            </w:pPr>
            <w:r>
              <w:rPr>
                <w:sz w:val="15"/>
              </w:rPr>
              <w:t>HAM10000</w:t>
            </w:r>
          </w:p>
        </w:tc>
        <w:tc>
          <w:tcPr>
            <w:tcW w:type="dxa" w:w="2448"/>
            <w:vAlign w:val="center"/>
          </w:tcPr>
          <w:p>
            <w:pPr>
              <w:spacing w:after="0"/>
            </w:pPr>
            <w:r>
              <w:rPr>
                <w:sz w:val="15"/>
              </w:rPr>
              <w:t>UMAP vs PCA</w:t>
            </w:r>
          </w:p>
        </w:tc>
        <w:tc>
          <w:tcPr>
            <w:tcW w:type="dxa" w:w="936"/>
            <w:vAlign w:val="center"/>
          </w:tcPr>
          <w:p>
            <w:pPr>
              <w:spacing w:after="0"/>
            </w:pPr>
            <w:r>
              <w:rPr>
                <w:sz w:val="15"/>
              </w:rPr>
              <w:t>+0.043</w:t>
            </w:r>
          </w:p>
        </w:tc>
        <w:tc>
          <w:tcPr>
            <w:tcW w:type="dxa" w:w="1512"/>
            <w:vAlign w:val="center"/>
          </w:tcPr>
          <w:p>
            <w:pPr>
              <w:spacing w:after="0"/>
            </w:pPr>
            <w:r>
              <w:rPr>
                <w:sz w:val="15"/>
              </w:rPr>
              <w:t>1.000</w:t>
            </w:r>
          </w:p>
        </w:tc>
        <w:tc>
          <w:tcPr>
            <w:tcW w:type="dxa" w:w="1296"/>
            <w:vAlign w:val="center"/>
          </w:tcPr>
          <w:p>
            <w:pPr>
              <w:spacing w:after="0"/>
            </w:pPr>
            <w:r>
              <w:rPr>
                <w:sz w:val="15"/>
              </w:rPr>
              <w:t>0.500</w:t>
            </w:r>
          </w:p>
        </w:tc>
      </w:tr>
      <w:tr>
        <w:tc>
          <w:tcPr>
            <w:tcW w:type="dxa" w:w="1512"/>
            <w:vAlign w:val="center"/>
            <w:shd w:fill="EDF3F6"/>
          </w:tcPr>
          <w:p>
            <w:pPr>
              <w:spacing w:after="0"/>
            </w:pPr>
            <w:r>
              <w:rPr>
                <w:sz w:val="15"/>
              </w:rPr>
              <w:t>HAM10000</w:t>
            </w:r>
          </w:p>
        </w:tc>
        <w:tc>
          <w:tcPr>
            <w:tcW w:type="dxa" w:w="2448"/>
            <w:vAlign w:val="center"/>
            <w:shd w:fill="EDF3F6"/>
          </w:tcPr>
          <w:p>
            <w:pPr>
              <w:spacing w:after="0"/>
            </w:pPr>
            <w:r>
              <w:rPr>
                <w:sz w:val="15"/>
              </w:rPr>
              <w:t>MDS vs PCA</w:t>
            </w:r>
          </w:p>
        </w:tc>
        <w:tc>
          <w:tcPr>
            <w:tcW w:type="dxa" w:w="936"/>
            <w:vAlign w:val="center"/>
            <w:shd w:fill="EDF3F6"/>
          </w:tcPr>
          <w:p>
            <w:pPr>
              <w:spacing w:after="0"/>
            </w:pPr>
            <w:r>
              <w:rPr>
                <w:sz w:val="15"/>
              </w:rPr>
              <w:t>+0.018</w:t>
            </w:r>
          </w:p>
        </w:tc>
        <w:tc>
          <w:tcPr>
            <w:tcW w:type="dxa" w:w="1512"/>
            <w:vAlign w:val="center"/>
            <w:shd w:fill="EDF3F6"/>
          </w:tcPr>
          <w:p>
            <w:pPr>
              <w:spacing w:after="0"/>
            </w:pPr>
            <w:r>
              <w:rPr>
                <w:sz w:val="15"/>
              </w:rPr>
              <w:t>1.000</w:t>
            </w:r>
          </w:p>
        </w:tc>
        <w:tc>
          <w:tcPr>
            <w:tcW w:type="dxa" w:w="1296"/>
            <w:vAlign w:val="center"/>
            <w:shd w:fill="EDF3F6"/>
          </w:tcPr>
          <w:p>
            <w:pPr>
              <w:spacing w:after="0"/>
            </w:pPr>
            <w:r>
              <w:rPr>
                <w:sz w:val="15"/>
              </w:rPr>
              <w:t>0.750</w:t>
            </w:r>
          </w:p>
        </w:tc>
      </w:tr>
      <w:tr>
        <w:tc>
          <w:tcPr>
            <w:tcW w:type="dxa" w:w="1512"/>
            <w:vAlign w:val="center"/>
          </w:tcPr>
          <w:p>
            <w:pPr>
              <w:spacing w:after="0"/>
            </w:pPr>
            <w:r>
              <w:rPr>
                <w:sz w:val="15"/>
              </w:rPr>
              <w:t>HAM10000</w:t>
            </w:r>
          </w:p>
        </w:tc>
        <w:tc>
          <w:tcPr>
            <w:tcW w:type="dxa" w:w="2448"/>
            <w:vAlign w:val="center"/>
          </w:tcPr>
          <w:p>
            <w:pPr>
              <w:spacing w:after="0"/>
            </w:pPr>
            <w:r>
              <w:rPr>
                <w:sz w:val="15"/>
              </w:rPr>
              <w:t>PCoA vs PCA</w:t>
            </w:r>
          </w:p>
        </w:tc>
        <w:tc>
          <w:tcPr>
            <w:tcW w:type="dxa" w:w="936"/>
            <w:vAlign w:val="center"/>
          </w:tcPr>
          <w:p>
            <w:pPr>
              <w:spacing w:after="0"/>
            </w:pPr>
            <w:r>
              <w:rPr>
                <w:sz w:val="15"/>
              </w:rPr>
              <w:t>+0.031</w:t>
            </w:r>
          </w:p>
        </w:tc>
        <w:tc>
          <w:tcPr>
            <w:tcW w:type="dxa" w:w="1512"/>
            <w:vAlign w:val="center"/>
          </w:tcPr>
          <w:p>
            <w:pPr>
              <w:spacing w:after="0"/>
            </w:pPr>
            <w:r>
              <w:rPr>
                <w:sz w:val="15"/>
              </w:rPr>
              <w:t>1.000</w:t>
            </w:r>
          </w:p>
        </w:tc>
        <w:tc>
          <w:tcPr>
            <w:tcW w:type="dxa" w:w="1296"/>
            <w:vAlign w:val="center"/>
          </w:tcPr>
          <w:p>
            <w:pPr>
              <w:spacing w:after="0"/>
            </w:pPr>
            <w:r>
              <w:rPr>
                <w:sz w:val="15"/>
              </w:rPr>
              <w:t>0.250</w:t>
            </w:r>
          </w:p>
        </w:tc>
      </w:tr>
      <w:tr>
        <w:tc>
          <w:tcPr>
            <w:tcW w:type="dxa" w:w="1512"/>
            <w:vAlign w:val="center"/>
            <w:shd w:fill="EDF3F6"/>
          </w:tcPr>
          <w:p>
            <w:pPr>
              <w:spacing w:after="0"/>
            </w:pPr>
            <w:r>
              <w:rPr>
                <w:sz w:val="15"/>
              </w:rPr>
              <w:t>HAM10000</w:t>
            </w:r>
          </w:p>
        </w:tc>
        <w:tc>
          <w:tcPr>
            <w:tcW w:type="dxa" w:w="2448"/>
            <w:vAlign w:val="center"/>
            <w:shd w:fill="EDF3F6"/>
          </w:tcPr>
          <w:p>
            <w:pPr>
              <w:spacing w:after="0"/>
            </w:pPr>
            <w:r>
              <w:rPr>
                <w:sz w:val="15"/>
              </w:rPr>
              <w:t>Isomap vs PCA</w:t>
            </w:r>
          </w:p>
        </w:tc>
        <w:tc>
          <w:tcPr>
            <w:tcW w:type="dxa" w:w="936"/>
            <w:vAlign w:val="center"/>
            <w:shd w:fill="EDF3F6"/>
          </w:tcPr>
          <w:p>
            <w:pPr>
              <w:spacing w:after="0"/>
            </w:pPr>
            <w:r>
              <w:rPr>
                <w:sz w:val="15"/>
              </w:rPr>
              <w:t>+0.047</w:t>
            </w:r>
          </w:p>
        </w:tc>
        <w:tc>
          <w:tcPr>
            <w:tcW w:type="dxa" w:w="1512"/>
            <w:vAlign w:val="center"/>
            <w:shd w:fill="EDF3F6"/>
          </w:tcPr>
          <w:p>
            <w:pPr>
              <w:spacing w:after="0"/>
            </w:pPr>
            <w:r>
              <w:rPr>
                <w:sz w:val="15"/>
              </w:rPr>
              <w:t>0.860</w:t>
            </w:r>
          </w:p>
        </w:tc>
        <w:tc>
          <w:tcPr>
            <w:tcW w:type="dxa" w:w="1296"/>
            <w:vAlign w:val="center"/>
            <w:shd w:fill="EDF3F6"/>
          </w:tcPr>
          <w:p>
            <w:pPr>
              <w:spacing w:after="0"/>
            </w:pPr>
            <w:r>
              <w:rPr>
                <w:sz w:val="15"/>
              </w:rPr>
              <w:t>0.250</w:t>
            </w:r>
          </w:p>
        </w:tc>
      </w:tr>
      <w:tr>
        <w:tc>
          <w:tcPr>
            <w:tcW w:type="dxa" w:w="1512"/>
            <w:vAlign w:val="center"/>
          </w:tcPr>
          <w:p>
            <w:pPr>
              <w:spacing w:after="0"/>
            </w:pPr>
            <w:r>
              <w:rPr>
                <w:sz w:val="15"/>
              </w:rPr>
              <w:t>Blood cell</w:t>
            </w:r>
          </w:p>
        </w:tc>
        <w:tc>
          <w:tcPr>
            <w:tcW w:type="dxa" w:w="2448"/>
            <w:vAlign w:val="center"/>
          </w:tcPr>
          <w:p>
            <w:pPr>
              <w:spacing w:after="0"/>
            </w:pPr>
            <w:r>
              <w:rPr>
                <w:sz w:val="15"/>
              </w:rPr>
              <w:t>Kernel PCA vs PCA</w:t>
            </w:r>
          </w:p>
        </w:tc>
        <w:tc>
          <w:tcPr>
            <w:tcW w:type="dxa" w:w="936"/>
            <w:vAlign w:val="center"/>
          </w:tcPr>
          <w:p>
            <w:pPr>
              <w:spacing w:after="0"/>
            </w:pPr>
            <w:r>
              <w:rPr>
                <w:sz w:val="15"/>
              </w:rPr>
              <w:t>-0.006</w:t>
            </w:r>
          </w:p>
        </w:tc>
        <w:tc>
          <w:tcPr>
            <w:tcW w:type="dxa" w:w="1512"/>
            <w:vAlign w:val="center"/>
          </w:tcPr>
          <w:p>
            <w:pPr>
              <w:spacing w:after="0"/>
            </w:pPr>
            <w:r>
              <w:rPr>
                <w:sz w:val="15"/>
              </w:rPr>
              <w:t>1.000</w:t>
            </w:r>
          </w:p>
        </w:tc>
        <w:tc>
          <w:tcPr>
            <w:tcW w:type="dxa" w:w="1296"/>
            <w:vAlign w:val="center"/>
          </w:tcPr>
          <w:p>
            <w:pPr>
              <w:spacing w:after="0"/>
            </w:pPr>
            <w:r>
              <w:rPr>
                <w:sz w:val="15"/>
              </w:rPr>
              <w:t>0.500</w:t>
            </w:r>
          </w:p>
        </w:tc>
      </w:tr>
      <w:tr>
        <w:tc>
          <w:tcPr>
            <w:tcW w:type="dxa" w:w="1512"/>
            <w:vAlign w:val="center"/>
            <w:shd w:fill="EDF3F6"/>
          </w:tcPr>
          <w:p>
            <w:pPr>
              <w:spacing w:after="0"/>
            </w:pPr>
            <w:r>
              <w:rPr>
                <w:sz w:val="15"/>
              </w:rPr>
              <w:t>Blood cell</w:t>
            </w:r>
          </w:p>
        </w:tc>
        <w:tc>
          <w:tcPr>
            <w:tcW w:type="dxa" w:w="2448"/>
            <w:vAlign w:val="center"/>
            <w:shd w:fill="EDF3F6"/>
          </w:tcPr>
          <w:p>
            <w:pPr>
              <w:spacing w:after="0"/>
            </w:pPr>
            <w:r>
              <w:rPr>
                <w:sz w:val="15"/>
              </w:rPr>
              <w:t>SNE vs PCA</w:t>
            </w:r>
          </w:p>
        </w:tc>
        <w:tc>
          <w:tcPr>
            <w:tcW w:type="dxa" w:w="936"/>
            <w:vAlign w:val="center"/>
            <w:shd w:fill="EDF3F6"/>
          </w:tcPr>
          <w:p>
            <w:pPr>
              <w:spacing w:after="0"/>
            </w:pPr>
            <w:r>
              <w:rPr>
                <w:sz w:val="15"/>
              </w:rPr>
              <w:t>-0.049</w:t>
            </w:r>
          </w:p>
        </w:tc>
        <w:tc>
          <w:tcPr>
            <w:tcW w:type="dxa" w:w="1512"/>
            <w:vAlign w:val="center"/>
            <w:shd w:fill="EDF3F6"/>
          </w:tcPr>
          <w:p>
            <w:pPr>
              <w:spacing w:after="0"/>
            </w:pPr>
            <w:r>
              <w:rPr>
                <w:sz w:val="15"/>
              </w:rPr>
              <w:t>1.000</w:t>
            </w:r>
          </w:p>
        </w:tc>
        <w:tc>
          <w:tcPr>
            <w:tcW w:type="dxa" w:w="1296"/>
            <w:vAlign w:val="center"/>
            <w:shd w:fill="EDF3F6"/>
          </w:tcPr>
          <w:p>
            <w:pPr>
              <w:spacing w:after="0"/>
            </w:pPr>
            <w:r>
              <w:rPr>
                <w:sz w:val="15"/>
              </w:rPr>
              <w:t>0.750</w:t>
            </w:r>
          </w:p>
        </w:tc>
      </w:tr>
      <w:tr>
        <w:tc>
          <w:tcPr>
            <w:tcW w:type="dxa" w:w="1512"/>
            <w:vAlign w:val="center"/>
          </w:tcPr>
          <w:p>
            <w:pPr>
              <w:spacing w:after="0"/>
            </w:pPr>
            <w:r>
              <w:rPr>
                <w:sz w:val="15"/>
              </w:rPr>
              <w:t>Blood cell</w:t>
            </w:r>
          </w:p>
        </w:tc>
        <w:tc>
          <w:tcPr>
            <w:tcW w:type="dxa" w:w="2448"/>
            <w:vAlign w:val="center"/>
          </w:tcPr>
          <w:p>
            <w:pPr>
              <w:spacing w:after="0"/>
            </w:pPr>
            <w:r>
              <w:rPr>
                <w:sz w:val="15"/>
              </w:rPr>
              <w:t>t-SNE vs PCA</w:t>
            </w:r>
          </w:p>
        </w:tc>
        <w:tc>
          <w:tcPr>
            <w:tcW w:type="dxa" w:w="936"/>
            <w:vAlign w:val="center"/>
          </w:tcPr>
          <w:p>
            <w:pPr>
              <w:spacing w:after="0"/>
            </w:pPr>
            <w:r>
              <w:rPr>
                <w:sz w:val="15"/>
              </w:rPr>
              <w:t>-0.008</w:t>
            </w:r>
          </w:p>
        </w:tc>
        <w:tc>
          <w:tcPr>
            <w:tcW w:type="dxa" w:w="1512"/>
            <w:vAlign w:val="center"/>
          </w:tcPr>
          <w:p>
            <w:pPr>
              <w:spacing w:after="0"/>
            </w:pPr>
            <w:r>
              <w:rPr>
                <w:sz w:val="15"/>
              </w:rPr>
              <w:t>1.000</w:t>
            </w:r>
          </w:p>
        </w:tc>
        <w:tc>
          <w:tcPr>
            <w:tcW w:type="dxa" w:w="1296"/>
            <w:vAlign w:val="center"/>
          </w:tcPr>
          <w:p>
            <w:pPr>
              <w:spacing w:after="0"/>
            </w:pPr>
            <w:r>
              <w:rPr>
                <w:sz w:val="15"/>
              </w:rPr>
              <w:t>0.750</w:t>
            </w:r>
          </w:p>
        </w:tc>
      </w:tr>
      <w:tr>
        <w:tc>
          <w:tcPr>
            <w:tcW w:type="dxa" w:w="1512"/>
            <w:vAlign w:val="center"/>
            <w:shd w:fill="EDF3F6"/>
          </w:tcPr>
          <w:p>
            <w:pPr>
              <w:spacing w:after="0"/>
            </w:pPr>
            <w:r>
              <w:rPr>
                <w:sz w:val="15"/>
              </w:rPr>
              <w:t>Blood cell</w:t>
            </w:r>
          </w:p>
        </w:tc>
        <w:tc>
          <w:tcPr>
            <w:tcW w:type="dxa" w:w="2448"/>
            <w:vAlign w:val="center"/>
            <w:shd w:fill="EDF3F6"/>
          </w:tcPr>
          <w:p>
            <w:pPr>
              <w:spacing w:after="0"/>
            </w:pPr>
            <w:r>
              <w:rPr>
                <w:sz w:val="15"/>
              </w:rPr>
              <w:t>PCA + t-SNE vs PCA</w:t>
            </w:r>
          </w:p>
        </w:tc>
        <w:tc>
          <w:tcPr>
            <w:tcW w:type="dxa" w:w="936"/>
            <w:vAlign w:val="center"/>
            <w:shd w:fill="EDF3F6"/>
          </w:tcPr>
          <w:p>
            <w:pPr>
              <w:spacing w:after="0"/>
            </w:pPr>
            <w:r>
              <w:rPr>
                <w:sz w:val="15"/>
              </w:rPr>
              <w:t>-0.014</w:t>
            </w:r>
          </w:p>
        </w:tc>
        <w:tc>
          <w:tcPr>
            <w:tcW w:type="dxa" w:w="1512"/>
            <w:vAlign w:val="center"/>
            <w:shd w:fill="EDF3F6"/>
          </w:tcPr>
          <w:p>
            <w:pPr>
              <w:spacing w:after="0"/>
            </w:pPr>
            <w:r>
              <w:rPr>
                <w:sz w:val="15"/>
              </w:rPr>
              <w:t>1.000</w:t>
            </w:r>
          </w:p>
        </w:tc>
        <w:tc>
          <w:tcPr>
            <w:tcW w:type="dxa" w:w="1296"/>
            <w:vAlign w:val="center"/>
            <w:shd w:fill="EDF3F6"/>
          </w:tcPr>
          <w:p>
            <w:pPr>
              <w:spacing w:after="0"/>
            </w:pPr>
            <w:r>
              <w:rPr>
                <w:sz w:val="15"/>
              </w:rPr>
              <w:t>0.500</w:t>
            </w:r>
          </w:p>
        </w:tc>
      </w:tr>
      <w:tr>
        <w:tc>
          <w:tcPr>
            <w:tcW w:type="dxa" w:w="1512"/>
            <w:vAlign w:val="center"/>
          </w:tcPr>
          <w:p>
            <w:pPr>
              <w:spacing w:after="0"/>
            </w:pPr>
            <w:r>
              <w:rPr>
                <w:sz w:val="15"/>
              </w:rPr>
              <w:t>Blood cell</w:t>
            </w:r>
          </w:p>
        </w:tc>
        <w:tc>
          <w:tcPr>
            <w:tcW w:type="dxa" w:w="2448"/>
            <w:vAlign w:val="center"/>
          </w:tcPr>
          <w:p>
            <w:pPr>
              <w:spacing w:after="0"/>
            </w:pPr>
            <w:r>
              <w:rPr>
                <w:sz w:val="15"/>
              </w:rPr>
              <w:t>UMAP vs PCA</w:t>
            </w:r>
          </w:p>
        </w:tc>
        <w:tc>
          <w:tcPr>
            <w:tcW w:type="dxa" w:w="936"/>
            <w:vAlign w:val="center"/>
          </w:tcPr>
          <w:p>
            <w:pPr>
              <w:spacing w:after="0"/>
            </w:pPr>
            <w:r>
              <w:rPr>
                <w:sz w:val="15"/>
              </w:rPr>
              <w:t>-0.031</w:t>
            </w:r>
          </w:p>
        </w:tc>
        <w:tc>
          <w:tcPr>
            <w:tcW w:type="dxa" w:w="1512"/>
            <w:vAlign w:val="center"/>
          </w:tcPr>
          <w:p>
            <w:pPr>
              <w:spacing w:after="0"/>
            </w:pPr>
            <w:r>
              <w:rPr>
                <w:sz w:val="15"/>
              </w:rPr>
              <w:t>1.000</w:t>
            </w:r>
          </w:p>
        </w:tc>
        <w:tc>
          <w:tcPr>
            <w:tcW w:type="dxa" w:w="1296"/>
            <w:vAlign w:val="center"/>
          </w:tcPr>
          <w:p>
            <w:pPr>
              <w:spacing w:after="0"/>
            </w:pPr>
            <w:r>
              <w:rPr>
                <w:sz w:val="15"/>
              </w:rPr>
              <w:t>0.500</w:t>
            </w:r>
          </w:p>
        </w:tc>
      </w:tr>
      <w:tr>
        <w:tc>
          <w:tcPr>
            <w:tcW w:type="dxa" w:w="1512"/>
            <w:vAlign w:val="center"/>
            <w:shd w:fill="EDF3F6"/>
          </w:tcPr>
          <w:p>
            <w:pPr>
              <w:spacing w:after="0"/>
            </w:pPr>
            <w:r>
              <w:rPr>
                <w:sz w:val="15"/>
              </w:rPr>
              <w:t>Blood cell</w:t>
            </w:r>
          </w:p>
        </w:tc>
        <w:tc>
          <w:tcPr>
            <w:tcW w:type="dxa" w:w="2448"/>
            <w:vAlign w:val="center"/>
            <w:shd w:fill="EDF3F6"/>
          </w:tcPr>
          <w:p>
            <w:pPr>
              <w:spacing w:after="0"/>
            </w:pPr>
            <w:r>
              <w:rPr>
                <w:sz w:val="15"/>
              </w:rPr>
              <w:t>MDS vs PCA</w:t>
            </w:r>
          </w:p>
        </w:tc>
        <w:tc>
          <w:tcPr>
            <w:tcW w:type="dxa" w:w="936"/>
            <w:vAlign w:val="center"/>
            <w:shd w:fill="EDF3F6"/>
          </w:tcPr>
          <w:p>
            <w:pPr>
              <w:spacing w:after="0"/>
            </w:pPr>
            <w:r>
              <w:rPr>
                <w:sz w:val="15"/>
              </w:rPr>
              <w:t>-0.068</w:t>
            </w:r>
          </w:p>
        </w:tc>
        <w:tc>
          <w:tcPr>
            <w:tcW w:type="dxa" w:w="1512"/>
            <w:vAlign w:val="center"/>
            <w:shd w:fill="EDF3F6"/>
          </w:tcPr>
          <w:p>
            <w:pPr>
              <w:spacing w:after="0"/>
            </w:pPr>
            <w:r>
              <w:rPr>
                <w:sz w:val="15"/>
              </w:rPr>
              <w:t>1.000</w:t>
            </w:r>
          </w:p>
        </w:tc>
        <w:tc>
          <w:tcPr>
            <w:tcW w:type="dxa" w:w="1296"/>
            <w:vAlign w:val="center"/>
            <w:shd w:fill="EDF3F6"/>
          </w:tcPr>
          <w:p>
            <w:pPr>
              <w:spacing w:after="0"/>
            </w:pPr>
            <w:r>
              <w:rPr>
                <w:sz w:val="15"/>
              </w:rPr>
              <w:t>0.250</w:t>
            </w:r>
          </w:p>
        </w:tc>
      </w:tr>
      <w:tr>
        <w:tc>
          <w:tcPr>
            <w:tcW w:type="dxa" w:w="1512"/>
            <w:vAlign w:val="center"/>
          </w:tcPr>
          <w:p>
            <w:pPr>
              <w:spacing w:after="0"/>
            </w:pPr>
            <w:r>
              <w:rPr>
                <w:sz w:val="15"/>
              </w:rPr>
              <w:t>Blood cell</w:t>
            </w:r>
          </w:p>
        </w:tc>
        <w:tc>
          <w:tcPr>
            <w:tcW w:type="dxa" w:w="2448"/>
            <w:vAlign w:val="center"/>
          </w:tcPr>
          <w:p>
            <w:pPr>
              <w:spacing w:after="0"/>
            </w:pPr>
            <w:r>
              <w:rPr>
                <w:sz w:val="15"/>
              </w:rPr>
              <w:t>PCoA vs PCA</w:t>
            </w:r>
          </w:p>
        </w:tc>
        <w:tc>
          <w:tcPr>
            <w:tcW w:type="dxa" w:w="936"/>
            <w:vAlign w:val="center"/>
          </w:tcPr>
          <w:p>
            <w:pPr>
              <w:spacing w:after="0"/>
            </w:pPr>
            <w:r>
              <w:rPr>
                <w:sz w:val="15"/>
              </w:rPr>
              <w:t>-0.014</w:t>
            </w:r>
          </w:p>
        </w:tc>
        <w:tc>
          <w:tcPr>
            <w:tcW w:type="dxa" w:w="1512"/>
            <w:vAlign w:val="center"/>
          </w:tcPr>
          <w:p>
            <w:pPr>
              <w:spacing w:after="0"/>
            </w:pPr>
            <w:r>
              <w:rPr>
                <w:sz w:val="15"/>
              </w:rPr>
              <w:t>0.210</w:t>
            </w:r>
          </w:p>
        </w:tc>
        <w:tc>
          <w:tcPr>
            <w:tcW w:type="dxa" w:w="1296"/>
            <w:vAlign w:val="center"/>
          </w:tcPr>
          <w:p>
            <w:pPr>
              <w:spacing w:after="0"/>
            </w:pPr>
            <w:r>
              <w:rPr>
                <w:sz w:val="15"/>
              </w:rPr>
              <w:t>0.250</w:t>
            </w:r>
          </w:p>
        </w:tc>
      </w:tr>
      <w:tr>
        <w:tc>
          <w:tcPr>
            <w:tcW w:type="dxa" w:w="1512"/>
            <w:vAlign w:val="center"/>
            <w:shd w:fill="EDF3F6"/>
          </w:tcPr>
          <w:p>
            <w:pPr>
              <w:spacing w:after="0"/>
            </w:pPr>
            <w:r>
              <w:rPr>
                <w:sz w:val="15"/>
              </w:rPr>
              <w:t>Blood cell</w:t>
            </w:r>
          </w:p>
        </w:tc>
        <w:tc>
          <w:tcPr>
            <w:tcW w:type="dxa" w:w="2448"/>
            <w:vAlign w:val="center"/>
            <w:shd w:fill="EDF3F6"/>
          </w:tcPr>
          <w:p>
            <w:pPr>
              <w:spacing w:after="0"/>
            </w:pPr>
            <w:r>
              <w:rPr>
                <w:sz w:val="15"/>
              </w:rPr>
              <w:t>Isomap vs PCA</w:t>
            </w:r>
          </w:p>
        </w:tc>
        <w:tc>
          <w:tcPr>
            <w:tcW w:type="dxa" w:w="936"/>
            <w:vAlign w:val="center"/>
            <w:shd w:fill="EDF3F6"/>
          </w:tcPr>
          <w:p>
            <w:pPr>
              <w:spacing w:after="0"/>
            </w:pPr>
            <w:r>
              <w:rPr>
                <w:sz w:val="15"/>
              </w:rPr>
              <w:t>-0.048</w:t>
            </w:r>
          </w:p>
        </w:tc>
        <w:tc>
          <w:tcPr>
            <w:tcW w:type="dxa" w:w="1512"/>
            <w:vAlign w:val="center"/>
            <w:shd w:fill="EDF3F6"/>
          </w:tcPr>
          <w:p>
            <w:pPr>
              <w:spacing w:after="0"/>
            </w:pPr>
            <w:r>
              <w:rPr>
                <w:sz w:val="15"/>
              </w:rPr>
              <w:t>1.000</w:t>
            </w:r>
          </w:p>
        </w:tc>
        <w:tc>
          <w:tcPr>
            <w:tcW w:type="dxa" w:w="1296"/>
            <w:vAlign w:val="center"/>
            <w:shd w:fill="EDF3F6"/>
          </w:tcPr>
          <w:p>
            <w:pPr>
              <w:spacing w:after="0"/>
            </w:pPr>
            <w:r>
              <w:rPr>
                <w:sz w:val="15"/>
              </w:rPr>
              <w:t>0.500</w:t>
            </w:r>
          </w:p>
        </w:tc>
      </w:tr>
    </w:tbl>
    <w:p/>
    <w:p>
      <w:r>
        <w:t>The repeated-measures ANOVA of ROC AUC gives F(8,40)=0.673 and p=0.712. The descriptive MANOVA method term gives Wilks' lambda=0.840 and p=0.945, but its independence assumption is violated. On the first split, McNemar z for UMAP versus PCA is 0.667 (p=0.505) on HAM10000 and −2.201 (uncorrected p=0.028) on blood cells; the latter is one of eight exploratory contrasts and does not survive Bonferroni correction. Full outputs are in the results directory. These tests do not substitute for nested cross-validation, independent patient cohorts, confidence intervals, and a prospective analysis plan.</w:t>
      </w:r>
    </w:p>
    <w:p>
      <w:pPr>
        <w:pStyle w:val="Heading1"/>
      </w:pPr>
      <w:r>
        <w:t>Limitations and next study</w:t>
      </w:r>
    </w:p>
    <w:p>
      <w:r>
        <w:t>The study compresses lesion images to 8 × 8 pixels and forces every representation to two dimensions. It has three repeated splits, a small subsample, an approximate t-SNE/SNE test transform, and no independent blood-cell patient identifier. The blood-cell source's clinical provenance is not verified. No external cohort, fairness assessment, or uncertainty interval is available. These limits prevent a clinical diagnostic claim or any promise of Q1 journal acceptance. A publication study should use original images or validated embeddings, prespecified nested validation, external cohorts, and lesion detection annotations if FROC is a target.</w:t>
      </w:r>
    </w:p>
    <w:p>
      <w:pPr>
        <w:pStyle w:val="Heading1"/>
      </w:pPr>
      <w:r>
        <w:t>References and data sources</w:t>
      </w:r>
    </w:p>
    <w:p>
      <w:pPr>
        <w:pStyle w:val="ListBullet"/>
      </w:pPr>
      <w:r>
        <w:t>HAM10000 dataset: https://www.kaggle.com/datasets/kmader/skin-cancer-mnist-ham10000</w:t>
      </w:r>
    </w:p>
    <w:p>
      <w:pPr>
        <w:pStyle w:val="ListBullet"/>
      </w:pPr>
      <w:r>
        <w:t>HAM10000 source paper: https://arxiv.org/abs/1803.10417</w:t>
      </w:r>
    </w:p>
    <w:p>
      <w:pPr>
        <w:pStyle w:val="ListBullet"/>
      </w:pPr>
      <w:r>
        <w:t>Blood-cell data: https://www.kaggle.com/datasets/alitaqishah/blood-cell-anomaly-detection-2025</w:t>
      </w:r>
    </w:p>
    <w:p>
      <w:pPr>
        <w:pStyle w:val="ListBullet"/>
      </w:pPr>
      <w:r>
        <w:t>Kernel PCA: https://is.mpg.de/de/publications/730</w:t>
      </w:r>
    </w:p>
    <w:p>
      <w:pPr>
        <w:pStyle w:val="ListBullet"/>
      </w:pPr>
      <w:r>
        <w:t>SNE: https://papers.nips.cc/paper/2276-stochastic-neighbor-embedding</w:t>
      </w:r>
    </w:p>
    <w:p>
      <w:pPr>
        <w:pStyle w:val="ListBullet"/>
      </w:pPr>
      <w:r>
        <w:t>t-SNE: https://www.jmlr.org/papers/v9/vandermaaten08a.html</w:t>
      </w:r>
    </w:p>
    <w:p>
      <w:pPr>
        <w:pStyle w:val="ListBullet"/>
      </w:pPr>
      <w:r>
        <w:t>UMAP: https://arxiv.org/abs/1802.03426</w:t>
      </w:r>
    </w:p>
    <w:p>
      <w:pPr>
        <w:pStyle w:val="ListBullet"/>
      </w:pPr>
      <w:r>
        <w:t>Metric MDS implementation: https://scikit-learn.org/stable/modules/generated/sklearn.manifold.MDS.html</w:t>
      </w:r>
    </w:p>
    <w:p>
      <w:pPr>
        <w:pStyle w:val="ListBullet"/>
      </w:pPr>
      <w:r>
        <w:t>Principal coordinates analysis: https://doi.org/10.1093/biomet/53.3-4.325</w:t>
      </w:r>
    </w:p>
    <w:p>
      <w:pPr>
        <w:pStyle w:val="ListBullet"/>
      </w:pPr>
      <w:r>
        <w:t>Isomap: https://doi.org/10.1126/science.290.5500.2319</w:t>
      </w:r>
    </w:p>
    <w:sectPr w:rsidR="00FC693F" w:rsidRPr="0006063C" w:rsidSect="00034616">
      <w:footerReference w:type="default" r:id="rId23"/>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Preliminary computational study | Reproduce from the accompanying repository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B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B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