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F3CDE" w:rsidRDefault="000102EB" w14:paraId="10097628" w14:textId="77777777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:rsidR="000F3CDE" w:rsidRDefault="000102EB" w14:paraId="5606952D" w14:textId="77777777">
      <w:pPr>
        <w:pStyle w:val="Titel"/>
        <w:jc w:val="right"/>
      </w:pPr>
      <w:fldSimple w:instr="title  \* Mergeformat ">
        <w:r w:rsidR="00420D7F">
          <w:t>Use-Case Specification: Feedback</w:t>
        </w:r>
      </w:fldSimple>
    </w:p>
    <w:p w:rsidR="000F3CDE" w:rsidRDefault="000F3CDE" w14:paraId="5595C579" w14:textId="77777777">
      <w:pPr>
        <w:pStyle w:val="Titel"/>
        <w:jc w:val="right"/>
      </w:pPr>
    </w:p>
    <w:p w:rsidR="000F3CDE" w:rsidRDefault="003948C2" w14:paraId="6DC5A2E6" w14:textId="620BD394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1.1</w:t>
      </w:r>
    </w:p>
    <w:p w:rsidR="000F3CDE" w:rsidRDefault="000F3CDE" w14:paraId="520739A1" w14:textId="77777777"/>
    <w:p w:rsidR="000F3CDE" w:rsidRDefault="000F3CDE" w14:paraId="7A3ABADD" w14:textId="77777777">
      <w:pPr>
        <w:pStyle w:val="Textkrper"/>
      </w:pPr>
    </w:p>
    <w:p w:rsidR="000F3CDE" w:rsidRDefault="000F3CDE" w14:paraId="3A1FA746" w14:textId="77777777">
      <w:pPr>
        <w:pStyle w:val="Textkrper"/>
      </w:pPr>
    </w:p>
    <w:p w:rsidR="000F3CDE" w:rsidRDefault="000F3CDE" w14:paraId="6B60ECFD" w14:textId="77777777">
      <w:pPr>
        <w:sectPr w:rsidR="000F3CDE">
          <w:headerReference w:type="default" r:id="rId7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w:rsidR="000F3CDE" w:rsidRDefault="00E15C9D" w14:paraId="00708779" w14:textId="77777777">
      <w:pPr>
        <w:pStyle w:val="Titel"/>
      </w:pPr>
      <w:r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:rsidTr="67271CF8" w14:paraId="7C958704" w14:textId="77777777">
        <w:tc>
          <w:tcPr>
            <w:tcW w:w="2304" w:type="dxa"/>
            <w:tcMar/>
          </w:tcPr>
          <w:p w:rsidR="000F3CDE" w:rsidRDefault="00E15C9D" w14:paraId="7809CD3F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="000F3CDE" w:rsidRDefault="00E15C9D" w14:paraId="2B13F51B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="000F3CDE" w:rsidRDefault="00E15C9D" w14:paraId="37AEDE8E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="000F3CDE" w:rsidRDefault="00E15C9D" w14:paraId="4A9CCDF2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:rsidTr="67271CF8" w14:paraId="22D95F54" w14:textId="77777777">
        <w:tc>
          <w:tcPr>
            <w:tcW w:w="2304" w:type="dxa"/>
            <w:tcMar/>
          </w:tcPr>
          <w:p w:rsidR="000F3CDE" w:rsidRDefault="003948C2" w14:paraId="0F6996F2" w14:textId="77777777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  <w:tcMar/>
          </w:tcPr>
          <w:p w:rsidR="000F3CDE" w:rsidRDefault="003948C2" w14:paraId="60D08A5E" w14:textId="77777777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Mar/>
          </w:tcPr>
          <w:p w:rsidR="000F3CDE" w:rsidRDefault="003948C2" w14:paraId="3B592ACA" w14:textId="77777777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  <w:tcMar/>
          </w:tcPr>
          <w:p w:rsidR="000F3CDE" w:rsidRDefault="003948C2" w14:paraId="66CB5DC6" w14:textId="77777777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  <w:tr w:rsidR="000F3CDE" w:rsidTr="67271CF8" w14:paraId="45932F94" w14:textId="77777777">
        <w:tc>
          <w:tcPr>
            <w:tcW w:w="2304" w:type="dxa"/>
            <w:tcMar/>
          </w:tcPr>
          <w:p w:rsidR="000F3CDE" w:rsidRDefault="000A478D" w14:paraId="082AF0A9" w14:textId="3B14F256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  <w:tcMar/>
          </w:tcPr>
          <w:p w:rsidR="000F3CDE" w:rsidRDefault="000A478D" w14:paraId="725F4062" w14:textId="4E6E511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Mar/>
          </w:tcPr>
          <w:p w:rsidR="000F3CDE" w:rsidRDefault="000A478D" w14:paraId="4B35EA42" w14:textId="0DD1EC62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  <w:tcMar/>
          </w:tcPr>
          <w:p w:rsidR="000F3CDE" w:rsidRDefault="000A478D" w14:paraId="6E68CD26" w14:textId="2D6F3035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:rsidTr="67271CF8" w14:paraId="57EA2F26" w14:textId="77777777">
        <w:tc>
          <w:tcPr>
            <w:tcW w:w="2304" w:type="dxa"/>
            <w:tcMar/>
          </w:tcPr>
          <w:p w:rsidR="000F3CDE" w:rsidRDefault="000F3CDE" w14:paraId="3A951583" w14:noSpellErr="1" w14:textId="1CED7877">
            <w:pPr>
              <w:pStyle w:val="Tabletext"/>
            </w:pPr>
            <w:r w:rsidR="67271CF8">
              <w:rPr/>
              <w:t>01.11.2015</w:t>
            </w:r>
          </w:p>
        </w:tc>
        <w:tc>
          <w:tcPr>
            <w:tcW w:w="1152" w:type="dxa"/>
            <w:tcMar/>
          </w:tcPr>
          <w:p w:rsidR="000F3CDE" w:rsidRDefault="000F3CDE" w14:paraId="046706C7" w14:noSpellErr="1" w14:textId="056EE639">
            <w:pPr>
              <w:pStyle w:val="Tabletext"/>
            </w:pPr>
            <w:r w:rsidR="67271CF8">
              <w:rPr/>
              <w:t>1.2</w:t>
            </w:r>
          </w:p>
        </w:tc>
        <w:tc>
          <w:tcPr>
            <w:tcW w:w="3744" w:type="dxa"/>
            <w:tcMar/>
          </w:tcPr>
          <w:p w:rsidR="000F3CDE" w:rsidRDefault="000F3CDE" w14:paraId="7F7BBF01" w14:noSpellErr="1" w14:textId="255A6631">
            <w:pPr>
              <w:pStyle w:val="Tabletext"/>
            </w:pPr>
            <w:r w:rsidR="67271CF8">
              <w:rPr/>
              <w:t>Cucumber</w:t>
            </w:r>
          </w:p>
        </w:tc>
        <w:tc>
          <w:tcPr>
            <w:tcW w:w="2304" w:type="dxa"/>
            <w:tcMar/>
          </w:tcPr>
          <w:p w:rsidR="000F3CDE" w:rsidRDefault="000F3CDE" w14:paraId="495B8AD7" w14:textId="1373AA10">
            <w:pPr>
              <w:pStyle w:val="Tabletext"/>
            </w:pPr>
            <w:proofErr w:type="spellStart"/>
            <w:r w:rsidR="67271CF8">
              <w:rPr/>
              <w:t>Niclas</w:t>
            </w:r>
            <w:proofErr w:type="spellEnd"/>
            <w:r w:rsidR="67271CF8">
              <w:rPr/>
              <w:t xml:space="preserve"> </w:t>
            </w:r>
            <w:proofErr w:type="spellStart"/>
            <w:r w:rsidR="67271CF8">
              <w:rPr/>
              <w:t>Petersohn</w:t>
            </w:r>
            <w:proofErr w:type="spellEnd"/>
          </w:p>
        </w:tc>
      </w:tr>
      <w:tr w:rsidR="000F3CDE" w:rsidTr="67271CF8" w14:paraId="663F0A08" w14:textId="77777777">
        <w:tc>
          <w:tcPr>
            <w:tcW w:w="2304" w:type="dxa"/>
            <w:tcMar/>
          </w:tcPr>
          <w:p w:rsidR="000F3CDE" w:rsidRDefault="000F3CDE" w14:paraId="4E1FA4DD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0F3CDE" w:rsidRDefault="000F3CDE" w14:paraId="2F0486E1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0F3CDE" w:rsidRDefault="000F3CDE" w14:paraId="5BB74259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="000F3CDE" w:rsidRDefault="000F3CDE" w14:paraId="20793DA8" w14:textId="77777777">
            <w:pPr>
              <w:pStyle w:val="Tabletext"/>
            </w:pPr>
          </w:p>
        </w:tc>
      </w:tr>
    </w:tbl>
    <w:p w:rsidR="000F3CDE" w:rsidRDefault="000F3CDE" w14:paraId="1B70B0FF" w14:textId="77777777"/>
    <w:p w:rsidR="000F3CDE" w:rsidRDefault="00E15C9D" w14:paraId="4D42E32E" w14:textId="77777777">
      <w:pPr>
        <w:pStyle w:val="Titel"/>
      </w:pPr>
      <w:bookmarkStart w:name="_GoBack" w:id="0"/>
      <w:bookmarkEnd w:id="0"/>
      <w:r>
        <w:br w:type="page"/>
      </w:r>
      <w:r>
        <w:t>Table of Contents</w:t>
      </w:r>
    </w:p>
    <w:p w:rsidR="000102EB" w:rsidRDefault="00E15C9D" w14:paraId="5EFD4273" w14:textId="77777777">
      <w:pPr>
        <w:pStyle w:val="Verzeichnis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:rsidR="000102EB" w:rsidRDefault="000102EB" w14:paraId="34EB1A55" w14:textId="77777777">
      <w:pPr>
        <w:pStyle w:val="Verzeichnis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:rsidR="000102EB" w:rsidRDefault="000102EB" w14:paraId="3A5DFF94" w14:textId="77777777">
      <w:pPr>
        <w:pStyle w:val="Verzeichnis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:rsidR="000102EB" w:rsidRDefault="000102EB" w14:paraId="43229C4B" w14:textId="77777777">
      <w:pPr>
        <w:pStyle w:val="Verzeichnis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:rsidR="000102EB" w:rsidRDefault="000102EB" w14:paraId="21D2C6AF" w14:textId="77777777">
      <w:pPr>
        <w:pStyle w:val="Verzeichnis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2E1CEE75" w14:textId="77777777">
      <w:pPr>
        <w:pStyle w:val="Verzeichnis3"/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26F4D1E7" w14:textId="77777777">
      <w:pPr>
        <w:pStyle w:val="Verzeichnis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192544C4" w14:textId="77777777">
      <w:pPr>
        <w:pStyle w:val="Verzeichnis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45CBCF5F" w14:textId="77777777">
      <w:pPr>
        <w:pStyle w:val="Verzeichnis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36DF43E2" w14:textId="77777777">
      <w:pPr>
        <w:pStyle w:val="Verzeichnis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2E3BFCCF" w14:textId="77777777">
      <w:pPr>
        <w:pStyle w:val="Verzeichnis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4E5E6485" w14:textId="77777777">
      <w:pPr>
        <w:pStyle w:val="Verzeichnis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Pr="000102EB" w:rsidR="000102EB" w:rsidRDefault="000102EB" w14:paraId="16431B8F" w14:textId="77777777">
      <w:pPr>
        <w:pStyle w:val="Verzeichnis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hAnsiTheme="minorHAnsi" w:eastAsiaTheme="minorEastAsia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="000102EB" w:rsidRDefault="000102EB" w14:paraId="2784FD3D" w14:textId="77777777">
      <w:pPr>
        <w:pStyle w:val="Verzeichnis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:rsidR="000F3CDE" w:rsidRDefault="00E15C9D" w14:paraId="3CFFE2C7" w14:textId="72CAED95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948C2">
          <w:t xml:space="preserve">Use-Case Specification: </w:t>
        </w:r>
        <w:r w:rsidR="00650F13">
          <w:t>Feedback</w:t>
        </w:r>
      </w:fldSimple>
      <w:bookmarkStart w:name="_Toc423410237" w:id="1"/>
      <w:bookmarkStart w:name="_Toc425054503" w:id="2"/>
      <w:r>
        <w:t xml:space="preserve"> </w:t>
      </w:r>
      <w:bookmarkEnd w:id="1"/>
      <w:bookmarkEnd w:id="2"/>
    </w:p>
    <w:p w:rsidR="000F3CDE" w:rsidRDefault="000F3CDE" w14:paraId="3FABCBAD" w14:textId="77777777">
      <w:pPr>
        <w:pStyle w:val="InfoBlue"/>
      </w:pPr>
    </w:p>
    <w:p w:rsidR="000F3CDE" w:rsidRDefault="00E15C9D" w14:paraId="3CB18E74" w14:textId="77777777">
      <w:pPr>
        <w:pStyle w:val="berschrift1"/>
      </w:pPr>
      <w:bookmarkStart w:name="_Toc433553330" w:id="3"/>
      <w:bookmarkStart w:name="_Toc423410238" w:id="4"/>
      <w:bookmarkStart w:name="_Toc425054504" w:id="5"/>
      <w:r>
        <w:t>Use-Case Name</w:t>
      </w:r>
      <w:bookmarkEnd w:id="3"/>
      <w:r>
        <w:t xml:space="preserve"> </w:t>
      </w:r>
    </w:p>
    <w:p w:rsidR="000F3CDE" w:rsidRDefault="00E15C9D" w14:paraId="02B2D37B" w14:textId="77777777">
      <w:pPr>
        <w:pStyle w:val="berschrift2"/>
      </w:pPr>
      <w:bookmarkStart w:name="_Toc433553331" w:id="6"/>
      <w:r>
        <w:t>Brief Description</w:t>
      </w:r>
      <w:bookmarkEnd w:id="4"/>
      <w:bookmarkEnd w:id="5"/>
      <w:bookmarkEnd w:id="6"/>
    </w:p>
    <w:p w:rsidRPr="009A29D5" w:rsidR="009A29D5" w:rsidP="009A29D5" w:rsidRDefault="003948C2" w14:paraId="7F99ACFC" w14:textId="70101399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</w:p>
    <w:p w:rsidR="000F3CDE" w:rsidRDefault="00E15C9D" w14:paraId="2806FFC4" w14:textId="4CF44C63">
      <w:pPr>
        <w:pStyle w:val="berschrift1"/>
        <w:widowControl/>
      </w:pPr>
      <w:bookmarkStart w:name="_Toc423410239" w:id="7"/>
      <w:bookmarkStart w:name="_Toc425054505" w:id="8"/>
      <w:bookmarkStart w:name="_Toc433553332" w:id="9"/>
      <w:r>
        <w:t>Flow of Events</w:t>
      </w:r>
      <w:bookmarkEnd w:id="7"/>
      <w:bookmarkEnd w:id="8"/>
      <w:bookmarkEnd w:id="9"/>
    </w:p>
    <w:p w:rsidR="00C52BEC" w:rsidP="009A29D5" w:rsidRDefault="00E15C9D" w14:paraId="7EC2B37F" w14:textId="1149A4B2">
      <w:pPr>
        <w:pStyle w:val="berschrift2"/>
      </w:pPr>
      <w:bookmarkStart w:name="_Toc423410240" w:id="10"/>
      <w:bookmarkStart w:name="_Toc425054506" w:id="11"/>
      <w:bookmarkStart w:name="_Toc433553333" w:id="12"/>
      <w:r>
        <w:t>Basic Flow</w:t>
      </w:r>
      <w:bookmarkEnd w:id="10"/>
      <w:bookmarkEnd w:id="11"/>
      <w:bookmarkEnd w:id="12"/>
      <w:r>
        <w:t xml:space="preserve"> </w:t>
      </w:r>
      <w:bookmarkStart w:name="_Toc423410241" w:id="13"/>
      <w:bookmarkStart w:name="_Toc425054507" w:id="14"/>
    </w:p>
    <w:p w:rsidR="001D489D" w:rsidP="001D489D" w:rsidRDefault="00C67825" w14:paraId="75EBDF1F" w14:textId="30B58A03">
      <w:pPr>
        <w:pStyle w:val="berschrift2"/>
        <w:numPr>
          <w:ilvl w:val="0"/>
          <w:numId w:val="0"/>
        </w:numPr>
        <w:ind w:left="720"/>
      </w:pPr>
      <w:r w:rsidRPr="00C67825">
        <w:rPr>
          <w:rFonts w:ascii="Times New Roman" w:hAnsi="Times New Roman"/>
          <w:b w:val="0"/>
          <w:noProof/>
          <w:lang w:val="de-DE" w:eastAsia="de-DE"/>
        </w:rPr>
        <w:drawing>
          <wp:inline distT="0" distB="0" distL="0" distR="0" wp14:anchorId="4D31DDD7" wp14:editId="76C34DC9">
            <wp:extent cx="4972050" cy="5802122"/>
            <wp:effectExtent l="0" t="0" r="0" b="8255"/>
            <wp:docPr id="2" name="Grafik 2" descr="C:\Users\quint_000\OneDrive\shared-stuff\Use Case\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56" cy="58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Toc433553334" w:id="15"/>
    </w:p>
    <w:p w:rsidR="001D489D" w:rsidP="001D489D" w:rsidRDefault="001D489D" w14:paraId="3F7C5993" w14:noSpellErr="1" w14:textId="7DC764B6">
      <w:pPr>
        <w:rPr>
          <w:rFonts w:ascii="Arial" w:hAnsi="Arial"/>
        </w:rPr>
      </w:pPr>
      <w:r>
        <w:br w:type="page"/>
      </w:r>
      <w:r>
        <w:drawing>
          <wp:inline wp14:editId="5BFD92AE" wp14:anchorId="44A0AE63">
            <wp:extent cx="4400550" cy="4572000"/>
            <wp:effectExtent l="0" t="0" r="0" b="0"/>
            <wp:docPr id="4178050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c8da661a57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25" w:rsidP="00C67825" w:rsidRDefault="00C67825" w14:paraId="263758E1" w14:textId="77777777">
      <w:pPr>
        <w:pStyle w:val="berschrift2"/>
        <w:numPr>
          <w:ilvl w:val="0"/>
          <w:numId w:val="0"/>
        </w:numPr>
        <w:ind w:left="720"/>
      </w:pPr>
    </w:p>
    <w:p w:rsidR="000F3CDE" w:rsidP="00C67825" w:rsidRDefault="00E15C9D" w14:paraId="0924E4F1" w14:textId="74DB902F">
      <w:pPr>
        <w:pStyle w:val="berschrift2"/>
      </w:pPr>
      <w:r>
        <w:t>Alternative Flows</w:t>
      </w:r>
      <w:bookmarkEnd w:id="13"/>
      <w:bookmarkEnd w:id="14"/>
      <w:bookmarkEnd w:id="15"/>
    </w:p>
    <w:p w:rsidR="000F3CDE" w:rsidRDefault="00420D7F" w14:paraId="676FAB18" w14:textId="59F0F00E">
      <w:pPr>
        <w:pStyle w:val="berschrift3"/>
        <w:widowControl/>
      </w:pPr>
      <w:bookmarkStart w:name="_Toc433553335" w:id="16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:rsidRPr="003948C2" w:rsidR="003948C2" w:rsidP="003948C2" w:rsidRDefault="00420D7F" w14:paraId="4203A4BD" w14:textId="1DF31D83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:rsidR="000F3CDE" w:rsidRDefault="00E15C9D" w14:paraId="6323FF4D" w14:textId="77777777">
      <w:pPr>
        <w:pStyle w:val="berschrift1"/>
      </w:pPr>
      <w:bookmarkStart w:name="_Toc423410251" w:id="17"/>
      <w:bookmarkStart w:name="_Toc425054510" w:id="18"/>
      <w:bookmarkStart w:name="_Toc433553336" w:id="19"/>
      <w:r>
        <w:t>Special Requirements</w:t>
      </w:r>
      <w:bookmarkEnd w:id="17"/>
      <w:bookmarkEnd w:id="18"/>
      <w:bookmarkEnd w:id="19"/>
    </w:p>
    <w:p w:rsidR="000F3CDE" w:rsidP="00B14870" w:rsidRDefault="00B14870" w14:paraId="2C7B96E7" w14:textId="405B979F">
      <w:pPr>
        <w:ind w:left="720"/>
      </w:pPr>
      <w:r>
        <w:t>n/a</w:t>
      </w:r>
    </w:p>
    <w:p w:rsidR="000F3CDE" w:rsidRDefault="00E15C9D" w14:paraId="1C58EB32" w14:textId="77777777">
      <w:pPr>
        <w:pStyle w:val="berschrift1"/>
        <w:widowControl/>
      </w:pPr>
      <w:bookmarkStart w:name="_Toc423410253" w:id="20"/>
      <w:bookmarkStart w:name="_Toc425054512" w:id="21"/>
      <w:bookmarkStart w:name="_Toc433553337" w:id="22"/>
      <w:r>
        <w:t>Preconditions</w:t>
      </w:r>
      <w:bookmarkEnd w:id="20"/>
      <w:bookmarkEnd w:id="21"/>
      <w:bookmarkEnd w:id="22"/>
    </w:p>
    <w:p w:rsidR="00B14870" w:rsidP="00B14870" w:rsidRDefault="00B14870" w14:paraId="4A1413A2" w14:textId="428A0A82">
      <w:pPr>
        <w:pStyle w:val="berschrift2"/>
        <w:widowControl/>
      </w:pPr>
      <w:bookmarkStart w:name="_Toc433553338" w:id="23"/>
      <w:r>
        <w:t>App started</w:t>
      </w:r>
      <w:bookmarkEnd w:id="23"/>
    </w:p>
    <w:p w:rsidRPr="00B14870" w:rsidR="00B14870" w:rsidP="00B14870" w:rsidRDefault="00B14870" w14:paraId="6ACFD778" w14:textId="0A5D1FC7">
      <w:pPr>
        <w:ind w:left="720"/>
      </w:pPr>
      <w:r>
        <w:t>The app must be running.</w:t>
      </w:r>
    </w:p>
    <w:p w:rsidR="00B14870" w:rsidP="00B14870" w:rsidRDefault="00B14870" w14:paraId="2BEA29D2" w14:textId="37F6B64F">
      <w:pPr>
        <w:pStyle w:val="berschrift2"/>
      </w:pPr>
      <w:bookmarkStart w:name="_Toc433553339" w:id="24"/>
      <w:r>
        <w:t>Internet Connection</w:t>
      </w:r>
      <w:bookmarkEnd w:id="24"/>
    </w:p>
    <w:p w:rsidR="00B14870" w:rsidP="00B14870" w:rsidRDefault="00420D7F" w14:paraId="7943C558" w14:textId="357CA351">
      <w:pPr>
        <w:ind w:left="720"/>
      </w:pPr>
      <w:r>
        <w:t>To submit feedback or a message</w:t>
      </w:r>
      <w:r w:rsidR="00B14870">
        <w:t>, an internet connection is necessary.</w:t>
      </w:r>
    </w:p>
    <w:p w:rsidR="00420D7F" w:rsidP="00420D7F" w:rsidRDefault="00420D7F" w14:paraId="556241A1" w14:textId="5B679F9D">
      <w:pPr>
        <w:pStyle w:val="berschrift2"/>
      </w:pPr>
      <w:bookmarkStart w:name="_Toc433553340" w:id="25"/>
      <w:r>
        <w:t>Response possibility</w:t>
      </w:r>
      <w:bookmarkEnd w:id="25"/>
      <w:r>
        <w:t xml:space="preserve"> </w:t>
      </w:r>
    </w:p>
    <w:p w:rsidRPr="00420D7F" w:rsidR="00420D7F" w:rsidP="00420D7F" w:rsidRDefault="00420D7F" w14:paraId="7547B7EB" w14:textId="4D5959DE">
      <w:pPr>
        <w:ind w:left="720"/>
      </w:pPr>
      <w:r>
        <w:t>If the user wants a response to his feedback or his question, he needs to be logged in or submit an email address as well.</w:t>
      </w:r>
    </w:p>
    <w:p w:rsidR="000F3CDE" w:rsidRDefault="00E15C9D" w14:paraId="39C76BCD" w14:textId="77777777">
      <w:pPr>
        <w:pStyle w:val="berschrift1"/>
        <w:widowControl/>
      </w:pPr>
      <w:bookmarkStart w:name="_Toc423410255" w:id="26"/>
      <w:bookmarkStart w:name="_Toc425054514" w:id="27"/>
      <w:bookmarkStart w:name="_Toc433553341" w:id="28"/>
      <w:proofErr w:type="spellStart"/>
      <w:r>
        <w:t>Postconditions</w:t>
      </w:r>
      <w:bookmarkEnd w:id="26"/>
      <w:bookmarkEnd w:id="27"/>
      <w:bookmarkEnd w:id="28"/>
      <w:proofErr w:type="spellEnd"/>
    </w:p>
    <w:p w:rsidR="000F3CDE" w:rsidRDefault="00420D7F" w14:paraId="5BBB17CC" w14:textId="55355B1A">
      <w:pPr>
        <w:pStyle w:val="berschrift2"/>
        <w:widowControl/>
      </w:pPr>
      <w:bookmarkStart w:name="_Toc433553342" w:id="29"/>
      <w:r>
        <w:t>Notification if feedback is successfully submitted</w:t>
      </w:r>
      <w:bookmarkEnd w:id="29"/>
    </w:p>
    <w:p w:rsidRPr="00B14870" w:rsidR="00B14870" w:rsidP="00B14870" w:rsidRDefault="00420D7F" w14:paraId="476B8482" w14:textId="1E727A56">
      <w:pPr>
        <w:ind w:left="720"/>
      </w:pPr>
      <w:r>
        <w:t>As soon as the feedback/the question reached the server, a notification will be send to the user.</w:t>
      </w:r>
    </w:p>
    <w:p w:rsidR="000F3CDE" w:rsidRDefault="00E15C9D" w14:paraId="338CD26A" w14:textId="77777777">
      <w:pPr>
        <w:pStyle w:val="berschrift1"/>
      </w:pPr>
      <w:bookmarkStart w:name="_Toc433553343" w:id="30"/>
      <w:r>
        <w:t>Extension Points</w:t>
      </w:r>
      <w:bookmarkEnd w:id="30"/>
    </w:p>
    <w:p w:rsidRPr="00E15C9D" w:rsidR="000F3CDE" w:rsidP="000102EB" w:rsidRDefault="00B14870" w14:paraId="7D47D16F" w14:textId="3C401CEE">
      <w:pPr>
        <w:ind w:firstLine="720"/>
      </w:pPr>
      <w:r>
        <w:t>n/a</w:t>
      </w:r>
    </w:p>
    <w:sectPr w:rsidRPr="00E15C9D" w:rsidR="000F3CDE">
      <w:headerReference w:type="default" r:id="rId9"/>
      <w:footerReference w:type="default" r:id="rId10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DE" w:rsidRDefault="00E15C9D" w14:paraId="55947E5A" w14:textId="77777777">
      <w:pPr>
        <w:spacing w:line="240" w:lineRule="auto"/>
      </w:pPr>
      <w:r>
        <w:separator/>
      </w:r>
    </w:p>
  </w:endnote>
  <w:endnote w:type="continuationSeparator" w:id="0">
    <w:p w:rsidR="000F3CDE" w:rsidRDefault="00E15C9D" w14:paraId="33AE677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3CDE" w:rsidRDefault="00E15C9D" w14:paraId="645907AA" w14:textId="7777777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3CDE" w:rsidP="00E15C9D" w:rsidRDefault="00E15C9D" w14:paraId="4687E018" w14:textId="4AA2FC57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0F1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3CDE" w:rsidRDefault="00E15C9D" w14:paraId="65ACE2AA" w14:textId="7777777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655C0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0F3CDE" w:rsidRDefault="000F3CDE" w14:paraId="42CD60A5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DE" w:rsidRDefault="00E15C9D" w14:paraId="5B419C21" w14:textId="77777777">
      <w:pPr>
        <w:spacing w:line="240" w:lineRule="auto"/>
      </w:pPr>
      <w:r>
        <w:separator/>
      </w:r>
    </w:p>
  </w:footnote>
  <w:footnote w:type="continuationSeparator" w:id="0">
    <w:p w:rsidR="000F3CDE" w:rsidRDefault="00E15C9D" w14:paraId="0F38746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CDE" w:rsidRDefault="000F3CDE" w14:paraId="0A4C8152" w14:textId="77777777">
    <w:pPr>
      <w:rPr>
        <w:sz w:val="24"/>
      </w:rPr>
    </w:pPr>
  </w:p>
  <w:p w:rsidR="000F3CDE" w:rsidRDefault="000F3CDE" w14:paraId="3409E727" w14:textId="77777777">
    <w:pPr>
      <w:pBdr>
        <w:top w:val="single" w:color="auto" w:sz="6" w:space="1"/>
      </w:pBdr>
      <w:rPr>
        <w:sz w:val="24"/>
      </w:rPr>
    </w:pPr>
  </w:p>
  <w:p w:rsidR="000F3CDE" w:rsidRDefault="003948C2" w14:paraId="7AF59E21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:rsidR="000F3CDE" w:rsidRDefault="000F3CDE" w14:paraId="3BC04576" w14:textId="77777777">
    <w:pPr>
      <w:pBdr>
        <w:bottom w:val="single" w:color="auto" w:sz="6" w:space="1"/>
      </w:pBdr>
      <w:jc w:val="right"/>
      <w:rPr>
        <w:sz w:val="24"/>
      </w:rPr>
    </w:pPr>
  </w:p>
  <w:p w:rsidR="000F3CDE" w:rsidRDefault="000F3CDE" w14:paraId="5A3581E1" w14:textId="777777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:rsidR="000F3CDE" w:rsidP="003948C2" w:rsidRDefault="003948C2" w14:paraId="77F853C1" w14:textId="77777777">
          <w:r>
            <w:t>Gaming Bets</w:t>
          </w:r>
        </w:p>
      </w:tc>
      <w:tc>
        <w:tcPr>
          <w:tcW w:w="3179" w:type="dxa"/>
        </w:tcPr>
        <w:p w:rsidR="000F3CDE" w:rsidRDefault="00E15C9D" w14:paraId="0CB203A9" w14:textId="7167EFC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55C0">
            <w:t>1.1</w:t>
          </w:r>
        </w:p>
      </w:tc>
    </w:tr>
    <w:tr w:rsidR="000F3CDE" w14:paraId="6B64771C" w14:textId="77777777">
      <w:tc>
        <w:tcPr>
          <w:tcW w:w="6379" w:type="dxa"/>
        </w:tcPr>
        <w:p w:rsidR="000F3CDE" w:rsidP="003948C2" w:rsidRDefault="000102EB" w14:paraId="3CE0D111" w14:textId="77777777">
          <w:pPr>
            <w:tabs>
              <w:tab w:val="left" w:pos="4680"/>
            </w:tabs>
          </w:pPr>
          <w:fldSimple w:instr="title  \* Mergeformat ">
            <w:r w:rsidR="00F655C0">
              <w:t>Use-Case Specification: Feedback</w:t>
            </w:r>
          </w:fldSimple>
          <w:r w:rsidR="003948C2">
            <w:tab/>
          </w:r>
        </w:p>
      </w:tc>
      <w:tc>
        <w:tcPr>
          <w:tcW w:w="3179" w:type="dxa"/>
        </w:tcPr>
        <w:p w:rsidR="000F3CDE" w:rsidP="00F655C0" w:rsidRDefault="003948C2" w14:paraId="17C13D97" w14:textId="5BD663DF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:rsidR="000F3CDE" w:rsidRDefault="000F3CDE" w14:paraId="083A624A" w14:textId="77777777"/>
      </w:tc>
    </w:tr>
  </w:tbl>
  <w:p w:rsidR="000F3CDE" w:rsidRDefault="000F3CDE" w14:paraId="2861F54E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D489D"/>
    <w:rsid w:val="003948C2"/>
    <w:rsid w:val="00420D7F"/>
    <w:rsid w:val="00650F13"/>
    <w:rsid w:val="00914E15"/>
    <w:rsid w:val="009A29D5"/>
    <w:rsid w:val="00B14870"/>
    <w:rsid w:val="00C52BEC"/>
    <w:rsid w:val="00C67825"/>
    <w:rsid w:val="00CA302C"/>
    <w:rsid w:val="00CD3734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Paragraph2" w:customStyle="1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styleId="Paragraph3" w:customStyle="1">
    <w:name w:val="Paragraph3"/>
    <w:basedOn w:val="Standard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Standard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Bullet1" w:customStyle="1">
    <w:name w:val="Bullet1"/>
    <w:basedOn w:val="Standard"/>
    <w:pPr>
      <w:ind w:left="720" w:hanging="432"/>
    </w:pPr>
  </w:style>
  <w:style w:type="paragraph" w:styleId="Bullet2" w:customStyle="1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25c8da661a574f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Use-Case Specification: Feedback</dc:title>
  <dc:subject>Gaming-Bets</dc:subject>
  <dc:creator>Felix Morsbach</dc:creator>
  <keywords/>
  <dc:description/>
  <lastModifiedBy>Niclas Petersohn</lastModifiedBy>
  <revision>14</revision>
  <dcterms:created xsi:type="dcterms:W3CDTF">2001-08-30T13:23:00.0000000Z</dcterms:created>
  <dcterms:modified xsi:type="dcterms:W3CDTF">2015-11-01T17:10:22.2850315Z</dcterms:modified>
</coreProperties>
</file>