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40"/>
        </w:rPr>
        <w:t>Supplementary Materials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Protocol-clean EOL/RUL prognostics for lithium-ion batteries</w:t>
      </w:r>
    </w:p>
    <w:p>
      <w:pPr>
        <w:spacing w:before="160" w:after="60"/>
      </w:pPr>
      <w:r>
        <w:rPr>
          <w:rFonts w:ascii="Times New Roman" w:hAnsi="Times New Roman" w:eastAsia="宋体"/>
          <w:b/>
          <w:i w:val="0"/>
          <w:sz w:val="24"/>
        </w:rPr>
        <w:t>S1 Fixed protocol and leakage guard</w:t>
      </w:r>
    </w:p>
    <w:p>
      <w:pPr>
        <w:spacing w:line="276" w:lineRule="auto" w:after="6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本补充材料的目的不是新增主结果，而是对固定协议、泄漏控制、特征来源、目标域标签预算、原始数据溯源以及神经模型负向控制进行审稿防御式说明。所有定量结论均遵守固定边界：Batch 1-8 为 source domain，Batch 9 为带标签 target development/adaptation/model-selection set，Batch 10 仅作为 blind test after fixed selection 使用。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S1 Fixed split and permitted 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Role</w:t>
            </w:r>
          </w:p>
        </w:tc>
        <w:tc>
          <w:tcPr>
            <w:tcW w:type="dxa" w:w="2622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Batches</w:t>
            </w:r>
          </w:p>
        </w:tc>
        <w:tc>
          <w:tcPr>
            <w:tcW w:type="dxa" w:w="2622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Cells</w:t>
            </w:r>
          </w:p>
        </w:tc>
        <w:tc>
          <w:tcPr>
            <w:tcW w:type="dxa" w:w="2622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Allowed use</w:t>
            </w:r>
          </w:p>
        </w:tc>
      </w:tr>
      <w:tr>
        <w:tc>
          <w:tcPr>
            <w:tcW w:type="dxa" w:w="26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Source domain</w:t>
            </w:r>
          </w:p>
        </w:tc>
        <w:tc>
          <w:tcPr>
            <w:tcW w:type="dxa" w:w="26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Batch 1-8</w:t>
            </w:r>
          </w:p>
        </w:tc>
        <w:tc>
          <w:tcPr>
            <w:tcW w:type="dxa" w:w="26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61</w:t>
            </w:r>
          </w:p>
        </w:tc>
        <w:tc>
          <w:tcPr>
            <w:tcW w:type="dxa" w:w="262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Source training and source-only comparator</w:t>
            </w:r>
          </w:p>
        </w:tc>
      </w:tr>
      <w:tr>
        <w:tc>
          <w:tcPr>
            <w:tcW w:type="dxa" w:w="262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Target development/adaptation</w:t>
            </w:r>
          </w:p>
        </w:tc>
        <w:tc>
          <w:tcPr>
            <w:tcW w:type="dxa" w:w="26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Batch 9</w:t>
            </w:r>
          </w:p>
        </w:tc>
        <w:tc>
          <w:tcPr>
            <w:tcW w:type="dxa" w:w="26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</w:t>
            </w:r>
          </w:p>
        </w:tc>
        <w:tc>
          <w:tcPr>
            <w:tcW w:type="dxa" w:w="262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Labeled target adaptation and Batch-9-only selection</w:t>
            </w:r>
          </w:p>
        </w:tc>
      </w:tr>
      <w:tr>
        <w:tc>
          <w:tcPr>
            <w:tcW w:type="dxa" w:w="26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Blind target test</w:t>
            </w:r>
          </w:p>
        </w:tc>
        <w:tc>
          <w:tcPr>
            <w:tcW w:type="dxa" w:w="26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Batch 10</w:t>
            </w:r>
          </w:p>
        </w:tc>
        <w:tc>
          <w:tcPr>
            <w:tcW w:type="dxa" w:w="26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</w:t>
            </w:r>
          </w:p>
        </w:tc>
        <w:tc>
          <w:tcPr>
            <w:tcW w:type="dxa" w:w="262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Final reporting only; no training or selection</w:t>
            </w:r>
          </w:p>
        </w:tc>
      </w:tr>
    </w:tbl>
    <w:p/>
    <w:p>
      <w:pPr>
        <w:spacing w:line="276" w:lineRule="auto" w:after="6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在 EOL-first 表述下，模型首先预测 cell-level EOL cycle；当观测 horizon 固定为 h 时，RUL 由 predicted RUL = predicted EOL - h 得到。因此，在固定 horizon 的 cell-level EOL/RUL 评估中，EOL 和 RUL 的绝对误差数值相同。</w:t>
      </w:r>
    </w:p>
    <w:p>
      <w:pPr>
        <w:spacing w:before="160" w:after="60"/>
      </w:pPr>
      <w:r>
        <w:rPr>
          <w:rFonts w:ascii="Times New Roman" w:hAnsi="Times New Roman" w:eastAsia="宋体"/>
          <w:b/>
          <w:i w:val="0"/>
          <w:sz w:val="24"/>
        </w:rPr>
        <w:t>S2 Feature-family and horizon audit</w:t>
      </w:r>
    </w:p>
    <w:p>
      <w:pPr>
        <w:spacing w:line="276" w:lineRule="auto" w:after="6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该审计固定 learner 为 strict v1 的 ExtraTrees，并仅使用 Batch 9 leave-one-cell-out 验证比较 feature family 和 horizon。Batch 10 没有被该脚本加载，也没有参与特征族、horizon 或模型选择。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S2 Batch9 validation-only feature-family and horizon audit.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Feature family</w:t>
            </w:r>
          </w:p>
        </w:tc>
        <w:tc>
          <w:tcPr>
            <w:tcW w:type="dxa" w:w="209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Horizon</w:t>
            </w:r>
          </w:p>
        </w:tc>
        <w:tc>
          <w:tcPr>
            <w:tcW w:type="dxa" w:w="209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Features</w:t>
            </w:r>
          </w:p>
        </w:tc>
        <w:tc>
          <w:tcPr>
            <w:tcW w:type="dxa" w:w="209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Batch9 RMSE</w:t>
            </w:r>
          </w:p>
        </w:tc>
        <w:tc>
          <w:tcPr>
            <w:tcW w:type="dxa" w:w="209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Batch9 MAE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fused_all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108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219.15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151.50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fused_all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108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189.67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144.64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fused_all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200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108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174.49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120.23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fused_all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300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108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156.88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104.71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fused_all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108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118.42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101.14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fused_all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108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91.08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78.14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fused_all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108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75.26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61.96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soh_capacity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219.87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160.36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soh_capacity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208.02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165.92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soh_capacity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200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163.83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135.13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soh_capacity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300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97.82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78.97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soh_capacity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104.48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89.33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soh_capacity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86.76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70.24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soh_capacity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89.60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68.81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x_curve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49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213.32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148.12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x_curve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49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184.66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140.45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x_curve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200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49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172.96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128.11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x_curve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300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49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166.65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124.56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x_curve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49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159.76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119.67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x_curve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49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98.68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80.50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x_curve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49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87.46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84.34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41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_vs_batch9_rm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 S1 Horizon sensitivity by feature family under Batch9 validation 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804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family_batch9_rm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 S2 Best Batch9 RMSE by feature family.</w:t>
      </w:r>
    </w:p>
    <w:p>
      <w:pPr>
        <w:spacing w:before="160" w:after="60"/>
      </w:pPr>
      <w:r>
        <w:rPr>
          <w:rFonts w:ascii="Times New Roman" w:hAnsi="Times New Roman" w:eastAsia="宋体"/>
          <w:b/>
          <w:i w:val="0"/>
          <w:sz w:val="24"/>
        </w:rPr>
        <w:t>S3 Leakage blacklist and negative control</w:t>
      </w:r>
    </w:p>
    <w:p>
      <w:pPr>
        <w:spacing w:line="276" w:lineRule="auto" w:after="6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模型输入黑名单包括 EOL/RUL 标签、全寿命长度、observed ratio、horizon、n_observed、last_observed_cycle、cell id、batch id 以及任何需要未来循环才能计算的字段。feature-horizon-leakage-defense-v2 的 audit 显示这些字段 used_as_model_input 均为 false。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S3 Valid feature-family rows after leakage-negative-control QA.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Family</w:t>
            </w:r>
          </w:p>
        </w:tc>
        <w:tc>
          <w:tcPr>
            <w:tcW w:type="dxa" w:w="209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Selected horizon</w:t>
            </w:r>
          </w:p>
        </w:tc>
        <w:tc>
          <w:tcPr>
            <w:tcW w:type="dxa" w:w="209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Features</w:t>
            </w:r>
          </w:p>
        </w:tc>
        <w:tc>
          <w:tcPr>
            <w:tcW w:type="dxa" w:w="209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Batch9 RMSE</w:t>
            </w:r>
          </w:p>
        </w:tc>
        <w:tc>
          <w:tcPr>
            <w:tcW w:type="dxa" w:w="209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Batch10 RMSE report-only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strict_fused_all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108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75.26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56.19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soh_capacity_only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86.76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138.56</w:t>
            </w:r>
          </w:p>
        </w:tc>
      </w:tr>
      <w:tr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x_curve_only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1000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49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87.46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199.74</w:t>
            </w:r>
          </w:p>
        </w:tc>
      </w:tr>
    </w:tbl>
    <w:p/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S4 Invalid endpoint-derived leakage stress 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c>
          <w:tcPr>
            <w:tcW w:type="dxa" w:w="3496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Horizon</w:t>
            </w:r>
          </w:p>
        </w:tc>
        <w:tc>
          <w:tcPr>
            <w:tcW w:type="dxa" w:w="3496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Invalid Batch9 RMSE</w:t>
            </w:r>
          </w:p>
        </w:tc>
        <w:tc>
          <w:tcPr>
            <w:tcW w:type="dxa" w:w="3496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Invalid Batch10 RMSE report-only</w:t>
            </w:r>
          </w:p>
        </w:tc>
      </w:tr>
      <w:tr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50</w:t>
            </w:r>
          </w:p>
        </w:tc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0.0002</w:t>
            </w:r>
          </w:p>
        </w:tc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0.0004</w:t>
            </w:r>
          </w:p>
        </w:tc>
      </w:tr>
      <w:tr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100</w:t>
            </w:r>
          </w:p>
        </w:tc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0.0199</w:t>
            </w:r>
          </w:p>
        </w:tc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0.0097</w:t>
            </w:r>
          </w:p>
        </w:tc>
      </w:tr>
      <w:tr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200</w:t>
            </w:r>
          </w:p>
        </w:tc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0.3714</w:t>
            </w:r>
          </w:p>
        </w:tc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0.6056</w:t>
            </w:r>
          </w:p>
        </w:tc>
      </w:tr>
      <w:tr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300</w:t>
            </w:r>
          </w:p>
        </w:tc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0.3556</w:t>
            </w:r>
          </w:p>
        </w:tc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0.4163</w:t>
            </w:r>
          </w:p>
        </w:tc>
      </w:tr>
      <w:tr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500</w:t>
            </w:r>
          </w:p>
        </w:tc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0.4326</w:t>
            </w:r>
          </w:p>
        </w:tc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0.2336</w:t>
            </w:r>
          </w:p>
        </w:tc>
      </w:tr>
      <w:tr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800</w:t>
            </w:r>
          </w:p>
        </w:tc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0.5717</w:t>
            </w:r>
          </w:p>
        </w:tc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0.9564</w:t>
            </w:r>
          </w:p>
        </w:tc>
      </w:tr>
      <w:tr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1000</w:t>
            </w:r>
          </w:p>
        </w:tc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2.0148</w:t>
            </w:r>
          </w:p>
        </w:tc>
        <w:tc>
          <w:tcPr>
            <w:tcW w:type="dxa" w:w="3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0.3158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kage-negative-control-v1_invalid_leakage_negative_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 S3 Invalid endpoint-derived leakage negative control.</w:t>
      </w:r>
    </w:p>
    <w:p>
      <w:pPr>
        <w:spacing w:before="160" w:after="60"/>
      </w:pPr>
      <w:r>
        <w:rPr>
          <w:rFonts w:ascii="Times New Roman" w:hAnsi="Times New Roman" w:eastAsia="宋体"/>
          <w:b/>
          <w:i w:val="0"/>
          <w:sz w:val="24"/>
        </w:rPr>
        <w:t>S4 Target-label budget sensitivity</w:t>
      </w:r>
    </w:p>
    <w:p>
      <w:pPr>
        <w:spacing w:line="276" w:lineRule="auto" w:after="6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目标域标签预算实验固定 ExtraTrees、1000-cycle horizon 和特征黑名单，评估 k=0/1/2/4/8 个 Batch 9 标签时的 Batch 10 结果。所有子集预先定义，不允许根据 Batch 10 选择更优子集。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S5 Target-label budget aggregate sensitivity.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8"/>
        <w:gridCol w:w="1748"/>
        <w:gridCol w:w="1748"/>
        <w:gridCol w:w="1748"/>
        <w:gridCol w:w="1748"/>
        <w:gridCol w:w="1748"/>
      </w:tblGrid>
      <w:tr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Labeled Batch 9 cells</w:t>
            </w:r>
          </w:p>
        </w:tc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Subsets</w:t>
            </w:r>
          </w:p>
        </w:tc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RMSE mean</w:t>
            </w:r>
          </w:p>
        </w:tc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RMSE median</w:t>
            </w:r>
          </w:p>
        </w:tc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RMSE range</w:t>
            </w:r>
          </w:p>
        </w:tc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MAE mean</w:t>
            </w:r>
          </w:p>
        </w:tc>
      </w:tr>
      <w:tr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0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64.27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64.27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64.27-64.27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55.21</w:t>
            </w:r>
          </w:p>
        </w:tc>
      </w:tr>
      <w:tr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61.17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60.86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57.74-64.20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54.30</w:t>
            </w:r>
          </w:p>
        </w:tc>
      </w:tr>
      <w:tr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2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28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60.55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60.42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54.45-66.24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53.91</w:t>
            </w:r>
          </w:p>
        </w:tc>
      </w:tr>
      <w:tr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4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70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59.64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59.46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51.99-67.91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53.20</w:t>
            </w:r>
          </w:p>
        </w:tc>
      </w:tr>
      <w:tr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8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56.19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56.19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56.19-56.19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49.42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788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target_label_budget_sensitivity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7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 S4 Target-label budget sensitivity.</w:t>
      </w:r>
    </w:p>
    <w:p>
      <w:pPr>
        <w:spacing w:before="160" w:after="60"/>
      </w:pPr>
      <w:r>
        <w:rPr>
          <w:rFonts w:ascii="Times New Roman" w:hAnsi="Times New Roman" w:eastAsia="宋体"/>
          <w:b/>
          <w:i w:val="0"/>
          <w:sz w:val="24"/>
        </w:rPr>
        <w:t>S5 Raw provenance diagnostic</w:t>
      </w:r>
    </w:p>
    <w:p>
      <w:pPr>
        <w:spacing w:line="276" w:lineRule="auto" w:after="6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raw provenance 诊断只读取直接 raw our_data/*.pkl 输入，不使用处理后的 clean_*_x.npy、metadata 或 y_nominal 作为模型输入。该诊断用于证明部分预测信息可以从原始在线观测信号追溯得到，但其 Batch 10 结果尚未超过 strict processed-feature ExtraTrees。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S6 Raw-provenance diagnostic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8"/>
        <w:gridCol w:w="1748"/>
        <w:gridCol w:w="1748"/>
        <w:gridCol w:w="1748"/>
        <w:gridCol w:w="1748"/>
        <w:gridCol w:w="1748"/>
      </w:tblGrid>
      <w:tr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Diagnostic line</w:t>
            </w:r>
          </w:p>
        </w:tc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Feature source</w:t>
            </w:r>
          </w:p>
        </w:tc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Selected strategy</w:t>
            </w:r>
          </w:p>
        </w:tc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Batch 9 RMSE/MAE</w:t>
            </w:r>
          </w:p>
        </w:tc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Batch 10 RMSE/MAE</w:t>
            </w:r>
          </w:p>
        </w:tc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Interpretation</w:t>
            </w:r>
          </w:p>
        </w:tc>
      </w:tr>
      <w:tr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Earlier raw-pkl/dq</w:t>
            </w:r>
          </w:p>
        </w:tc>
        <w:tc>
          <w:tcPr>
            <w:tcW w:type="dxa" w:w="17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Direct raw pkl and dq summaries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ElasticNet, 1000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52.15 / n.r.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125.54 / 101.38</w:t>
            </w:r>
          </w:p>
        </w:tc>
        <w:tc>
          <w:tcPr>
            <w:tcW w:type="dxa" w:w="17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Feasibility diagnostic; generalized poorly</w:t>
            </w:r>
          </w:p>
        </w:tc>
      </w:tr>
      <w:tr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Raw feature-selection</w:t>
            </w:r>
          </w:p>
        </w:tc>
        <w:tc>
          <w:tcPr>
            <w:tcW w:type="dxa" w:w="17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Raw-derived selected features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corr_fused_top20 + SVR-RBF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30.94 / 25.56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76.97 / 67.46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Feature-selection diagnostic</w:t>
            </w:r>
          </w:p>
        </w:tc>
      </w:tr>
      <w:tr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Strict raw-provenance v3</w:t>
            </w:r>
          </w:p>
        </w:tc>
        <w:tc>
          <w:tcPr>
            <w:tcW w:type="dxa" w:w="17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Direct raw our_data/*.pkl only</w:t>
            </w:r>
          </w:p>
        </w:tc>
        <w:tc>
          <w:tcPr>
            <w:tcW w:type="dxa" w:w="17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corr_capacity_top20 + SVR-RBF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29.87 / 21.66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74.12 / 63.16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Traceability evidence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141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raw_provenance_v3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4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 S5 Strict raw-provenance v3 summary.</w:t>
      </w:r>
    </w:p>
    <w:p>
      <w:pPr>
        <w:spacing w:before="160" w:after="60"/>
      </w:pPr>
      <w:r>
        <w:rPr>
          <w:rFonts w:ascii="Times New Roman" w:hAnsi="Times New Roman" w:eastAsia="宋体"/>
          <w:b/>
          <w:i w:val="0"/>
          <w:sz w:val="24"/>
        </w:rPr>
        <w:t>S6 Neural negative controls and cubic-base ablation</w:t>
      </w:r>
    </w:p>
    <w:p>
      <w:pPr>
        <w:spacing w:line="276" w:lineRule="auto" w:after="6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Round8 进一步尝试了两个严格协议下的物理一致性神经原型。两个模型都遵守 Batch-9-only 选择协议，但均未超过 strict ExtraTrees 主结果，因此只能作为负向或诊断控制。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S7 Polynomial-base ablation and neural negative-control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8"/>
        <w:gridCol w:w="1748"/>
        <w:gridCol w:w="1748"/>
        <w:gridCol w:w="1748"/>
        <w:gridCol w:w="1748"/>
        <w:gridCol w:w="1748"/>
      </w:tblGrid>
      <w:tr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Family</w:t>
            </w:r>
          </w:p>
        </w:tc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Protocol</w:t>
            </w:r>
          </w:p>
        </w:tc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Degree</w:t>
            </w:r>
          </w:p>
        </w:tc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Batch 9 RMSE</w:t>
            </w:r>
          </w:p>
        </w:tc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Batch 9 MAE</w:t>
            </w:r>
          </w:p>
        </w:tc>
        <w:tc>
          <w:tcPr>
            <w:tcW w:type="dxa" w:w="1748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4"/>
              </w:rPr>
              <w:t>Interpretation</w:t>
            </w:r>
          </w:p>
        </w:tc>
      </w:tr>
      <w:tr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polyresid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source + target-adapt LOOCV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3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114.03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99.82</w:t>
            </w:r>
          </w:p>
        </w:tc>
        <w:tc>
          <w:tcPr>
            <w:tcW w:type="dxa" w:w="17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Best compact target-adapt neural variant</w:t>
            </w:r>
          </w:p>
        </w:tc>
      </w:tr>
      <w:tr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polyresid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source + target-adapt LOOCV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4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182.94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151.24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Weaker</w:t>
            </w:r>
          </w:p>
        </w:tc>
      </w:tr>
      <w:tr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polyresid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source + target-adapt LOOCV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2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742.88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708.78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Failed</w:t>
            </w:r>
          </w:p>
        </w:tc>
      </w:tr>
      <w:tr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base only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no training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3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141.37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105.36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Best base-only variant</w:t>
            </w:r>
          </w:p>
        </w:tc>
      </w:tr>
      <w:tr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base only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no training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4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353.40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313.50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Weaker</w:t>
            </w:r>
          </w:p>
        </w:tc>
      </w:tr>
      <w:tr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base only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no training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2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1187.93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1147.65</w:t>
            </w:r>
          </w:p>
        </w:tc>
        <w:tc>
          <w:tcPr>
            <w:tcW w:type="dxa" w:w="17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4"/>
              </w:rPr>
              <w:t>Failed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 w:eastAsia="宋体"/>
          <w:b/>
          <w:i w:val="0"/>
          <w:sz w:val="24"/>
        </w:rPr>
        <w:t>S7 Limitations and reproducibility notes</w:t>
      </w:r>
    </w:p>
    <w:p>
      <w:pPr>
        <w:spacing w:line="276" w:lineRule="auto" w:after="6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当前正式结论仍是 within-dataset cross-batch evidence。Batch 10 只有 8 个盲测电池，统计外推能力有限；当前最佳 horizon 为 1000 cycles，属于 early-to-mid-life，不支持 very-early 50/100-cycle 高精度声明；数据中没有温度字段，不支持 temperature-aware claim；三次基座只能写作当前数据和 compact target-adapt 设置下的低阶非线性先验，不能写作物理定律。</w:t>
      </w:r>
    </w:p>
    <w:p>
      <w:pPr>
        <w:spacing w:line="276" w:lineRule="auto" w:after="6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所有脚本均保存在 codex 对应实验目录。Round8 审查中，feature-horizon-leakage-defense-v2、leakage-negative-control-v1、physics-consistent-neural-eol-v3 和 physics-neural-eol-alt-v4 的脚本均通过 py_compile，JSON 可正常解析。</w:t>
      </w:r>
    </w:p>
    <w:sectPr w:rsidR="00FC693F" w:rsidRPr="0006063C" w:rsidSect="00034616">
      <w:pgSz w:w="11906" w:h="16838"/>
      <w:pgMar w:top="879" w:right="709" w:bottom="87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