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tiff" ContentType="image/tif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097E3">
      <w:pPr>
        <w:rPr>
          <w:rFonts w:cs="Times New Roman"/>
          <w:b/>
          <w:bCs/>
          <w:color w:val="2F5496"/>
          <w:sz w:val="44"/>
          <w:szCs w:val="44"/>
        </w:rPr>
      </w:pPr>
      <w:r>
        <w:rPr>
          <w:rFonts w:cs="Times New Roman"/>
          <w:b/>
          <w:bCs/>
          <w:sz w:val="30"/>
          <w:szCs w:val="30"/>
        </w:rPr>
        <w:fldChar w:fldCharType="begin"/>
      </w:r>
      <w:r>
        <w:rPr>
          <w:rFonts w:cs="Times New Roman"/>
          <w:b/>
          <w:bCs/>
          <w:sz w:val="30"/>
          <w:szCs w:val="30"/>
        </w:rPr>
        <w:instrText xml:space="preserve"> MACROBUTTON MTEditEquationSection2 </w:instrText>
      </w:r>
      <w:r>
        <w:rPr>
          <w:rStyle w:val="50"/>
        </w:rPr>
        <w:instrText xml:space="preserve">公式章 3 节 1</w:instrText>
      </w:r>
      <w:r>
        <w:rPr>
          <w:rFonts w:cs="Times New Roman"/>
          <w:b/>
          <w:bCs/>
          <w:sz w:val="30"/>
          <w:szCs w:val="30"/>
        </w:rPr>
        <w:fldChar w:fldCharType="begin"/>
      </w:r>
      <w:r>
        <w:rPr>
          <w:rFonts w:cs="Times New Roman"/>
          <w:b/>
          <w:bCs/>
          <w:sz w:val="30"/>
          <w:szCs w:val="30"/>
        </w:rPr>
        <w:instrText xml:space="preserve"> </w:instrText>
      </w:r>
      <w:r>
        <w:rPr>
          <w:rFonts w:hint="eastAsia" w:cs="Times New Roman"/>
          <w:b/>
          <w:bCs/>
          <w:sz w:val="30"/>
          <w:szCs w:val="30"/>
        </w:rPr>
        <w:instrText xml:space="preserve">SEQ MTEqn \r \h \* MERGEFORMAT</w:instrText>
      </w:r>
      <w:r>
        <w:rPr>
          <w:rFonts w:cs="Times New Roman"/>
          <w:b/>
          <w:bCs/>
          <w:sz w:val="30"/>
          <w:szCs w:val="30"/>
        </w:rPr>
        <w:instrText xml:space="preserve"> </w:instrText>
      </w:r>
      <w:r>
        <w:rPr>
          <w:rFonts w:cs="Times New Roman"/>
          <w:b/>
          <w:bCs/>
          <w:sz w:val="30"/>
          <w:szCs w:val="30"/>
        </w:rPr>
        <w:fldChar w:fldCharType="end"/>
      </w:r>
      <w:r>
        <w:rPr>
          <w:rFonts w:cs="Times New Roman"/>
          <w:b/>
          <w:bCs/>
          <w:sz w:val="30"/>
          <w:szCs w:val="30"/>
        </w:rPr>
        <w:fldChar w:fldCharType="begin"/>
      </w:r>
      <w:r>
        <w:rPr>
          <w:rFonts w:cs="Times New Roman"/>
          <w:b/>
          <w:bCs/>
          <w:sz w:val="30"/>
          <w:szCs w:val="30"/>
        </w:rPr>
        <w:instrText xml:space="preserve"> SEQ MTSec \r 1 \h \* MERGEFORMAT </w:instrText>
      </w:r>
      <w:r>
        <w:rPr>
          <w:rFonts w:cs="Times New Roman"/>
          <w:b/>
          <w:bCs/>
          <w:sz w:val="30"/>
          <w:szCs w:val="30"/>
        </w:rPr>
        <w:fldChar w:fldCharType="end"/>
      </w:r>
      <w:r>
        <w:rPr>
          <w:rFonts w:cs="Times New Roman"/>
          <w:b/>
          <w:bCs/>
          <w:sz w:val="30"/>
          <w:szCs w:val="30"/>
        </w:rPr>
        <w:fldChar w:fldCharType="begin"/>
      </w:r>
      <w:r>
        <w:rPr>
          <w:rFonts w:cs="Times New Roman"/>
          <w:b/>
          <w:bCs/>
          <w:sz w:val="30"/>
          <w:szCs w:val="30"/>
        </w:rPr>
        <w:instrText xml:space="preserve"> SEQ MTChap \r 3 \h \* MERGEFORMAT </w:instrText>
      </w:r>
      <w:r>
        <w:rPr>
          <w:rFonts w:cs="Times New Roman"/>
          <w:b/>
          <w:bCs/>
          <w:sz w:val="30"/>
          <w:szCs w:val="30"/>
        </w:rPr>
        <w:fldChar w:fldCharType="end"/>
      </w:r>
      <w:r>
        <w:rPr>
          <w:rFonts w:cs="Times New Roman"/>
          <w:b/>
          <w:bCs/>
          <w:sz w:val="30"/>
          <w:szCs w:val="30"/>
        </w:rPr>
        <w:fldChar w:fldCharType="separate"/>
      </w:r>
      <w:r>
        <w:rPr>
          <w:rFonts w:cs="Times New Roman"/>
          <w:b/>
          <w:bCs/>
          <w:sz w:val="30"/>
          <w:szCs w:val="30"/>
        </w:rPr>
        <w:fldChar w:fldCharType="end"/>
      </w:r>
      <w:r>
        <w:rPr>
          <w:rFonts w:cs="Times New Roman"/>
          <w:b/>
          <w:bCs/>
          <w:color w:val="2F5496"/>
          <w:sz w:val="44"/>
          <w:szCs w:val="44"/>
        </w:rPr>
        <w:t>Degradation-Aware Physics-Guided Hybrid Transfer Learning for Cross-Batch State-of-Health Prediction of Lithium-Ion Batteries</w:t>
      </w:r>
    </w:p>
    <w:p w14:paraId="58DF9C75">
      <w:pPr>
        <w:rPr>
          <w:rFonts w:eastAsia="等线" w:cs="Times New Roman"/>
        </w:rPr>
      </w:pPr>
      <w:r>
        <w:rPr>
          <w:rFonts w:eastAsia="等线" w:cs="Times New Roman"/>
        </w:rPr>
        <w:t>Jichao Zhuang</w:t>
      </w:r>
      <w:r>
        <w:rPr>
          <w:rFonts w:eastAsia="等线" w:cs="Times New Roman"/>
          <w:vertAlign w:val="superscript"/>
        </w:rPr>
        <w:t>1, *</w:t>
      </w:r>
      <w:r>
        <w:rPr>
          <w:rFonts w:eastAsia="等线" w:cs="Times New Roman"/>
        </w:rPr>
        <w:t xml:space="preserve">, </w:t>
      </w:r>
      <w:r>
        <w:rPr>
          <w:rFonts w:hint="eastAsia" w:eastAsia="等线" w:cs="Times New Roman"/>
        </w:rPr>
        <w:t>Jiaming</w:t>
      </w:r>
      <w:r>
        <w:rPr>
          <w:rFonts w:eastAsia="等线" w:cs="Times New Roman"/>
        </w:rPr>
        <w:t xml:space="preserve"> </w:t>
      </w:r>
      <w:r>
        <w:rPr>
          <w:rFonts w:hint="eastAsia" w:eastAsia="等线" w:cs="Times New Roman"/>
        </w:rPr>
        <w:t>Yang</w:t>
      </w:r>
      <w:r>
        <w:rPr>
          <w:rFonts w:eastAsia="等线" w:cs="Times New Roman"/>
          <w:vertAlign w:val="superscript"/>
        </w:rPr>
        <w:t>1</w:t>
      </w:r>
    </w:p>
    <w:p w14:paraId="158208CD">
      <w:pPr>
        <w:rPr>
          <w:rFonts w:eastAsia="等线" w:cs="Times New Roman"/>
        </w:rPr>
      </w:pPr>
      <w:r>
        <w:rPr>
          <w:rFonts w:eastAsia="等线" w:cs="Times New Roman"/>
        </w:rPr>
        <w:t>1 School of Mechanical and Electrical Engineering, Guangzhou University, Guangzhou 510006, China</w:t>
      </w:r>
    </w:p>
    <w:p w14:paraId="38986136">
      <w:pPr>
        <w:rPr>
          <w:rFonts w:eastAsia="等线" w:cs="Times New Roman"/>
        </w:rPr>
      </w:pPr>
      <w:r>
        <w:rPr>
          <w:rFonts w:eastAsia="等线" w:cs="Times New Roman"/>
        </w:rPr>
        <w:t>*Corresponding author: J. Zhuang (</w:t>
      </w:r>
      <w:r>
        <w:fldChar w:fldCharType="begin"/>
      </w:r>
      <w:r>
        <w:instrText xml:space="preserve"> HYPERLINK "mailto:zjc_10242021@gzhu.edu.cn" </w:instrText>
      </w:r>
      <w:r>
        <w:fldChar w:fldCharType="separate"/>
      </w:r>
      <w:r>
        <w:rPr>
          <w:rFonts w:eastAsia="等线" w:cs="Times New Roman"/>
          <w:color w:val="467886"/>
          <w:u w:val="single"/>
        </w:rPr>
        <w:t>zjc_10242021@gzhu.edu.cn</w:t>
      </w:r>
      <w:r>
        <w:rPr>
          <w:rFonts w:eastAsia="等线" w:cs="Times New Roman"/>
          <w:color w:val="467886"/>
          <w:u w:val="single"/>
        </w:rPr>
        <w:fldChar w:fldCharType="end"/>
      </w:r>
      <w:r>
        <w:rPr>
          <w:rFonts w:eastAsia="等线" w:cs="Times New Roman"/>
        </w:rPr>
        <w:t>).</w:t>
      </w:r>
    </w:p>
    <w:p w14:paraId="2824F72B">
      <w:pPr>
        <w:rPr>
          <w:rFonts w:cs="Times New Roman"/>
        </w:rPr>
      </w:pPr>
    </w:p>
    <w:p w14:paraId="7D859754">
      <w:pPr>
        <w:rPr>
          <w:rFonts w:cs="Times New Roman"/>
        </w:rPr>
      </w:pPr>
    </w:p>
    <w:p w14:paraId="5222DDA7">
      <w:pPr>
        <w:rPr>
          <w:rFonts w:hint="default" w:cs="Times New Roman" w:eastAsiaTheme="minorEastAsia"/>
          <w:b/>
          <w:bCs/>
          <w:lang w:val="en-US" w:eastAsia="zh-CN"/>
        </w:rPr>
      </w:pPr>
      <w:r>
        <w:rPr>
          <w:rFonts w:cs="Times New Roman"/>
          <w:b/>
          <w:bCs/>
        </w:rPr>
        <w:t>Abstract</w:t>
      </w:r>
    </w:p>
    <w:p w14:paraId="738C8565">
      <w:pPr>
        <w:ind w:firstLine="420" w:firstLineChars="200"/>
        <w:rPr>
          <w:rFonts w:cs="Times New Roman"/>
        </w:rPr>
      </w:pPr>
      <w:r>
        <w:rPr>
          <w:rFonts w:hint="eastAsia" w:cs="Times New Roman"/>
        </w:rPr>
        <w:t>State-of-health (SOH) prediction models trained on historical lithium-ion battery batches often show reduced performance on a new batch. This reduction can arise from distribution shifts, inconsistent degradation stages, and cell-to-cell variation. To address these challenges, we propose a degradation-aware physics-guided hybrid transfer learning framework for cross-batch SOH prediction. The framework first adopts a physical-residual SOH modeling strategy, where a low-order nonlinear degradation prior captures the global capacity-fade trend while a residual temporal module learns cell-specific local deviations from this trend.</w:t>
      </w:r>
      <w:r>
        <w:rPr>
          <w:rFonts w:hint="eastAsia" w:cs="Times New Roman"/>
          <w:lang w:val="en-US" w:eastAsia="zh-CN"/>
        </w:rPr>
        <w:t xml:space="preserve"> </w:t>
      </w:r>
      <w:r>
        <w:rPr>
          <w:rFonts w:hint="eastAsia" w:cs="Times New Roman"/>
        </w:rPr>
        <w:t>A degradation-state-guided curve attention temporal aggregation mechanism then incorporates the estimated degradation state and local voltage-curve morphology into temporal feature aggregation. This mechanism adjusts the emphasis on local temporal segments across degradation stages. We further introduce lifecycle-indexed</w:t>
      </w:r>
      <w:r>
        <w:rPr>
          <w:rFonts w:hint="eastAsia" w:cs="Times New Roman"/>
          <w:lang w:val="en-US" w:eastAsia="zh-CN"/>
        </w:rPr>
        <w:t>,</w:t>
      </w:r>
      <w:r>
        <w:rPr>
          <w:rFonts w:hint="eastAsia" w:cs="Times New Roman"/>
        </w:rPr>
        <w:t xml:space="preserve"> degradation-aware maximum mean discrepancy (MMD) regularization to support feature transfer between the source and target domains. Estimated SOH serves as a degradation-state indicator that</w:t>
      </w:r>
      <w:r>
        <w:rPr>
          <w:rFonts w:hint="eastAsia" w:cs="Times New Roman"/>
          <w:lang w:val="en-US" w:eastAsia="zh-CN"/>
        </w:rPr>
        <w:t xml:space="preserve"> </w:t>
      </w:r>
      <w:r>
        <w:rPr>
          <w:rFonts w:hint="eastAsia" w:cs="Times New Roman"/>
        </w:rPr>
        <w:t>dynamically adjusts alignment strength and increases the cross-domain constraint at lower SOH levels. Experiments on a lithium-ion battery dataset show that the framework provides competitive prediction errors relative to the representative recent methods evaluated here. Ablation studies further demonstrate the contribution of each proposed module.</w:t>
      </w:r>
    </w:p>
    <w:p w14:paraId="70E66368">
      <w:pPr>
        <w:rPr>
          <w:rFonts w:cs="Times New Roman"/>
          <w:b/>
          <w:bCs/>
        </w:rPr>
      </w:pPr>
      <w:r>
        <w:rPr>
          <w:rFonts w:cs="Times New Roman"/>
          <w:b/>
          <w:bCs/>
        </w:rPr>
        <w:t>Keywords</w:t>
      </w:r>
    </w:p>
    <w:p w14:paraId="51808664">
      <w:pPr>
        <w:rPr>
          <w:rFonts w:cs="Times New Roman"/>
        </w:rPr>
      </w:pPr>
      <w:r>
        <w:rPr>
          <w:rFonts w:hint="eastAsia" w:cs="Times New Roman"/>
        </w:rPr>
        <w:t>Lithium-ion battery, State of health. Cross-batch prediction, Physics-guided learning, Transfer learning</w:t>
      </w:r>
    </w:p>
    <w:p w14:paraId="5BA88450">
      <w:pPr>
        <w:rPr>
          <w:rFonts w:cs="Times New Roman"/>
          <w:b/>
          <w:bCs/>
        </w:rPr>
      </w:pPr>
    </w:p>
    <w:p w14:paraId="4AB07CAD">
      <w:pPr>
        <w:rPr>
          <w:rFonts w:cs="Times New Roman"/>
          <w:b/>
          <w:bCs/>
        </w:rPr>
      </w:pPr>
      <w:r>
        <w:rPr>
          <w:rFonts w:cs="Times New Roman"/>
          <w:b/>
          <w:bCs/>
        </w:rPr>
        <w:t>1 Introduction</w:t>
      </w:r>
    </w:p>
    <w:p w14:paraId="6FABC439">
      <w:pPr>
        <w:ind w:firstLine="420" w:firstLineChars="200"/>
        <w:rPr>
          <w:rFonts w:cs="Times New Roman"/>
        </w:rPr>
      </w:pPr>
      <w:r>
        <w:rPr>
          <w:rFonts w:cs="Times New Roman"/>
        </w:rPr>
        <w:t>Lithium-ion batteries are widely used in electric vehicles, energy-storage systems, and portable electronics because of their high energy density, long cycle life, and low self-discharge rate. As cyclic aging accumulates, batteries often exhibit capacity fade and internal-resistance growth, which can compromise system safety and reliability. Accurate estimation of battery state of health (SOH) is therefore one of the central tasks in battery management</w:t>
      </w:r>
      <w:r>
        <w:rPr>
          <w:rFonts w:cs="Times New Roman"/>
        </w:rPr>
        <w:fldChar w:fldCharType="begin" w:fldLock="1"/>
      </w:r>
      <w:r>
        <w:rPr>
          <w:rFonts w:hint="eastAsia" w:cs="Times New Roman"/>
        </w:rPr>
        <w:instrText xml:space="preserve">ADDIN CSL_CITATION {"citationItems":[{"id":"ITEM-1","itemData":{"DOI":"10.1039/d2ee01676a","ISSN":"1754-5692","abstract":"Real-time and personalized lithium-ion battery health management is conducive to safety improvement for end-users. However, personalized prognostic of the battery health status is still challenging due to diverse usage interests, dynamic operational patterns and limited historical data. We generate a comprehensive dataset consisting of 77 commercial cells (77 discharge protocols) with over 140 000 charge–discharge cycles—the largest dataset to our knowledge of its kind, and develop a transfer learning framework to realize real-time personalized health status prediction for unseen battery discharge protocols, at any charge–discharge cycle. Our method can achieve mean testing errors of 0.176% and 8.72% for capacity estimation and remaining useful life (RUL) prediction, respectively. Additionally, the proposed framework can leverage the knowledge from two other well-known battery datasets, with a variety of charge configurations and a different battery chemistry respectively, to reliably estimate the capacity (0.328%/0.193%) and predict the RUL (9.80%/9.90%) of our cells. This study allows end users to tailor battery consumption plans and motivates manufacturers to improve battery designs. ","author":[{"dropping-particle":"","family":"Ma","given":"Guijun","non-dropping-particle":"","parse-names":false,"suffix":""},{"dropping-particle":"","family":"Xu","given":"Songpei","non-dropping-particle":"","parse-names":false,"suffix":""},{"dropping-particle":"","family":"Jiang","given":"Benben","non-dropping-particle":"","parse-names":false,"suffix":""},{"dropping-particle":"","family":"Cheng","given":"Cheng","non-dropping-particle":"","parse-names":false,"suffix":""},{"dropping-particle":"","family":"Yang","given":"Xin","non-dropping-particle":"","parse-names":false,"suffix":""},{"dropping-particle":"","family":"Shen","given":"Yue","non-dropping-particle":"","parse-names":false,"suffix":""},{"dropping-particle":"","family":"Yang","given":"Tao","non-dropping-particle":"","parse-names":false,"suffix":""},{"dropping-particle":"","family":"Huang","given":"Yunhui","non-dropping-particle":"","parse-names":false,"suffix":""},{"dropping-particle":"","family":"Ding","given":"Han","non-dropping-particle":"","parse-names":false,"suffix":""},{"dropping-particle":"","family":"Yuan","given":"Ye","non-dropping-particle":"","parse-names":false,"suffix":""}],"container-title":"Energy &amp; Environmental Science","id":"ITEM-1","issue":"10","issued":{"date-parts":[["2022","10","1"]]},"page":"4083-4094","title":"Real-time personalized health status prediction of lithium-ion batteries using deep transfer learning","type":"article-journal","volume":"15"},"uris":["http://www.mendeley.com/documents/?uuid=8ce0ed47-c7a7-43ac-8687-52e944e81f79"]}],"mendeley":{"formattedCitation":"[1]","plainTextFormattedCitation":"[1]","previouslyFormattedCitation":"[1]"},"properties":{"noteIndex":0},"schema":"https://github.com/citation-style-language/schema/raw/master/csl-citation.json"}</w:instrText>
      </w:r>
      <w:r>
        <w:rPr>
          <w:rFonts w:cs="Times New Roman"/>
        </w:rPr>
        <w:fldChar w:fldCharType="separate"/>
      </w:r>
      <w:r>
        <w:rPr>
          <w:rFonts w:hint="eastAsia" w:cs="Times New Roman"/>
        </w:rPr>
        <w:t>[1]</w:t>
      </w:r>
      <w:r>
        <w:rPr>
          <w:rFonts w:cs="Times New Roman"/>
        </w:rPr>
        <w:fldChar w:fldCharType="end"/>
      </w:r>
      <w:r>
        <w:rPr>
          <w:rFonts w:cs="Times New Roman"/>
        </w:rPr>
        <w:t>.</w:t>
      </w:r>
    </w:p>
    <w:p w14:paraId="2B93B492">
      <w:pPr>
        <w:ind w:firstLine="420"/>
        <w:rPr>
          <w:rFonts w:cs="Times New Roman"/>
        </w:rPr>
      </w:pPr>
      <w:r>
        <w:rPr>
          <w:rFonts w:hint="eastAsia" w:cs="Times New Roman"/>
        </w:rPr>
        <w:t>Data-driven SOH estimation methods have advanced in recent years. Representative approaches include multimodel fusion</w:t>
      </w:r>
      <w:r>
        <w:rPr>
          <w:rFonts w:cs="Times New Roman"/>
        </w:rPr>
        <w:fldChar w:fldCharType="begin" w:fldLock="1"/>
      </w:r>
      <w:r>
        <w:rPr>
          <w:rFonts w:hint="eastAsia" w:cs="Times New Roman"/>
        </w:rPr>
        <w:instrText xml:space="preserve">ADDIN CSL_CITATION {"citationItems":[{"id":"ITEM-1","itemData":{"DOI":"10.1109/TTE.2023.3267124","author":[{"dropping-particle":"","family":"Zhang","given":"Yizhou","non-dropping-particle":"","parse-names":false,"suffix":""},{"dropping-particle":"","family":"Wik","given":"Torsten","non-dropping-particle":"","parse-names":false,"suffix":""},{"dropping-particle":"","family":"Bergström","given":"John","non-dropping-particle":"","parse-names":false,"suffix":""},{"dropping-particle":"","family":"Zou","given":"Changfu","non-dropping-particle":"","parse-names":false,"suffix":""}],"container-title":"IEEE Transactions on Transportation Electrification","id":"ITEM-1","issue":"1","issued":{"date-parts":[["2024"]]},"page":"1494-1507","title":"State of Health Estimation for Lithium-Ion Batteries Under Arbitrary Usage Using Data-Driven Multimodel Fusion","type":"article-journal","volume":"10"},"uris":["http://www.mendeley.com/documents/?uuid=99d25038-bea2-4f84-85d5-f16be8048807"]}],"mendeley":{"formattedCitation":"[2]","plainTextFormattedCitation":"[2]","previouslyFormattedCitation":"[2]"},"properties":{"noteIndex":0},"schema":"https://github.com/citation-style-language/schema/raw/master/csl-citation.json"}</w:instrText>
      </w:r>
      <w:r>
        <w:rPr>
          <w:rFonts w:cs="Times New Roman"/>
        </w:rPr>
        <w:fldChar w:fldCharType="separate"/>
      </w:r>
      <w:r>
        <w:rPr>
          <w:rFonts w:hint="eastAsia" w:cs="Times New Roman"/>
        </w:rPr>
        <w:t>[2]</w:t>
      </w:r>
      <w:r>
        <w:rPr>
          <w:rFonts w:cs="Times New Roman"/>
        </w:rPr>
        <w:fldChar w:fldCharType="end"/>
      </w:r>
      <w:r>
        <w:rPr>
          <w:rFonts w:hint="eastAsia" w:cs="Times New Roman"/>
        </w:rPr>
        <w:t>，data augmentation</w:t>
      </w:r>
      <w:r>
        <w:rPr>
          <w:rFonts w:cs="Times New Roman"/>
        </w:rPr>
        <w:fldChar w:fldCharType="begin" w:fldLock="1"/>
      </w:r>
      <w:r>
        <w:rPr>
          <w:rFonts w:hint="eastAsia" w:cs="Times New Roman"/>
        </w:rPr>
        <w:instrText xml:space="preserve">ADDIN CSL_CITATION {"citationItems":[{"id":"ITEM-1","itemData":{"DOI":"10.1016/j.ress.2025.111297","ISSN":"0951-8320","author":[{"dropping-particle":"","family":"Echabarri","given":"Soufian","non-dropping-particle":"","parse-names":false,"suffix":""},{"dropping-particle":"","family":"Do","given":"Phuc","non-dropping-particle":"","parse-names":false,"suffix":""}],"container-title":"Reliability Engineering and System Safety","id":"ITEM-1","issue":"PA","issued":{"date-parts":[["2025"]]},"page":"111297","publisher":"Elsevier Ltd","title":"A modified TimeGAN-based data augmentation approach for the state of health prediction of Lithium-Ion Batteries","type":"article-journal","volume":"264"},"uris":["http://www.mendeley.com/documents/?uuid=bbaf0da4-9210-492e-b7b3-8e1e4b9079b4"]}],"mendeley":{"formattedCitation":"[3]","plainTextFormattedCitation":"[3]","previouslyFormattedCitation":"[3]"},"properties":{"noteIndex":0},"schema":"https://github.com/citation-style-language/schema/raw/master/csl-citation.json"}</w:instrText>
      </w:r>
      <w:r>
        <w:rPr>
          <w:rFonts w:cs="Times New Roman"/>
        </w:rPr>
        <w:fldChar w:fldCharType="separate"/>
      </w:r>
      <w:r>
        <w:rPr>
          <w:rFonts w:hint="eastAsia" w:cs="Times New Roman"/>
        </w:rPr>
        <w:t>[3]</w:t>
      </w:r>
      <w:r>
        <w:rPr>
          <w:rFonts w:cs="Times New Roman"/>
        </w:rPr>
        <w:fldChar w:fldCharType="end"/>
      </w:r>
      <w:r>
        <w:rPr>
          <w:rFonts w:hint="eastAsia" w:cs="Times New Roman"/>
        </w:rPr>
        <w:t>，graph neural networks</w:t>
      </w:r>
      <w:r>
        <w:rPr>
          <w:rFonts w:cs="Times New Roman"/>
        </w:rPr>
        <w:fldChar w:fldCharType="begin" w:fldLock="1"/>
      </w:r>
      <w:r>
        <w:rPr>
          <w:rFonts w:hint="eastAsia" w:cs="Times New Roman"/>
        </w:rPr>
        <w:instrText xml:space="preserve">ADDIN CSL_CITATION {"citationItems":[{"id":"ITEM-1","itemData":{"DOI":"https://doi.org/10.1016/j.est.2024.113502","ISSN":"2352-152X","abstract":"Data-driven methods have gained extensive attention in estimating the state of health (SOH) of lithium-ion batteries. Accurate SOH estimation requires degradation-relevant features and alignment of statistical distributions between training and testing datasets. However, current research often overlooks these needs and relies on arbitrary voltage segment selection. To address these challenges, this paper introduces an innovative approach leveraging spatio-temporal degradation dynamics via graph convolutional networks (GCNs). Our method systematically selects discharge voltage segments using the Matrix Profile anomaly detection algorithm, eliminating the need for manual selection and preventing information loss. These selected segments form a fundamental structure integrated into the GCN-based SOH estimation model, capturing inter-cycle dynamics and mitigating statistical distribution incongruities between offline training and online testing data. Validation with a widely accepted open-source dataset demonstrates that our method achieves precise SOH estimation, with a root mean squared error of less than 1%.","author":[{"dropping-particle":"","family":"Zhou","given":"Kate Qi","non-dropping-particle":"","parse-names":false,"suffix":""},{"dropping-particle":"","family":"Qin","given":"Yan","non-dropping-particle":"","parse-names":false,"suffix":""},{"dropping-particle":"","family":"Yuen","given":"Chau","non-dropping-particle":"","parse-names":false,"suffix":""}],"container-title":"Journal of Energy Storage","id":"ITEM-1","issued":{"date-parts":[["2024"]]},"page":"113502","title":"Graph neural network-based lithium-ion battery state of health estimation using partial discharging curve","type":"article-journal","volume":"100"},"uris":["http://www.mendeley.com/documents/?uuid=b7811182-811f-4065-afdd-fe0632f4b229"]}],"mendeley":{"formattedCitation":"[4]","plainTextFormattedCitation":"[4]","previouslyFormattedCitation":"[4]"},"properties":{"noteIndex":0},"schema":"https://github.com/citation-style-language/schema/raw/master/csl-citation.json"}</w:instrText>
      </w:r>
      <w:r>
        <w:rPr>
          <w:rFonts w:cs="Times New Roman"/>
        </w:rPr>
        <w:fldChar w:fldCharType="separate"/>
      </w:r>
      <w:r>
        <w:rPr>
          <w:rFonts w:hint="eastAsia" w:cs="Times New Roman"/>
        </w:rPr>
        <w:t>[4]</w:t>
      </w:r>
      <w:r>
        <w:rPr>
          <w:rFonts w:cs="Times New Roman"/>
        </w:rPr>
        <w:fldChar w:fldCharType="end"/>
      </w:r>
      <w:r>
        <w:rPr>
          <w:rFonts w:hint="eastAsia" w:cs="Times New Roman"/>
        </w:rPr>
        <w:t>and hybrid feature networks</w:t>
      </w:r>
      <w:r>
        <w:rPr>
          <w:rFonts w:cs="Times New Roman"/>
        </w:rPr>
        <w:fldChar w:fldCharType="begin" w:fldLock="1"/>
      </w:r>
      <w:r>
        <w:rPr>
          <w:rFonts w:hint="eastAsia" w:cs="Times New Roman"/>
        </w:rPr>
        <w:instrText xml:space="preserve">ADDIN CSL_CITATION {"citationItems":[{"id":"ITEM-1","itemData":{"DOI":"10.1038/s41598-026-48317-5","ISSN":"2045-2322","abstract":"Estimating the state of health (SOH) of lithium-ion batteries (LIBs) is crucial in a battery management system. To improve the accuracy of SOH estimation, a new method that combines a Gramian angle field (GAF) and multi–model fusion is proposed. First, the GAF is used to encode incremental capacity data into an image, making small differences easier to identify. Second, a Gramian angle field–convolutional neural network–long short-term memory model with a bi-directional cross-attention–based fusion network (GAF-CNN-Fusion-LSTM) is proposed to solve the problem of original feature loss, that is, the partial loss of original temporal feature information during the image conversion process. By introducing a bi-directional cross-attention mechanism, the model enables deep interaction and effective fusion between image and time-series features, thereby improving the accuracy and robustness of SOH estimation. Finally, the proposed method was validated using the NASA and Oxford datasets. On the NASA dataset, the proposed model achieved an average root mean square error (RMSE) of 0.0033, which was 73.4%, 47.6%, 57.1%, and 44.1% lower than those of the CNN-LSTM model, GAF-CNN-LSTM model, direct-concatenation model, and uni-directional attention model from the image branch to the time-series branch, respectively. On the Oxford dataset, the average RMSE was 0.0021. These results demonstrate that the GAF-CNN-Fusion-LSTM model has higher accuracy and stronger robustness.","author":[{"dropping-particle":"","family":"Zhao","given":"Yang","non-dropping-particle":"","parse-names":false,"suffix":""},{"dropping-particle":"","family":"Geng","given":"Limin","non-dropping-particle":"","parse-names":false,"suffix":""},{"dropping-particle":"","family":"Meng","given":"Weijia","non-dropping-particle":"","parse-names":false,"suffix":""},{"dropping-particle":"","family":"Meng","given":"Jinhao","non-dropping-particle":"","parse-names":false,"suffix":""},{"dropping-particle":"","family":"Wu","given":"Chunling","non-dropping-particle":"","parse-names":false,"suffix":""},{"dropping-particle":"","family":"Hu","given":"Xunquan","non-dropping-particle":"","parse-names":false,"suffix":""},{"dropping-particle":"","family":"Du","given":"Zeyu","non-dropping-particle":"","parse-names":false,"suffix":""}],"container-title":"Scientific Reports","id":"ITEM-1","issue":"1","issued":{"date-parts":[["2026"]]},"page":"17800","title":"Cross-attention-based hybrid feature fusion network for state-of-health estimation of lithium-ion batteries","type":"article-journal","volume":"16"},"uris":["http://www.mendeley.com/documents/?uuid=62565d74-3d39-4b03-94a6-bd912f18eed5"]}],"mendeley":{"formattedCitation":"[5]","plainTextFormattedCitation":"[5]","previouslyFormattedCitation":"[5]"},"properties":{"noteIndex":0},"schema":"https://github.com/citation-style-language/schema/raw/master/csl-citation.json"}</w:instrText>
      </w:r>
      <w:r>
        <w:rPr>
          <w:rFonts w:cs="Times New Roman"/>
        </w:rPr>
        <w:fldChar w:fldCharType="separate"/>
      </w:r>
      <w:r>
        <w:rPr>
          <w:rFonts w:hint="eastAsia" w:cs="Times New Roman"/>
        </w:rPr>
        <w:t>[5]</w:t>
      </w:r>
      <w:r>
        <w:rPr>
          <w:rFonts w:cs="Times New Roman"/>
        </w:rPr>
        <w:fldChar w:fldCharType="end"/>
      </w:r>
      <w:r>
        <w:rPr>
          <w:rFonts w:hint="eastAsia" w:cs="Times New Roman"/>
          <w:lang w:val="en-US" w:eastAsia="zh-CN"/>
        </w:rPr>
        <w:t>.These methods seek to improve predictive accuracy and robustness. However, many rely on broadly consistent data distributions between the training and test domains. When batteries come from different production batches or operating conditions, cross-domain shifts can limit transfer of the learned mapping. The resulting loss of generalization may be substantial.</w:t>
      </w:r>
    </w:p>
    <w:p w14:paraId="5C83143D">
      <w:pPr>
        <w:ind w:firstLine="420" w:firstLineChars="200"/>
        <w:rPr>
          <w:rFonts w:cs="Times New Roman"/>
        </w:rPr>
      </w:pPr>
      <w:r>
        <w:rPr>
          <w:rFonts w:cs="Times New Roman"/>
        </w:rPr>
        <w:t>Transfer learning has become an important approach for addressing distribution shifts in cross-battery SOH estimation. Existing studies have introduced strategies such as domain adaptation</w:t>
      </w:r>
      <w:r>
        <w:rPr>
          <w:rFonts w:cs="Times New Roman"/>
        </w:rPr>
        <w:fldChar w:fldCharType="begin" w:fldLock="1"/>
      </w:r>
      <w:r>
        <w:rPr>
          <w:rFonts w:hint="eastAsia" w:cs="Times New Roman"/>
        </w:rPr>
        <w:instrText xml:space="preserve">ADDIN CSL_CITATION {"citationItems":[{"id":"ITEM-1","itemData":{"DOI":"10.1016/j.energy.2025.139376","ISSN":"0360-5442","author":[{"dropping-particle":"","family":"Li","given":"Haoyuan","non-dropping-particle":"","parse-names":false,"suffix":""},{"dropping-particle":"","family":"Li","given":"Xiaoyu","non-dropping-particle":"","parse-names":false,"suffix":""},{"dropping-particle":"","family":"Dong","given":"Yang","non-dropping-particle":"","parse-names":false,"suffix":""},{"dropping-particle":"","family":"Hang","given":"Hanyuan","non-dropping-particle":"","parse-names":false,"suffix":""},{"dropping-particle":"","family":"Tian","given":"Yong","non-dropping-particle":"","parse-names":false,"suffix":""},{"dropping-particle":"","family":"Tian","given":"Jindong","non-dropping-particle":"","parse-names":false,"suffix":""}],"container-title":"Energy","id":"ITEM-1","issue":"November","issued":{"date-parts":[["2025"]]},"page":"139376","publisher":"Elsevier Ltd","title":"A cross-material lithium-ion battery state of health estimation method based on three-stage domain adaptation","type":"article-journal","volume":"341"},"uris":["http://www.mendeley.com/documents/?uuid=5285c972-0aba-418f-9170-b2aba667600e"]}],"mendeley":{"formattedCitation":"[6]","plainTextFormattedCitation":"[6]","previouslyFormattedCitation":"[6]"},"properties":{"noteIndex":0},"schema":"https://github.com/citation-style-language/schema/raw/master/csl-citation.json"}</w:instrText>
      </w:r>
      <w:r>
        <w:rPr>
          <w:rFonts w:cs="Times New Roman"/>
        </w:rPr>
        <w:fldChar w:fldCharType="separate"/>
      </w:r>
      <w:r>
        <w:rPr>
          <w:rFonts w:hint="eastAsia" w:cs="Times New Roman"/>
        </w:rPr>
        <w:t>[6]</w:t>
      </w:r>
      <w:r>
        <w:rPr>
          <w:rFonts w:cs="Times New Roman"/>
        </w:rPr>
        <w:fldChar w:fldCharType="end"/>
      </w:r>
      <w:r>
        <w:rPr>
          <w:rFonts w:hint="eastAsia" w:cs="Times New Roman"/>
        </w:rPr>
        <w:t>， meta-learning</w:t>
      </w:r>
      <w:r>
        <w:rPr>
          <w:rFonts w:cs="Times New Roman"/>
        </w:rPr>
        <w:fldChar w:fldCharType="begin" w:fldLock="1"/>
      </w:r>
      <w:r>
        <w:rPr>
          <w:rFonts w:hint="eastAsia" w:cs="Times New Roman"/>
        </w:rPr>
        <w:instrText xml:space="preserve">ADDIN CSL_CITATION {"citationItems":[{"id":"ITEM-1","itemData":{"DOI":"10.1109/TTE.2024.3470551","author":[{"dropping-particle":"","family":"Zhao","given":"Xiaoyu","non-dropping-particle":"","parse-names":false,"suffix":""},{"dropping-particle":"","family":"Wang","given":"Zuolu","non-dropping-particle":"","parse-names":false,"suffix":""},{"dropping-particle":"","family":"Han","given":"Te","non-dropping-particle":"","parse-names":false,"suffix":""},{"dropping-particle":"","family":"Yang","given":"Wenxian","non-dropping-particle":"","parse-names":false,"suffix":""},{"dropping-particle":"","family":"Gu","given":"Fengshou","non-dropping-particle":"","parse-names":false,"suffix":""},{"dropping-particle":"","family":"Ball","given":"Andrew David","non-dropping-particle":"","parse-names":false,"suffix":""}],"container-title":"IEEE Transactions on Transportation Electrification","id":"ITEM-1","issue":"1","issued":{"date-parts":[["2025"]]},"page":"4830-4840","title":"A Meta-Learning Method for Few-Shot Multidomain State-of-Health Estimation of Lithium-Ion Batteries","type":"article-journal","volume":"11"},"uris":["http://www.mendeley.com/documents/?uuid=ea895571-aeed-40bc-972f-c5fd9cac9382"]}],"mendeley":{"formattedCitation":"[7]","plainTextFormattedCitation":"[7]","previouslyFormattedCitation":"[7]"},"properties":{"noteIndex":0},"schema":"https://github.com/citation-style-language/schema/raw/master/csl-citation.json"}</w:instrText>
      </w:r>
      <w:r>
        <w:rPr>
          <w:rFonts w:cs="Times New Roman"/>
        </w:rPr>
        <w:fldChar w:fldCharType="separate"/>
      </w:r>
      <w:r>
        <w:rPr>
          <w:rFonts w:hint="eastAsia" w:cs="Times New Roman"/>
        </w:rPr>
        <w:t>[7]</w:t>
      </w:r>
      <w:r>
        <w:rPr>
          <w:rFonts w:cs="Times New Roman"/>
        </w:rPr>
        <w:fldChar w:fldCharType="end"/>
      </w:r>
      <w:r>
        <w:rPr>
          <w:rFonts w:hint="eastAsia" w:cs="Times New Roman"/>
        </w:rPr>
        <w:t>，deep transfer learning</w:t>
      </w:r>
      <w:r>
        <w:rPr>
          <w:rFonts w:cs="Times New Roman"/>
        </w:rPr>
        <w:fldChar w:fldCharType="begin" w:fldLock="1"/>
      </w:r>
      <w:r>
        <w:rPr>
          <w:rFonts w:hint="eastAsia" w:cs="Times New Roman"/>
        </w:rPr>
        <w:instrText xml:space="preserve">ADDIN CSL_CITATION {"citationItems":[{"id":"ITEM-1","itemData":{"DOI":"https://doi.org/10.1016/j.ymssp.2024.111585","ISSN":"0888-3270","abstract":"Accurate estimation of battery state of health (SOH) is significant to guide optimal electric vehicles (EVs) operating and maintenance. Regrettably, the SOH estimation based on real-world EVs’ data is still not deep enough, and some methods developed in the laboratory are quite difficult to apply in practice. To bridge the gap, this paper proposes a novel battery SOH estimation framework for on-road EVs. Firstly, based on the open circuit voltage correction and working condition filtering, the labeled capacities of 707 real-world EVs in 3 years are extracted through the historical operating data. The mean absolute percentage error (MAPE) of the label capacity is validated to be less than 2.97 % with full charge and discharge tests. Subsequently, 22 health indicator (HI)points and 4 HI sequences are generated using partial charging data. Using the points-to-point and sequences-to-point methods, two frameworks are then established, which are a global SOH estimation framework targeting all EVs and a deep fusion transfer learning network (DFTN) to improve the SOH estimation of the single EV. The global framework adopts the Gaussian process regression (GPR) method and achieves an impressive MAPE of 2.07 % through 100 times repeated validation. In the DFTN framework, the average MAPE of SOH estimation for 30 testing vehicles is only 1.42 %, with the best-testing vehicle achieving a MAPE of 0.23 %.","author":[{"dropping-particle":"","family":"Liu","given":"Hongao","non-dropping-particle":"","parse-names":false,"suffix":""},{"dropping-particle":"","family":"Deng","given":"Zhongwei","non-dropping-particle":"","parse-names":false,"suffix":""},{"dropping-particle":"","family":"Che","given":"Yunhong","non-dropping-particle":"","parse-names":false,"suffix":""},{"dropping-particle":"","family":"Xu","given":"Le","non-dropping-particle":"","parse-names":false,"suffix":""},{"dropping-particle":"","family":"Wang","given":"Bing","non-dropping-particle":"","parse-names":false,"suffix":""},{"dropping-particle":"","family":"Wang","given":"Zhenyu","non-dropping-particle":"","parse-names":false,"suffix":""},{"dropping-particle":"","family":"Xie","given":"Yi","non-dropping-particle":"","parse-names":false,"suffix":""},{"dropping-particle":"","family":"Hu","given":"Xiaosong","non-dropping-particle":"","parse-names":false,"suffix":""}],"container-title":"Mechanical Systems and Signal Processing","id":"ITEM-1","issued":{"date-parts":[["2024"]]},"page":"111585","title":"Big field data-driven battery pack health estimation for electric vehicles: A deep-fusion transfer learning approach","type":"article-journal","volume":"218"},"uris":["http://www.mendeley.com/documents/?uuid=d6622ff0-9afa-48b7-96f2-62602368ce76"]}],"mendeley":{"formattedCitation":"[8]","plainTextFormattedCitation":"[8]","previouslyFormattedCitation":"[8]"},"properties":{"noteIndex":0},"schema":"https://github.com/citation-style-language/schema/raw/master/csl-citation.json"}</w:instrText>
      </w:r>
      <w:r>
        <w:rPr>
          <w:rFonts w:cs="Times New Roman"/>
        </w:rPr>
        <w:fldChar w:fldCharType="separate"/>
      </w:r>
      <w:r>
        <w:rPr>
          <w:rFonts w:hint="eastAsia" w:cs="Times New Roman"/>
        </w:rPr>
        <w:t>[8]</w:t>
      </w:r>
      <w:r>
        <w:rPr>
          <w:rFonts w:cs="Times New Roman"/>
        </w:rPr>
        <w:fldChar w:fldCharType="end"/>
      </w:r>
      <w:r>
        <w:rPr>
          <w:rFonts w:cs="Times New Roman"/>
        </w:rPr>
        <w:t> </w:t>
      </w:r>
      <w:r>
        <w:rPr>
          <w:rFonts w:hint="default" w:cs="Times New Roman"/>
        </w:rPr>
        <w:t>and transfer ensemble learning</w:t>
      </w:r>
      <w:r>
        <w:rPr>
          <w:rFonts w:cs="Times New Roman"/>
        </w:rPr>
        <w:fldChar w:fldCharType="begin" w:fldLock="1"/>
      </w:r>
      <w:r>
        <w:rPr>
          <w:rFonts w:hint="eastAsia" w:cs="Times New Roman"/>
        </w:rPr>
        <w:instrText xml:space="preserve">ADDIN CSL_CITATION {"citationItems":[{"id":"ITEM-1","itemData":{"DOI":"10.1109/TIE.2023.3247735","author":[{"dropping-particle":"","family":"Wu","given":"Ji","non-dropping-particle":"","parse-names":false,"suffix":""},{"dropping-particle":"","family":"Cui","given":"Xuchen","non-dropping-particle":"","parse-names":false,"suffix":""},{"dropping-particle":"","family":"Meng","given":"Jinhao","non-dropping-particle":"","parse-names":false,"suffix":""},{"dropping-particle":"","family":"Peng","given":"Jichang","non-dropping-particle":"","parse-names":false,"suffix":""},{"dropping-particle":"","family":"Lin","given":"Mingqiang","non-dropping-particle":"","parse-names":false,"suffix":""}],"container-title":"IEEE Transactions on Industrial Electronics","id":"ITEM-1","issue":"1","issued":{"date-parts":[["2024"]]},"page":"604-614","title":"Data-Driven Transfer-Stacking-Based State of Health Estimation for Lithium-Ion Batteries","type":"article-journal","volume":"71"},"uris":["http://www.mendeley.com/documents/?uuid=7e47d819-f60f-4acd-8c07-70988ecec732"]}],"mendeley":{"formattedCitation":"[9]","plainTextFormattedCitation":"[9]","previouslyFormattedCitation":"[9]"},"properties":{"noteIndex":0},"schema":"https://github.com/citation-style-language/schema/raw/master/csl-citation.json"}</w:instrText>
      </w:r>
      <w:r>
        <w:rPr>
          <w:rFonts w:cs="Times New Roman"/>
        </w:rPr>
        <w:fldChar w:fldCharType="separate"/>
      </w:r>
      <w:r>
        <w:rPr>
          <w:rFonts w:hint="eastAsia" w:cs="Times New Roman"/>
        </w:rPr>
        <w:t>[9]</w:t>
      </w:r>
      <w:r>
        <w:rPr>
          <w:rFonts w:cs="Times New Roman"/>
        </w:rPr>
        <w:fldChar w:fldCharType="end"/>
      </w:r>
      <w:r>
        <w:rPr>
          <w:rFonts w:cs="Times New Roman"/>
        </w:rPr>
        <w:t>to mitigate limited target-domain labels and cross-domain distribution discrepancies.However, most of these methods still learn the SOH mapping in a purely data-driven manner, requiring the model to simultaneously capture the global degradation trend, local degradation patterns, and cross-domain feature alignment. When target samples are scarce and degradation trajectories differ significantly, the model may struggle with such complex mapping, leading to limited prediction accuracy.</w:t>
      </w:r>
    </w:p>
    <w:p w14:paraId="2BAC41C7">
      <w:pPr>
        <w:ind w:firstLine="420" w:firstLineChars="200"/>
        <w:rPr>
          <w:rFonts w:cs="Times New Roman"/>
        </w:rPr>
      </w:pPr>
      <w:r>
        <w:rPr>
          <w:rFonts w:cs="Times New Roman"/>
        </w:rPr>
        <w:t>Notably, physics-guided modeling has increasingly become an important direction for improving the reliability of SOH estimation. Researchers have introduced physics-informed neural networks</w:t>
      </w:r>
      <w:r>
        <w:rPr>
          <w:rFonts w:cs="Times New Roman"/>
        </w:rPr>
        <w:fldChar w:fldCharType="begin" w:fldLock="1"/>
      </w:r>
      <w:r>
        <w:rPr>
          <w:rFonts w:hint="eastAsia" w:cs="Times New Roman"/>
        </w:rPr>
        <w:instrText xml:space="preserve">ADDIN CSL_CITATION {"citationItems":[{"id":"ITEM-1","itemData":{"DOI":"https://doi.org/10.1016/j.aei.2025.103211","ISSN":"1474-0346","abstract":"Accurate monitoring of a battery’s state of health (SOH) is crucial for ensuring reliable operation. Data-driven methods for SOH estimation often involve complex feature extraction strategies and models that are difficult to interpret, limiting their generalizability. To overcome these challenges, this paper presents a battery SOH estimation method based on the refined composite multiscale Hilbert cumulative residual entropy algorithm (RCMHCRE) and the battery physical information neural network (BatteryPINN). First, the proposed RCMHCRE algorithm is applied to automatically extract high-quality health features from the battery’s voltage and current data, serving as the feature engineering in this study. Second, the network structure of BatteryPINN is developed for SOH prediction, based on the mathematical theory of solid electrolyte interphase (SEI) membrane growth. The proposed strategy enables BatteryPINN to be constrained by the battery aging mechanism during training, thereby ensuring that the network adheres to the underlying physical laws during propagation. To validate the effectiveness of the proposed method, a four-month battery aging experiment is conducted, and a dataset is constructed. Experimental results from three datasets demonstrate that the proposed method offers significant advantages in health feature extraction and SOH estimation compared to other state-of-the-art battery SOH estimation methods, achieving prediction accuracies of less than 1% for both RMSE and MAPE metrics.","author":[{"dropping-particle":"","family":"Liu","given":"Yaming","non-dropping-particle":"","parse-names":false,"suffix":""},{"dropping-particle":"","family":"Chen","given":"Haolin","non-dropping-particle":"","parse-names":false,"suffix":""},{"dropping-particle":"","family":"Yao","given":"Ligang","non-dropping-particle":"","parse-names":false,"suffix":""},{"dropping-particle":"","family":"Ding","given":"Jiaxin","non-dropping-particle":"","parse-names":false,"suffix":""},{"dropping-particle":"","family":"Chen","given":"Shiqiang","non-dropping-particle":"","parse-names":false,"suffix":""},{"dropping-particle":"","family":"Wang","given":"Zhenya","non-dropping-particle":"","parse-names":false,"suffix":""}],"container-title":"Advanced Engineering Informatics","id":"ITEM-1","issued":{"date-parts":[["2025"]]},"page":"103211","title":"A physics-guided approach for accurate battery SOH estimation using RCMHCRE and BatteryPINN","type":"article-journal","volume":"65"},"uris":["http://www.mendeley.com/documents/?uuid=8f6817fd-5b57-4c1d-a548-ab43c859a7c4"]}],"mendeley":{"formattedCitation":"[10]","plainTextFormattedCitation":"[10]","previouslyFormattedCitation":"[10]"},"properties":{"noteIndex":0},"schema":"https://github.com/citation-style-language/schema/raw/master/csl-citation.json"}</w:instrText>
      </w:r>
      <w:r>
        <w:rPr>
          <w:rFonts w:cs="Times New Roman"/>
        </w:rPr>
        <w:fldChar w:fldCharType="separate"/>
      </w:r>
      <w:r>
        <w:rPr>
          <w:rFonts w:hint="eastAsia" w:cs="Times New Roman"/>
        </w:rPr>
        <w:t>[10]</w:t>
      </w:r>
      <w:r>
        <w:rPr>
          <w:rFonts w:cs="Times New Roman"/>
        </w:rPr>
        <w:fldChar w:fldCharType="end"/>
      </w:r>
      <w:r>
        <w:rPr>
          <w:rFonts w:hint="eastAsia" w:cs="Times New Roman"/>
          <w:lang w:val="en-US" w:eastAsia="zh-CN"/>
        </w:rPr>
        <w:t>,</w:t>
      </w:r>
      <w:r>
        <w:rPr>
          <w:rFonts w:hint="eastAsia" w:cs="Times New Roman"/>
        </w:rPr>
        <w:t> physical constraints</w:t>
      </w:r>
      <w:r>
        <w:rPr>
          <w:rFonts w:cs="Times New Roman"/>
        </w:rPr>
        <w:fldChar w:fldCharType="begin" w:fldLock="1"/>
      </w:r>
      <w:r>
        <w:rPr>
          <w:rFonts w:hint="eastAsia" w:cs="Times New Roman"/>
        </w:rPr>
        <w:instrText xml:space="preserve">ADDIN CSL_CITATION {"citationItems":[{"id":"ITEM-1","itemData":{"DOI":"https://doi.org/10.1016/j.ress.2024.110325","ISSN":"0951-8320","abstract":"Accurate state of health (SOH) estimation is basis for safe and reliable operation of lithium-ion batteries. In practice, accurate and reliable SOH estimation remains a challenge due to complex and dynamic operating conditions. In this paper, we propose a physics-guided neural network (PGNN) for SOH estimation of lithium-ion batteries. The physical knowledge is embedded into neural network from both explicit and implicit perspectives. Specifically, we extract physically meaningful features from the relaxation voltage segment of a fully charged battery based on an equivalent circuit model (ECM). These features and the limited current segment during constant voltage charging mode form the joint inputs for PGNN, both of which are less affected by the charging/discharging strategies. During the model optimization, the properties of the battery degradation are considered so that the model can learn better feature embeddings. To validate the proposed method, battery degradation experiments are performed to generate data over the entire battery life cycle. Finally, the superiority and effectiveness of the proposed method are validated on two datasets.","author":[{"dropping-particle":"","family":"Wang","given":"Fujin","non-dropping-particle":"","parse-names":false,"suffix":""},{"dropping-particle":"","family":"Wu","given":"Ziqian","non-dropping-particle":"","parse-names":false,"suffix":""},{"dropping-particle":"","family":"Zhao","given":"Zhibin","non-dropping-particle":"","parse-names":false,"suffix":""},{"dropping-particle":"","family":"Zhai","given":"Zhi","non-dropping-particle":"","parse-names":false,"suffix":""},{"dropping-particle":"","family":"Wang","given":"Chenxi","non-dropping-particle":"","parse-names":false,"suffix":""},{"dropping-particle":"","family":"Chen","given":"Xuefeng","non-dropping-particle":"","parse-names":false,"suffix":""}],"container-title":"Reliability Engineering &amp; System Safety","id":"ITEM-1","issued":{"date-parts":[["2024"]]},"page":"110325","title":"Physical knowledge guided state of health estimation of lithium-ion battery with limited segment data","type":"article-journal","volume":"251"},"uris":["http://www.mendeley.com/documents/?uuid=3b17f0f6-eb61-46d6-b632-07bbf27fb0a4"]}],"mendeley":{"formattedCitation":"[11]","plainTextFormattedCitation":"[11]","previouslyFormattedCitation":"[11]"},"properties":{"noteIndex":0},"schema":"https://github.com/citation-style-language/schema/raw/master/csl-citation.json"}</w:instrText>
      </w:r>
      <w:r>
        <w:rPr>
          <w:rFonts w:cs="Times New Roman"/>
        </w:rPr>
        <w:fldChar w:fldCharType="separate"/>
      </w:r>
      <w:r>
        <w:rPr>
          <w:rFonts w:hint="eastAsia" w:cs="Times New Roman"/>
        </w:rPr>
        <w:t>[11]</w:t>
      </w:r>
      <w:r>
        <w:rPr>
          <w:rFonts w:cs="Times New Roman"/>
        </w:rPr>
        <w:fldChar w:fldCharType="end"/>
      </w:r>
      <w:r>
        <w:rPr>
          <w:rFonts w:hint="eastAsia" w:cs="Times New Roman"/>
          <w:lang w:val="en-US" w:eastAsia="zh-CN"/>
        </w:rPr>
        <w:t>,</w:t>
      </w:r>
      <w:r>
        <w:rPr>
          <w:rFonts w:hint="eastAsia" w:cs="Times New Roman"/>
        </w:rPr>
        <w:t>domain-knowledge fusion</w:t>
      </w:r>
      <w:r>
        <w:rPr>
          <w:rFonts w:cs="Times New Roman"/>
        </w:rPr>
        <w:fldChar w:fldCharType="begin" w:fldLock="1"/>
      </w:r>
      <w:r>
        <w:rPr>
          <w:rFonts w:hint="eastAsia" w:cs="Times New Roman"/>
        </w:rPr>
        <w:instrText xml:space="preserve">ADDIN CSL_CITATION {"citationItems":[{"id":"ITEM-1","itemData":{"DOI":"10.1038/s44172-024-00304-2","ISBN":"4417202400","ISSN":"2731-3395","author":[{"dropping-particle":"","family":"Lanubile","given":"Andrea","non-dropping-particle":"","parse-names":false,"suffix":""},{"dropping-particle":"","family":"Bosoni","given":"Pietro","non-dropping-particle":"","parse-names":false,"suffix":""},{"dropping-particle":"","family":"Pozzato","given":"Gabriele","non-dropping-particle":"","parse-names":false,"suffix":""},{"dropping-particle":"","family":"Allam","given":"Anirudh","non-dropping-particle":"","parse-names":false,"suffix":""},{"dropping-particle":"","family":"Acquarone","given":"Matteo","non-dropping-particle":"","parse-names":false,"suffix":""},{"dropping-particle":"","family":"Onori","given":"Simona","non-dropping-particle":"","parse-names":false,"suffix":""}],"container-title":"Communications Engineering","id":"ITEM-1","issued":{"date-parts":[["2024"]]},"page":"1-13","publisher":"Springer US","title":"Domain knowledge-guided machine learning framework for state of health estimation in Lithium-ion batteries","type":"article-journal"},"uris":["http://www.mendeley.com/documents/?uuid=700b8f5f-e6a3-4f8e-807e-ab9d72bda962"]}],"mendeley":{"formattedCitation":"[12]","plainTextFormattedCitation":"[12]","previouslyFormattedCitation":"[12]"},"properties":{"noteIndex":0},"schema":"https://github.com/citation-style-language/schema/raw/master/csl-citation.json"}</w:instrText>
      </w:r>
      <w:r>
        <w:rPr>
          <w:rFonts w:cs="Times New Roman"/>
        </w:rPr>
        <w:fldChar w:fldCharType="separate"/>
      </w:r>
      <w:r>
        <w:rPr>
          <w:rFonts w:hint="eastAsia" w:cs="Times New Roman"/>
        </w:rPr>
        <w:t>[12]</w:t>
      </w:r>
      <w:r>
        <w:rPr>
          <w:rFonts w:cs="Times New Roman"/>
        </w:rPr>
        <w:fldChar w:fldCharType="end"/>
      </w:r>
      <w:r>
        <w:rPr>
          <w:rFonts w:cs="Times New Roman"/>
        </w:rPr>
        <w:t> </w:t>
      </w:r>
      <w:r>
        <w:rPr>
          <w:rFonts w:hint="default" w:cs="Times New Roman"/>
        </w:rPr>
        <w:t>and degradation-feature optimization</w:t>
      </w:r>
      <w:r>
        <w:rPr>
          <w:rFonts w:cs="Times New Roman"/>
        </w:rPr>
        <w:fldChar w:fldCharType="begin" w:fldLock="1"/>
      </w:r>
      <w:r>
        <w:rPr>
          <w:rFonts w:hint="eastAsia" w:cs="Times New Roman"/>
        </w:rPr>
        <w:instrText xml:space="preserve">ADDIN CSL_CITATION {"citationItems":[{"id":"ITEM-1","itemData":{"DOI":"10.1016/j.xcrp.2025.103083","ISSN":"2666-3864","abstract":"Accurate and transferable estimation of battery state of health is essential for the safety and reliability of electric vehicles and energy storage systems. However, many existing approaches rely on complete charging and discharging data and overlook how feature selection, robustness, and data requirements affect estimation performance. Here, we report a unified evaluation framework for predictive capability, transferable capability, and data efficiency for five features extracted from incremental capacity curves using partial charging data. We show that the voltage and magnitude of the first peak provide a better combination of accuracy, robustness across charge rates and temperatures, and minimal data needs. We demonstrate that these two features enable accurate estimation across two datasets. The results reveal that reliable health estimation can be achieved using only the portion of charging data corresponding to roughly less than 50% of the charge process, reducing data curation effort while maintaining high accuracy and practical transferability.","author":[{"dropping-particle":"","family":"Su","given":"Lin","non-dropping-particle":"","parse-names":false,"suffix":""},{"dropping-particle":"","family":"Tao","given":"Shengyu","non-dropping-particle":"","parse-names":false,"suffix":""},{"dropping-particle":"","family":"Chen","given":"Yingjie","non-dropping-particle":"","parse-names":false,"suffix":""},{"dropping-particle":"","family":"Zou","given":"Changfu","non-dropping-particle":"","parse-names":false,"suffix":""},{"dropping-particle":"","family":"Zhang","given":"Xuan","non-dropping-particle":"","parse-names":false,"suffix":""}],"container-title":"Cell Reports Physical Science","id":"ITEM-1","issue":"2","issued":{"date-parts":[["2026","2","18"]]},"note":"doi: 10.1016/j.xcrp.2025.103083","publisher":"Elsevier","title":"Incremental capacity feature selection for lithium-ion battery state of health estimation considering estimation capability and efficiency","type":"article-journal","volume":"7"},"uris":["http://www.mendeley.com/documents/?uuid=f09615ac-07ba-49ef-a8af-0eea25aa2d57"]}],"mendeley":{"formattedCitation":"[13]","plainTextFormattedCitation":"[13]","previouslyFormattedCitation":"[13]"},"properties":{"noteIndex":0},"schema":"https://github.com/citation-style-language/schema/raw/master/csl-citation.json"}</w:instrText>
      </w:r>
      <w:r>
        <w:rPr>
          <w:rFonts w:cs="Times New Roman"/>
        </w:rPr>
        <w:fldChar w:fldCharType="separate"/>
      </w:r>
      <w:r>
        <w:rPr>
          <w:rFonts w:hint="eastAsia" w:cs="Times New Roman"/>
        </w:rPr>
        <w:t>[13]</w:t>
      </w:r>
      <w:r>
        <w:rPr>
          <w:rFonts w:cs="Times New Roman"/>
        </w:rPr>
        <w:fldChar w:fldCharType="end"/>
      </w:r>
      <w:r>
        <w:rPr>
          <w:rFonts w:hint="eastAsia" w:cs="Times New Roman"/>
          <w:lang w:val="en-US" w:eastAsia="zh-CN"/>
        </w:rPr>
        <w:t>,</w:t>
      </w:r>
      <w:r>
        <w:rPr>
          <w:rFonts w:hint="eastAsia" w:cs="Times New Roman"/>
        </w:rPr>
        <w:t> which combine battery degradation mechanisms with data-driven models to enhance the physical consistency of SOH prediction. However</w:t>
      </w:r>
      <w:r>
        <w:rPr>
          <w:rFonts w:hint="default" w:ascii="Times New Roman" w:hAnsi="Times New Roman" w:cs="Times New Roman"/>
        </w:rPr>
        <w:t>,</w:t>
      </w:r>
      <w:r>
        <w:rPr>
          <w:rFonts w:hint="eastAsia" w:cs="Times New Roman"/>
          <w:lang w:val="en-US" w:eastAsia="zh-CN"/>
        </w:rPr>
        <w:t xml:space="preserve"> </w:t>
      </w:r>
      <w:r>
        <w:rPr>
          <w:rFonts w:hint="eastAsia" w:cs="Times New Roman"/>
        </w:rPr>
        <w:t>existing methods tend to emphasize physical priors and local degradation information, without adequately addressing the distribution shift problem in cross-batch prediction. A unified modeling framework that integrates global degradation trend constraints, local residual learning, and cross-domain feature alignment is still lacking, which limits the cross-domain generalization capability of these models.</w:t>
      </w:r>
    </w:p>
    <w:p w14:paraId="0631E1E0">
      <w:pPr>
        <w:ind w:firstLine="420"/>
        <w:rPr>
          <w:rFonts w:hint="eastAsia" w:cs="Times New Roman"/>
        </w:rPr>
      </w:pPr>
      <w:r>
        <w:rPr>
          <w:rFonts w:hint="eastAsia" w:cs="Times New Roman"/>
        </w:rPr>
        <w:t>To address the above challenges, this work focuses on cross-batch SOH prediction for lithium-ion batteries under a common data system, and proposes a degradation-aware physics-guided hybrid transfer learning framework. First, a physical-residual SOH modeling strategy is constructed. It employs a low-order nonlinear degradation prior to capture the global capacity-fade trend, while a residual temporal module learns cell-specific local deviations from this trend. Furthermore, a degradation-state-guided curve attention temporal aggregation module is developed. This module activates the temporal feature aggregation between the estimated degradation state and the local voltage-curve morphology, thereby enhancing the representation of stage-wise changes and local fluctuations in the SOH curve. To mitigate cross-domain distribution discrepancies, a lifecycle-indexed degradation-aware MMD regularization strategy is proposed. It dynamically strengthens the cross-domain feature alignment as the estimated SOH decreases, thus tightening the distribution constraint at deep degradation stages and improving the domain adaptation capability for cross-batch SOH prediction.</w:t>
      </w:r>
    </w:p>
    <w:p w14:paraId="203594FE">
      <w:pPr>
        <w:ind w:firstLine="420"/>
        <w:rPr>
          <w:rFonts w:cs="Times New Roman"/>
        </w:rPr>
      </w:pPr>
      <w:r>
        <w:rPr>
          <w:rFonts w:hint="eastAsia" w:cs="Times New Roman"/>
        </w:rPr>
        <w:t>The main contributions are as follows.</w:t>
      </w:r>
    </w:p>
    <w:p w14:paraId="4DD5E8C9">
      <w:pPr>
        <w:rPr>
          <w:rFonts w:hint="eastAsia" w:cs="Times New Roman"/>
        </w:rPr>
      </w:pPr>
      <w:r>
        <w:rPr>
          <w:rFonts w:hint="eastAsia" w:cs="Times New Roman"/>
        </w:rPr>
        <w:t>(1) We introduce a physical-residual SOH modeling strategy. A low-order nonlinear prior captures the global degradation trend, while a residual temporal network learns local cell-specific deviations. This hybrid design avoids a purely black-box SOH mapping.</w:t>
      </w:r>
    </w:p>
    <w:p w14:paraId="1C144685">
      <w:pPr>
        <w:rPr>
          <w:rFonts w:hint="eastAsia" w:cs="Times New Roman"/>
        </w:rPr>
      </w:pPr>
    </w:p>
    <w:p w14:paraId="42A1AA97">
      <w:pPr>
        <w:rPr>
          <w:rFonts w:cs="Times New Roman"/>
        </w:rPr>
      </w:pPr>
    </w:p>
    <w:p w14:paraId="4F1A4649">
      <w:pPr>
        <w:rPr>
          <w:rFonts w:cs="Times New Roman"/>
        </w:rPr>
      </w:pPr>
      <w:r>
        <w:rPr>
          <w:rFonts w:hint="eastAsia" w:cs="Times New Roman"/>
        </w:rPr>
        <w:t>(2) We construct a degradation-state-guided curve attention temporal aggregation mechanism. The estimated degradation state and local voltage-curve morphology are jointly incorporated into the temporal feature aggregation process, enabling the model to adjust its attention to local temporal segments across different degradation stages. This mechanism enhances the representation of stage-dependent changes and local fluctuations in the SOH curve.</w:t>
      </w:r>
    </w:p>
    <w:p w14:paraId="3E0739C8">
      <w:pPr>
        <w:rPr>
          <w:rFonts w:cs="Times New Roman"/>
        </w:rPr>
      </w:pPr>
      <w:r>
        <w:rPr>
          <w:rFonts w:hint="eastAsia" w:cs="Times New Roman"/>
        </w:rPr>
        <w:t>(3) We design a lifecycle-indexed degradation-aware MMD regularization strategy. The estimated SOH dynamically adjusts the cross-batch feature alignment strength, imposing a stronger distribution constraint between source and target domains as degradation progresses. This regularizer provides a complementary domain-adaptation mechanism for cross-batch SOH prediction.</w:t>
      </w:r>
    </w:p>
    <w:p w14:paraId="364090A3">
      <w:pPr>
        <w:rPr>
          <w:rFonts w:cs="Times New Roman"/>
          <w:b/>
          <w:bCs/>
        </w:rPr>
      </w:pPr>
      <w:r>
        <w:rPr>
          <w:rFonts w:cs="Times New Roman"/>
          <w:b/>
          <w:bCs/>
          <w:color w:val="2F5496"/>
          <w:szCs w:val="21"/>
        </w:rPr>
        <w:t>2 Related works</w:t>
      </w:r>
    </w:p>
    <w:p w14:paraId="65F99507">
      <w:pPr>
        <w:rPr>
          <w:rFonts w:cs="Times New Roman"/>
          <w:b/>
          <w:bCs/>
          <w:color w:val="2F5496"/>
          <w:szCs w:val="21"/>
        </w:rPr>
      </w:pPr>
      <w:r>
        <w:rPr>
          <w:rFonts w:hint="eastAsia" w:cs="Times New Roman"/>
          <w:b/>
          <w:bCs/>
          <w:color w:val="2F5496"/>
          <w:szCs w:val="21"/>
        </w:rPr>
        <w:t>2.1 Lithium-ion battery SOH estimation</w:t>
      </w:r>
    </w:p>
    <w:p w14:paraId="218DA967">
      <w:pPr>
        <w:ind w:firstLine="420" w:firstLineChars="200"/>
        <w:rPr>
          <w:rFonts w:cs="Times New Roman"/>
        </w:rPr>
      </w:pPr>
      <w:r>
        <w:rPr>
          <w:rFonts w:cs="Times New Roman"/>
        </w:rPr>
        <w:t>The essence of lithium-ion battery SOH estimation lies in establishing a mapping between battery cycling information and capacity retention. In recent years, data-driven methods have gradually replaced health-indicator-based modeling approaches, automatically learning battery degradation patterns from voltage curves, capacity changes, partial charge–discharge segments, and multiscale health features</w:t>
      </w:r>
      <w:r>
        <w:rPr>
          <w:rFonts w:cs="Times New Roman"/>
        </w:rPr>
        <w:fldChar w:fldCharType="begin" w:fldLock="1"/>
      </w:r>
      <w:r>
        <w:rPr>
          <w:rFonts w:cs="Times New Roman"/>
        </w:rPr>
        <w:instrText xml:space="preserve">ADDIN CSL_CITATION {"citationItems":[{"id":"ITEM-1","itemData":{"DOI":"https://doi.org/10.1016/j.etran.2026.100561","ISSN":"2590-1168","abstract":"Dynamic operating conditions significantly impact the lifetime of lithium-ion batteries in electric vehicles. While battery lifetime can be extended by optimizing charging profiles to reduce degradation, many existing charging optimization approaches are developed based on fixed, idealized full charge-discharge cycles. These differ from the random and partial charge-discharge behavior in real-world operation and do not consider the influence of battery degradation on charging current profile optimization. To address these limitations, this study designs two groups of battery aging tests to study charging optimization in real-world operation: one subjected to four fixed charging scenarios based on typical daily commuting patterns, and the other to dynamically changing charging scenarios based on state of health change. Capacity degradation, internal resistance increase, and charging time of all cells are analyzed and compared. Degradation modes such as loss of active materials and lithium inventory are examined through incremental capacity and differential voltage analyses. A novel tanks-in-series thermal-aging model is proposed to rapidly simulate battery behavior under dynamic charging, enabling rapid exploration of more charging scenarios constrained by experimental channels or costly to perform. Results demonstrate that dynamically switching charging strategies based on state of health can effectively extend battery lifetime while reducing overall charging time. Moreover, the model proves efficient in identifying optimal charging strategies. These findings offer valuable insights into charging optimization considering practical use scenarios, and present a promising tool for charging optimization.","author":[{"dropping-particle":"","family":"Li","given":"Xingjun","non-dropping-particle":"","parse-names":false,"suffix":""},{"dropping-particle":"","family":"Yu","given":"Dan","non-dropping-particle":"","parse-names":false,"suffix":""},{"dropping-particle":"","family":"Vilsen","given":"Søren Byg","non-dropping-particle":"","parse-names":false,"suffix":""},{"dropping-particle":"","family":"Jindal","given":"Puneet","non-dropping-particle":"","parse-names":false,"suffix":""},{"dropping-particle":"","family":"Subramanian","given":"Venkat R","non-dropping-particle":"","parse-names":false,"suffix":""},{"dropping-particle":"","family":"Stroe","given":"Daniel Ioan","non-dropping-particle":"","parse-names":false,"suffix":""}],"container-title":"eTransportation","id":"ITEM-1","issued":{"date-parts":[["2026"]]},"page":"100561","title":"Degradation analysis and tanks-in-series modeling of lithium-ion batteries with state of health-adaptive charging strategies","type":"article-journal","volume":"28"},"uris":["http://www.mendeley.com/documents/?uuid=c8cc84ec-f483-428c-89ea-f4bd1e74529e"]},{"id":"ITEM-2","itemData":{"DOI":"https://doi.org/10.1016/j.egyai.2024.100413","ISSN":"2666-5468","abstract":"This study addresses the crucial challenge of monitoring the State of Health (SOH) of Lithium-Ion Batteries (LIBs) in response to the escalating demand for renewable energy systems and the imperative to reduce CO2 emissions. The research introduces deep learning (DL) models, namely Encoder-Long Short-Term Memory (E-LSTM) and Convolutional Neural Network-LSTM (CNN–LSTM), each designed to forecast battery SOH. E-LSTM integrates an encoder for dimensionality reduction and an LSTM model to capture data dependencies. CNN–LSTM, on the other hand, employs CNN layers for encoding followed by LSTM layers for precise SOH estimation. Significantly, we prioritize model explainability by employing a game-theoretic approach known as SHapley Additive exPlanations (SHAP) to elucidate the output of our models. Furthermore, a method based on pattern mining was developed, synergizing with the model, to identify patterns contributing to abnormal SOH decrease. These insights are presented through informative plots. The proposed approach relies on the battery dataset from the Massachusetts Institute of Technology (MIT) and showcases promising results in accurately estimating SOH values, in which the E-LSTM model outperformed the CNN–LSTM model with a Mean Absolute Error (MAE) of less than 1%.","author":[{"dropping-particle":"","family":"Arbaoui","given":"Slimane","non-dropping-particle":"","parse-names":false,"suffix":""},{"dropping-particle":"","family":"Samet","given":"Ahmed","non-dropping-particle":"","parse-names":false,"suffix":""},{"dropping-particle":"","family":"Ayadi","given":"Ali","non-dropping-particle":"","parse-names":false,"suffix":""},{"dropping-particle":"","family":"Mesbahi","given":"Tedjani","non-dropping-particle":"","parse-names":false,"suffix":""},{"dropping-particle":"","family":"Boné","given":"Romuald","non-dropping-particle":"","parse-names":false,"suffix":""}],"container-title":"Energy and AI","id":"ITEM-2","issued":{"date-parts":[["2024"]]},"page":"100413","title":"Data-driven strategy for state of health prediction and anomaly detection in lithium-ion batteries","type":"article-journal","volume":"17"},"uris":["http://www.mendeley.com/documents/?uuid=b4798bfc-e3be-49d0-9f9c-56cd797b76d3"]},{"id":"ITEM-3","itemData":{"DOI":"https://doi.org/10.1016/j.energy.2024.131575","ISSN":"0360-5442","abstract":"Due to the large-scale application of electric vehicles, the remaining service life prediction and health status diagnosis of lithium-ion batteries as their power core is particularly important, and the essence of RUL prediction and SOH diagnosis is the prediction of remaining capacity. Through the aging experiment of cycle charging and discharging of lithium-ion batteries, the health features of experimental data are extracted for the prediction of remaining capacity. In this paper, a deep feature extraction method based on Bilinear CNN combined with CatBoost algorithm based on fractional order method optimization particle swarm optimization, and ant colony optimization algorithm is proposed for battery remaining capacity prediction. Seven groups of health features extracted from ten groups of battery data were used to input them into the optimized CatBoost algorithm for regression prediction. The results show that the proposed model achieves accurate SOH and RUL prediction, the three evaluation indicators MAE, RMSE, and MAPE of SOH are all within 1.7 % and the error rate of RUL is not higher than 1.5 %, and the test of multiple batteries also proves its strong robustness.","author":[{"dropping-particle":"","family":"Zhou","given":"Yifei","non-dropping-particle":"","parse-names":false,"suffix":""},{"dropping-particle":"","family":"Wang","given":"Shunli","non-dropping-particle":"","parse-names":false,"suffix":""},{"dropping-particle":"","family":"Xie","given":"Yanxing","non-dropping-particle":"","parse-names":false,"suffix":""},{"dropping-particle":"","family":"Zeng","given":"Jiawei","non-dropping-particle":"","parse-names":false,"suffix":""},{"dropping-particle":"","family":"Fernandez","given":"Carlos","non-dropping-particle":"","parse-names":false,"suffix":""}],"container-title":"Energy","id":"ITEM-3","issued":{"date-parts":[["2024"]]},"page":"131575","title":"Remaining useful life prediction and state of health diagnosis of lithium-ion batteries with multiscale health features based on optimized CatBoost algorithm","type":"article-journal","volume":"300"},"uris":["http://www.mendeley.com/documents/?uuid=8d5f4749-d2f0-47b0-9646-af04c48dcaf6"]}],"mendeley":{"formattedCitation":"[14–16]","plainTextFormattedCitation":"[14–16]","previouslyFormattedCitation":"[14–16]"},"properties":{"noteIndex":0},"schema":"https://github.com/citation-style-language/schema/raw/master/csl-citation.json"}</w:instrText>
      </w:r>
      <w:r>
        <w:rPr>
          <w:rFonts w:cs="Times New Roman"/>
        </w:rPr>
        <w:fldChar w:fldCharType="separate"/>
      </w:r>
      <w:r>
        <w:rPr>
          <w:rFonts w:cs="Times New Roman"/>
        </w:rPr>
        <w:t>[14–16]</w:t>
      </w:r>
      <w:r>
        <w:rPr>
          <w:rFonts w:cs="Times New Roman"/>
        </w:rPr>
        <w:fldChar w:fldCharType="end"/>
      </w:r>
      <w:r>
        <w:rPr>
          <w:rFonts w:hint="eastAsia" w:cs="Times New Roman"/>
          <w:lang w:val="en-US" w:eastAsia="zh-CN"/>
        </w:rPr>
        <w:t>.With the development of deep learning, SOH estimation has further shifted from manually designed features to end-to-end representation learning</w:t>
      </w:r>
      <w:r>
        <w:rPr>
          <w:rFonts w:cs="Times New Roman"/>
        </w:rPr>
        <w:fldChar w:fldCharType="begin" w:fldLock="1"/>
      </w:r>
      <w:r>
        <w:rPr>
          <w:rFonts w:cs="Times New Roman"/>
        </w:rPr>
        <w:instrText xml:space="preserve">ADDIN CSL_CITATION {"citationItems":[{"id":"ITEM-1","itemData":{"DOI":"10.1109/TTE.2024.3354551","author":[{"dropping-particle":"","family":"Wong","given":"Kei Long","non-dropping-particle":"","parse-names":false,"suffix":""},{"dropping-particle":"","family":"Tse","given":"Rita","non-dropping-particle":"","parse-names":false,"suffix":""},{"dropping-particle":"","family":"Tang","given":"Su-Kit","non-dropping-particle":"","parse-names":false,"suffix":""},{"dropping-particle":"","family":"Pau","given":"Giovanni","non-dropping-particle":"","parse-names":false,"suffix":""}],"container-title":"IEEE Transactions on Transportation Electrification","id":"ITEM-1","issue":"4","issued":{"date-parts":[["2024"]]},"page":"8199-8212","title":"Decentralized Deep-Learning Approach for Lithium-Ion Batteries State of Health Forecasting Using Federated Learning","type":"article-journal","volume":"10"},"uris":["http://www.mendeley.com/documents/?uuid=6bde1625-1b4e-4820-97f2-a9d0b850ab0d"]},{"id":"ITEM-2","itemData":{"DOI":"10.1109/JIOT.2024.3448350","author":[{"dropping-particle":"","family":"Ji","given":"Xiaoyue","non-dropping-particle":"","parse-names":false,"suffix":""},{"dropping-particle":"","family":"Chen","given":"Yi","non-dropping-particle":"","parse-names":false,"suffix":""},{"dropping-particle":"","family":"Wang","given":"Junfan","non-dropping-particle":"","parse-names":false,"suffix":""},{"dropping-particle":"","family":"Zhou","given":"Guangdong","non-dropping-particle":"","parse-names":false,"suffix":""},{"dropping-particle":"","family":"Sing Lai","given":"Chun","non-dropping-particle":"","parse-names":false,"suffix":""},{"dropping-particle":"","family":"Dong","given":"Zhekang","non-dropping-particle":"","parse-names":false,"suffix":""}],"container-title":"IEEE Internet of Things Journal","id":"ITEM-2","issue":"24","issued":{"date-parts":[["2024"]]},"page":"39941-39957","title":"Time-Frequency Hybrid Neuromorphic Computing Architecture Development for Battery State-of-Health Estimation","type":"article-journal","volume":"11"},"uris":["http://www.mendeley.com/documents/?uuid=e0150b12-df0f-4b89-b08c-0d24230bdfaa"]}],"mendeley":{"formattedCitation":"[17,18]","plainTextFormattedCitation":"[17,18]","previouslyFormattedCitation":"[17,18]"},"properties":{"noteIndex":0},"schema":"https://github.com/citation-style-language/schema/raw/master/csl-citation.json"}</w:instrText>
      </w:r>
      <w:r>
        <w:rPr>
          <w:rFonts w:cs="Times New Roman"/>
        </w:rPr>
        <w:fldChar w:fldCharType="separate"/>
      </w:r>
      <w:r>
        <w:rPr>
          <w:rFonts w:cs="Times New Roman"/>
        </w:rPr>
        <w:t>[17,18]</w:t>
      </w:r>
      <w:r>
        <w:rPr>
          <w:rFonts w:cs="Times New Roman"/>
        </w:rPr>
        <w:fldChar w:fldCharType="end"/>
      </w:r>
      <w:r>
        <w:rPr>
          <w:rFonts w:hint="eastAsia" w:cs="Times New Roman"/>
          <w:lang w:val="en-US" w:eastAsia="zh-CN"/>
        </w:rPr>
        <w:t>.However, such methods typically rely on the assumption that the source and target domains share similar data distributions. To avoid this assumption, transfer learning has been introduced into SOH estimation. To address the inconsistency between source and target feature spaces, Zhang et al. employed MMD-assisted feature alignment, improving the capability of battery health estimation under one-shot conditions</w:t>
      </w:r>
      <w:r>
        <w:rPr>
          <w:rFonts w:hint="eastAsia" w:cs="Times New Roman"/>
        </w:rPr>
        <w:fldChar w:fldCharType="begin" w:fldLock="1"/>
      </w:r>
      <w:r>
        <w:rPr>
          <w:rFonts w:cs="Times New Roman"/>
        </w:rPr>
        <w:instrText xml:space="preserve">ADDIN CSL_CITATION {"citationItems":[{"id":"ITEM-1","itemData":{"DOI":"https://doi.org/10.1016/j.rineng.2026.109163","ISSN":"2590-1230","abstract":"Data-driven approaches for estimating the state of health (SOH) of lithium-ion batteries (LiBs) have garnered substantial attention. Due to the variability in actual operating conditions and the diversity of battery types, distribution discrepancies between source and target domains are inevitable. Transfer learning (TL) has emerged as a promising technique to address these issues. However, most existing TL methods based on feature extraction require identical features in both source and target domains. To tackle this challenge, this paper proposes a heterogeneous-feature transfer learning (HFTL) method for scenarios where feature space of source and target domains are inconsistent. A two-step strategy for robust migration is proposed. In the first step, feature distribution correction is performed using the Box-Cox transformation (BCT). The second step involves feature alignment through a rotation matrix (RM), which incorporates maximum mean discrepancy (MMD) with the aid of auxiliary supervisory information. Additionally, a sliding window incremental ridge (SWIR) model is employed for capturing the knee point and continuous optimization during battery degradation. The proposed method achieved an average RMSE of 0.0133 and MAPE of 0.0121 across 16,983 cross-validation tests. Notably, it reduces MAPE by up to 60.44% compared to existing methods and enables real-time SOH estimation within 0.25 seconds. The above methods leverage the advantage of small sample sizes, offering a novel approach for the secondary utilization of LIBs.","author":[{"dropping-particle":"","family":"Zhang","given":"Mengchuan","non-dropping-particle":"","parse-names":false,"suffix":""},{"dropping-particle":"","family":"Wang","given":"Xuemei","non-dropping-particle":"","parse-names":false,"suffix":""},{"dropping-particle":"","family":"Kang","given":"Longyun","non-dropping-particle":"","parse-names":false,"suffix":""},{"dropping-particle":"","family":"Xie","given":"Di","non-dropping-particle":"","parse-names":false,"suffix":""},{"dropping-particle":"","family":"Liang","given":"Bohui","non-dropping-particle":"","parse-names":false,"suffix":""}],"container-title":"Results in Engineering","id":"ITEM-1","issued":{"date-parts":[["2026"]]},"page":"109163","title":"Bridging the feature gap: Heterogeneous transfer learning for lithium-ion battery health estimation using one-shot data","type":"article-journal","volume":"29"},"uris":["http://www.mendeley.com/documents/?uuid=6cd75746-48ef-44ca-b76d-faf96b65d308"]}],"mendeley":{"formattedCitation":"[19]","plainTextFormattedCitation":"[19]","previouslyFormattedCitation":"[19]"},"properties":{"noteIndex":0},"schema":"https://github.com/citation-style-language/schema/raw/master/csl-citation.json"}</w:instrText>
      </w:r>
      <w:r>
        <w:rPr>
          <w:rFonts w:hint="eastAsia" w:cs="Times New Roman"/>
        </w:rPr>
        <w:fldChar w:fldCharType="separate"/>
      </w:r>
      <w:r>
        <w:rPr>
          <w:rFonts w:cs="Times New Roman"/>
        </w:rPr>
        <w:t>[19]</w:t>
      </w:r>
      <w:r>
        <w:rPr>
          <w:rFonts w:hint="eastAsia" w:cs="Times New Roman"/>
        </w:rPr>
        <w:fldChar w:fldCharType="end"/>
      </w:r>
      <w:r>
        <w:rPr>
          <w:rFonts w:hint="eastAsia" w:cs="Times New Roman"/>
          <w:lang w:val="en-US" w:eastAsia="zh-CN"/>
        </w:rPr>
        <w:t>. Given source domain</w:t>
      </w:r>
      <w:r>
        <w:rPr>
          <w:rFonts w:hint="eastAsia" w:cs="Times New Roman"/>
          <w:position w:val="-12"/>
        </w:rPr>
        <w:object>
          <v:shape id="_x0000_i1025" o:spt="75" type="#_x0000_t75" style="height:18.7pt;width:95.4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cs="Times New Roman"/>
        </w:rPr>
        <w:t>，</w:t>
      </w:r>
      <w:r>
        <w:rPr>
          <w:rFonts w:hint="eastAsia" w:cs="Times New Roman" w:eastAsiaTheme="minorEastAsia"/>
          <w:position w:val="-11"/>
          <w:sz w:val="21"/>
        </w:rPr>
        <w:t>and target domain</w:t>
      </w:r>
      <w:r>
        <w:rPr>
          <w:rFonts w:hint="eastAsia" w:cs="Times New Roman"/>
          <w:position w:val="-14"/>
        </w:rPr>
        <w:object>
          <v:shape id="_x0000_i1026" o:spt="75" type="#_x0000_t75" style="height:19.65pt;width:72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cs="Times New Roman"/>
        </w:rPr>
        <w:t>，transfer learning seeks to adapt source-domain health representations to the target domain, as illustrated in Fig. 1. A general objective is</w:t>
      </w:r>
    </w:p>
    <w:p w14:paraId="2716067E">
      <w:pPr>
        <w:pStyle w:val="49"/>
      </w:pPr>
      <w:r>
        <w:rPr>
          <w:rFonts w:hint="eastAsia" w:cs="Times New Roman"/>
        </w:rPr>
        <w:tab/>
      </w:r>
      <w:r>
        <w:rPr>
          <w:rFonts w:hint="eastAsia" w:cs="Times New Roman"/>
          <w:position w:val="-12"/>
        </w:rPr>
        <w:object>
          <v:shape id="_x0000_i1027" o:spt="75" type="#_x0000_t75" style="height:18.7pt;width:162.7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cs="Times New Roman"/>
        </w:rPr>
        <w:t xml:space="preserve"> </w:t>
      </w:r>
      <w:r>
        <w:rPr>
          <w:rFonts w:hint="eastAsia" w:cs="Times New Roman"/>
        </w:rPr>
        <w:tab/>
      </w:r>
      <w:r>
        <w:rPr>
          <w:rFonts w:hint="eastAsia" w:cs="Times New Roman"/>
        </w:rPr>
        <w:fldChar w:fldCharType="begin"/>
      </w:r>
      <w:r>
        <w:rPr>
          <w:rFonts w:hint="eastAsia" w:cs="Times New Roman"/>
        </w:rPr>
        <w:instrText xml:space="preserve"> MACROBUTTON MTPlaceRef \* MERGEFO</w:instrText>
      </w:r>
      <w:r>
        <w:rPr>
          <w:rFonts w:hint="eastAsia" w:cs="Times New Roman"/>
          <w:position w:val="-4"/>
        </w:rPr>
        <w:instrText xml:space="preserve">R</w:instrText>
      </w:r>
      <w:r>
        <w:rPr>
          <w:rFonts w:hint="eastAsia" w:cs="Times New Roman"/>
        </w:rPr>
        <w:instrText xml:space="preserve">MAT </w:instrText>
      </w:r>
      <w:r>
        <w:rPr>
          <w:rFonts w:hint="eastAsia" w:cs="Times New Roman"/>
        </w:rPr>
        <w:fldChar w:fldCharType="begin"/>
      </w:r>
      <w:r>
        <w:rPr>
          <w:rFonts w:hint="eastAsia" w:cs="Times New Roman"/>
        </w:rPr>
        <w:instrText xml:space="preserve"> SEQ MTEqn \h \* MERGEFORMAT </w:instrText>
      </w:r>
      <w:r>
        <w:rPr>
          <w:rFonts w:hint="eastAsia" w:cs="Times New Roman"/>
        </w:rPr>
        <w:fldChar w:fldCharType="end"/>
      </w:r>
      <w:r>
        <w:rPr>
          <w:rFonts w:hint="eastAsia" w:cs="Times New Roman"/>
        </w:rPr>
        <w:instrText xml:space="preserve">(</w:instrText>
      </w:r>
      <w:r>
        <w:rPr>
          <w:rFonts w:cs="Times New Roman"/>
        </w:rPr>
        <w:fldChar w:fldCharType="begin"/>
      </w:r>
      <w:r>
        <w:rPr>
          <w:rFonts w:hint="eastAsia" w:cs="Times New Roman"/>
        </w:rPr>
        <w:instrText xml:space="preserve"> SEQ MTEqn \c \* Arabic \* MERGEFO</w:instrText>
      </w:r>
      <w:r>
        <w:instrText xml:space="preserve">RMAT </w:instrText>
      </w:r>
      <w:r>
        <w:fldChar w:fldCharType="separate"/>
      </w:r>
      <w:r>
        <w:instrText xml:space="preserve">1</w:instrText>
      </w:r>
      <w:r>
        <w:fldChar w:fldCharType="end"/>
      </w:r>
      <w:r>
        <w:rPr>
          <w:rFonts w:hint="eastAsia"/>
        </w:rPr>
        <w:instrText xml:space="preserve">)</w:instrText>
      </w:r>
      <w:r>
        <w:fldChar w:fldCharType="separate"/>
      </w:r>
      <w:r>
        <w:rPr>
          <w:rFonts w:hint="eastAsia"/>
        </w:rPr>
        <w:fldChar w:fldCharType="end"/>
      </w:r>
    </w:p>
    <w:p w14:paraId="1303E472">
      <w:pPr>
        <w:ind w:firstLine="420" w:firstLineChars="200"/>
      </w:pPr>
      <w:r>
        <w:rPr>
          <w:rFonts w:hint="eastAsia"/>
          <w:position w:val="-12"/>
        </w:rPr>
        <w:t xml:space="preserve">where </w:t>
      </w:r>
      <w:r>
        <w:rPr>
          <w:position w:val="-12"/>
        </w:rPr>
        <w:object>
          <v:shape id="_x0000_i1028" o:spt="75" type="#_x0000_t75" style="height:18.7pt;width:26.2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position w:val="-12"/>
          <w:lang w:val="en-US" w:eastAsia="zh-CN"/>
        </w:rPr>
        <w:t xml:space="preserve"> </w:t>
      </w:r>
      <w:r>
        <w:rPr>
          <w:rFonts w:hint="eastAsia"/>
          <w:position w:val="-12"/>
        </w:rPr>
        <w:t xml:space="preserve">is the source-domain SOH regression loss, </w:t>
      </w:r>
      <w:r>
        <w:rPr>
          <w:rFonts w:hint="eastAsia"/>
        </w:rPr>
        <w:t>，</w:t>
      </w:r>
      <w:r>
        <w:rPr>
          <w:position w:val="-6"/>
        </w:rPr>
        <w:object>
          <v:shape id="_x0000_i1029" o:spt="75" type="#_x0000_t75" style="height:14.05pt;width:14.05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hint="eastAsia"/>
          <w:position w:val="-6"/>
        </w:rPr>
        <w:t xml:space="preserve"> is the adaptation constraint between domains, and</w:t>
      </w:r>
      <w:r>
        <w:rPr>
          <w:rFonts w:hint="eastAsia"/>
        </w:rPr>
        <w:t>，</w:t>
      </w:r>
      <w:r>
        <w:rPr>
          <w:position w:val="-6"/>
        </w:rPr>
        <w:object>
          <v:shape id="_x0000_i1030" o:spt="75" type="#_x0000_t75" style="height:14.05pt;width:9.35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hint="eastAsia"/>
          <w:position w:val="-6"/>
          <w:lang w:val="en-US" w:eastAsia="zh-CN"/>
        </w:rPr>
        <w:t xml:space="preserve"> </w:t>
      </w:r>
      <w:r>
        <w:rPr>
          <w:rFonts w:hint="eastAsia"/>
          <w:position w:val="-6"/>
        </w:rPr>
        <w:t>is a balancing coefficient.</w:t>
      </w:r>
    </w:p>
    <w:p w14:paraId="4B8857B0">
      <w:r>
        <w:tab/>
      </w:r>
      <w:r>
        <w:t>Existing cross-batch studies have examined lightweight transfer learning</w:t>
      </w:r>
      <w:r>
        <w:rPr>
          <w:rFonts w:hint="eastAsia"/>
        </w:rPr>
        <w:fldChar w:fldCharType="begin" w:fldLock="1"/>
      </w:r>
      <w:r>
        <w:instrText xml:space="preserve">ADDIN CSL_CITATION {"citationItems":[{"id":"ITEM-1","itemData":{"DOI":"10.1109/TII.2025.3631012","author":[{"dropping-particle":"","family":"Liu","given":"Jiang","non-dropping-particle":"","parse-names":false,"suffix":""},{"dropping-particle":"","family":"Member","given":"Graduate Student","non-dropping-particle":"","parse-names":false,"suffix":""},{"dropping-particle":"","family":"Qin","given":"Yan","non-dropping-particle":"","parse-names":false,"suffix":""}],"container-title":"IEEE Transactions on Industrial Informatics","id":"ITEM-1","issue":"3","issued":{"date-parts":[["2026"]]},"page":"1738-1749","publisher":"IEEE","title":"A Lightweight Transfer Learning-Based State-of-Health Monitoring With Application to Lithium-Ion Batteries in Autonomous Air Vehicles","type":"article-journal","volume":"22"},"uris":["http://www.mendeley.com/documents/?uuid=0ff6af89-1df8-4112-bfd8-17e1e4e58fc3"]}],"mendeley":{"formattedCitation":"[20]","plainTextFormattedCitation":"[20]","previouslyFormattedCitation":"[20]"},"properties":{"noteIndex":0},"schema":"https://github.com/citation-style-language/schema/raw/master/csl-citation.json"}</w:instrText>
      </w:r>
      <w:r>
        <w:rPr>
          <w:rFonts w:hint="eastAsia"/>
        </w:rPr>
        <w:fldChar w:fldCharType="separate"/>
      </w:r>
      <w:r>
        <w:t>[20]</w:t>
      </w:r>
      <w:r>
        <w:rPr>
          <w:rFonts w:hint="eastAsia"/>
        </w:rPr>
        <w:fldChar w:fldCharType="end"/>
      </w:r>
      <w:r>
        <w:rPr>
          <w:rFonts w:hint="eastAsia"/>
        </w:rPr>
        <w:t>， few-shot transfer learning </w:t>
      </w:r>
      <w:r>
        <w:rPr>
          <w:rFonts w:hint="eastAsia"/>
        </w:rPr>
        <w:fldChar w:fldCharType="begin" w:fldLock="1"/>
      </w:r>
      <w:r>
        <w:instrText xml:space="preserve">ADDIN CSL_CITATION {"citationItems":[{"id":"ITEM-1","itemData":{"DOI":"10.1109/TIM.2024.3450095","author":[{"dropping-particle":"","family":"Song","given":"Lei","non-dropping-particle":"","parse-names":false,"suffix":""},{"dropping-particle":"","family":"Gui","given":"Xuanang","non-dropping-particle":"","parse-names":false,"suffix":""},{"dropping-particle":"","family":"Du","given":"Junrong","non-dropping-particle":"","parse-names":false,"suffix":""},{"dropping-particle":"","family":"Fan","given":"Zimeng","non-dropping-particle":"","parse-names":false,"suffix":""},{"dropping-particle":"","family":"Li","given":"Mingwei","non-dropping-particle":"","parse-names":false,"suffix":""},{"dropping-particle":"","family":"Guo","given":"Lili","non-dropping-particle":"","parse-names":false,"suffix":""}],"container-title":"IEEE Transactions on Instrumentation and Measurement","id":"ITEM-1","issued":{"date-parts":[["2024"]]},"page":"1-12","publisher":"IEEE","title":"A Novel Transfer Learning Approach for State-of-Health Prediction of Lithium-Ion Batteries in the Absence of Run-to-Failure Data","type":"article-journal","volume":"73"},"uris":["http://www.mendeley.com/documents/?uuid=5b6c247f-0427-4354-b25d-60cf4b50807c"]}],"mendeley":{"formattedCitation":"[21]","plainTextFormattedCitation":"[21]","previouslyFormattedCitation":"[21]"},"properties":{"noteIndex":0},"schema":"https://github.com/citation-style-language/schema/raw/master/csl-citation.json"}</w:instrText>
      </w:r>
      <w:r>
        <w:rPr>
          <w:rFonts w:hint="eastAsia"/>
        </w:rPr>
        <w:fldChar w:fldCharType="separate"/>
      </w:r>
      <w:r>
        <w:t>[21]</w:t>
      </w:r>
      <w:r>
        <w:rPr>
          <w:rFonts w:hint="eastAsia"/>
        </w:rPr>
        <w:fldChar w:fldCharType="end"/>
      </w:r>
      <w:r>
        <w:rPr>
          <w:rFonts w:hint="eastAsia"/>
        </w:rPr>
        <w:t> and time-frequency domain adaptation </w:t>
      </w:r>
      <w:r>
        <w:rPr>
          <w:rFonts w:hint="eastAsia"/>
        </w:rPr>
        <w:fldChar w:fldCharType="begin" w:fldLock="1"/>
      </w:r>
      <w:r>
        <w:instrText xml:space="preserve">ADDIN CSL_CITATION {"citationItems":[{"id":"ITEM-1","itemData":{"DOI":"10.1088/2631-8695/ae43b2","abstract":"Lithium-ion batteries have become an important part of the energy storage field. Accurately estimating their state of health (SOH) is a key precondition for ensuring the safe and efficient operation of the system. The performance of most SOH estimation methods based on data-driven generally relies on the assumption that the training data and the test data have the same distribution. However, in practical applications, differences in manufacturing processes, operating conditions, and battery types lead to varying degradation patterns and inconsistent data distributions among different batteries. This affects the estimation accuracy of such methods in cross-domain scenarios. To address this issue, a time-frequency deep domain adaptation (TFDDA) method is proposed. Specifically, the method constructs a dual-branch convolutional neural network that extracts and integrates the time-domain signal of the charging curve and the frequency-domain features transformed by the Fast Fourier transform (FFT) separately. It utilizes frequency-domain components with stronger domain invariance to compensate for the limitations of relying solely on time-domain features. This enables the model to automatically learn aging features with more discriminability and robustness. At the same time, maximum mean discrepancy (MMD) is employed to align feature distributions between source and target domains, thereby achieving cross-domain knowledge transfer. To verify the effectiveness of the proposed method, three experimental scenarios are designed: transfer within the same battery type under identical and different operating conditions, and transfer between different battery types. The experimental results demonstrate that the proposed method maintains good performance even as the data distribution differences gradually increase.","author":[{"dropping-particle":"","family":"Pang","given":"Xiaoqiong","non-dropping-particle":"","parse-names":false,"suffix":""},{"dropping-particle":"","family":"Zhang","given":"Xiaotong","non-dropping-particle":"","parse-names":false,"suffix":""},{"dropping-particle":"","family":"Guo","given":"Ziyao","non-dropping-particle":"","parse-names":false,"suffix":""},{"dropping-particle":"","family":"Jia","given":"Jianfang","non-dropping-particle":"","parse-names":false,"suffix":""},{"dropping-particle":"","family":"Wen","given":"Jie","non-dropping-particle":"","parse-names":false,"suffix":""},{"dropping-particle":"","family":"Shi","given":"Yuanhao","non-dropping-particle":"","parse-names":false,"suffix":""},{"dropping-particle":"","family":"Zeng","given":"Jianchao","non-dropping-particle":"","parse-names":false,"suffix":""}],"container-title":"Engineering Research Express","id":"ITEM-1","issue":"4","issued":{"date-parts":[["2026"]]},"page":"45210","publisher":"IOP Publishing","title":"TFDDA: a time-frequency deep domain adaptation method for cross-domain state of health estimation of lithium-ion batteries","type":"article-journal","volume":"8"},"uris":["http://www.mendeley.com/documents/?uuid=4b0bedec-bfa1-4a20-9da6-3975ad4706bf"]}],"mendeley":{"formattedCitation":"[22]","plainTextFormattedCitation":"[22]","previouslyFormattedCitation":"[22]"},"properties":{"noteIndex":0},"schema":"https://github.com/citation-style-language/schema/raw/master/csl-citation.json"}</w:instrText>
      </w:r>
      <w:r>
        <w:rPr>
          <w:rFonts w:hint="eastAsia"/>
        </w:rPr>
        <w:fldChar w:fldCharType="separate"/>
      </w:r>
      <w:r>
        <w:t>[22]</w:t>
      </w:r>
      <w:r>
        <w:rPr>
          <w:rFonts w:hint="eastAsia"/>
        </w:rPr>
        <w:fldChar w:fldCharType="end"/>
      </w:r>
      <w:r>
        <w:rPr>
          <w:rFonts w:hint="eastAsia"/>
          <w:lang w:val="en-US" w:eastAsia="zh-CN"/>
        </w:rPr>
        <w:t>. However, when target-domain samples are limited and degradation-stage coverage is incomplete, the direct mapping</w:t>
      </w:r>
      <w:r>
        <w:rPr>
          <w:rFonts w:hint="eastAsia"/>
          <w:position w:val="-6"/>
        </w:rPr>
        <w:object>
          <v:shape id="_x0000_i1031" o:spt="75" type="#_x0000_t75" style="height:14.05pt;width:51.45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hint="eastAsia"/>
          <w:position w:val="-6"/>
        </w:rPr>
        <w:t>may increase prediction instability during late-stage degradation. Cross-batch SOH prediction therefore requires both a transfer mechanism and a suitable degradation-trend prior that structurally constrains the output.</w:t>
      </w:r>
    </w:p>
    <w:p w14:paraId="2A4A266A">
      <w:pPr>
        <w:tabs>
          <w:tab w:val="left" w:pos="4407"/>
          <w:tab w:val="center" w:pos="5293"/>
        </w:tabs>
        <w:jc w:val="center"/>
      </w:pPr>
      <w:r>
        <w:rPr>
          <w:rFonts w:hint="eastAsia"/>
        </w:rPr>
        <w:drawing>
          <wp:inline distT="0" distB="0" distL="114300" distR="114300">
            <wp:extent cx="4368800" cy="3199130"/>
            <wp:effectExtent l="0" t="0" r="12700" b="1270"/>
            <wp:docPr id="17" name="图片 17" descr="绘图11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绘图11v3"/>
                    <pic:cNvPicPr>
                      <a:picLocks noChangeAspect="1"/>
                    </pic:cNvPicPr>
                  </pic:nvPicPr>
                  <pic:blipFill>
                    <a:blip r:embed="rId20"/>
                    <a:stretch>
                      <a:fillRect/>
                    </a:stretch>
                  </pic:blipFill>
                  <pic:spPr>
                    <a:xfrm>
                      <a:off x="0" y="0"/>
                      <a:ext cx="4368800" cy="3199130"/>
                    </a:xfrm>
                    <a:prstGeom prst="rect">
                      <a:avLst/>
                    </a:prstGeom>
                  </pic:spPr>
                </pic:pic>
              </a:graphicData>
            </a:graphic>
          </wp:inline>
        </w:drawing>
      </w:r>
    </w:p>
    <w:p w14:paraId="79B07ECE">
      <w:pPr>
        <w:jc w:val="center"/>
        <w:rPr>
          <w:b/>
          <w:bCs/>
          <w:color w:val="000000" w:themeColor="text1"/>
          <w14:textFill>
            <w14:solidFill>
              <w14:schemeClr w14:val="tx1"/>
            </w14:solidFill>
          </w14:textFill>
        </w:rPr>
      </w:pPr>
      <w:r>
        <w:rPr>
          <w:rFonts w:hint="eastAsia"/>
          <w:b/>
          <w:bCs/>
          <w:color w:val="203864" w:themeColor="accent1" w:themeShade="80"/>
        </w:rPr>
        <w:t xml:space="preserve">Fig.1 </w:t>
      </w:r>
      <w:r>
        <w:rPr>
          <w:rFonts w:hint="eastAsia"/>
          <w:color w:val="000000" w:themeColor="text1"/>
          <w14:textFill>
            <w14:solidFill>
              <w14:schemeClr w14:val="tx1"/>
            </w14:solidFill>
          </w14:textFill>
        </w:rPr>
        <w:t>Conceptual comparison between source-only SOH estimation and transfer-learning-based SOH estimation</w:t>
      </w:r>
    </w:p>
    <w:p w14:paraId="56A02E97">
      <w:r>
        <w:rPr>
          <w:rFonts w:hint="eastAsia"/>
          <w:b/>
          <w:bCs/>
          <w:color w:val="2F5496"/>
        </w:rPr>
        <w:t>2.2 Physics-constrained SOH estimation</w:t>
      </w:r>
    </w:p>
    <w:p w14:paraId="3BEA8850">
      <w:pPr>
        <w:ind w:firstLine="420"/>
      </w:pPr>
      <w:r>
        <w:rPr>
          <w:rFonts w:hint="eastAsia"/>
        </w:rPr>
        <w:t>Physical constraints can not only suppress overfitting of deep networks under small sample sizes, but also introduce physical knowledge, domain priors, and distribution constraints into SOH prediction, as illustrated in Fig. 2. In general, physical embedding can be formulated as jointly feeding the original observed features and physics-prior features into the prediction model, and adding a corresponding physical constraint term to the training objective:</w:t>
      </w:r>
    </w:p>
    <w:p w14:paraId="064E3AF9">
      <w:pPr>
        <w:pStyle w:val="49"/>
        <w:jc w:val="left"/>
      </w:pPr>
      <w:r>
        <w:rPr>
          <w:rFonts w:hint="eastAsia"/>
        </w:rPr>
        <w:t xml:space="preserve">                                </w:t>
      </w:r>
      <w:r>
        <w:rPr>
          <w:position w:val="-14"/>
        </w:rPr>
        <w:object>
          <v:shape id="_x0000_i1032" o:spt="75" type="#_x0000_t75" style="height:19.65pt;width:148.7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rPr>
        <w:t xml:space="preserve"> </w:t>
      </w:r>
      <w:r>
        <w:rPr>
          <w:rFonts w:hint="eastAsia"/>
        </w:rPr>
        <w:tab/>
      </w:r>
      <w:r>
        <w:rPr>
          <w:rFonts w:hint="eastAsia"/>
        </w:rPr>
        <w:t xml:space="preserve">               </w:t>
      </w:r>
      <w:r>
        <w:rPr>
          <w:rFonts w:hint="eastAsia"/>
        </w:rPr>
        <w:fldChar w:fldCharType="begin"/>
      </w:r>
      <w:r>
        <w:rPr>
          <w:rFonts w:hint="eastAsia"/>
        </w:rPr>
        <w:instrText xml:space="preserve"> MACROBUTTON MTPlaceRef \* MERGEF</w:instrText>
      </w:r>
      <w:r>
        <w:rPr>
          <w:rFonts w:hint="eastAsia"/>
          <w:position w:val="-4"/>
        </w:rPr>
        <w:instrText xml:space="preserve">O</w:instrText>
      </w:r>
      <w:r>
        <w:rPr>
          <w:rFonts w:hint="eastAsia"/>
        </w:rPr>
        <w:instrText xml:space="preserve">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w:instrText>
      </w:r>
      <w:r>
        <w:fldChar w:fldCharType="end"/>
      </w:r>
      <w:r>
        <w:rPr>
          <w:rFonts w:hint="eastAsia"/>
        </w:rPr>
        <w:instrText xml:space="preserve">)</w:instrText>
      </w:r>
      <w:r>
        <w:fldChar w:fldCharType="separate"/>
      </w:r>
      <w:r>
        <w:rPr>
          <w:rFonts w:hint="eastAsia"/>
        </w:rPr>
        <w:fldChar w:fldCharType="end"/>
      </w:r>
    </w:p>
    <w:p w14:paraId="4B60B1DD">
      <w:pPr>
        <w:pStyle w:val="49"/>
        <w:ind w:firstLine="3360" w:firstLineChars="1600"/>
        <w:rPr>
          <w:rFonts w:cs="Times New Roman"/>
        </w:rPr>
      </w:pPr>
      <w:r>
        <w:rPr>
          <w:position w:val="-14"/>
        </w:rPr>
        <w:object>
          <v:shape id="_x0000_i1033" o:spt="75" type="#_x0000_t75" style="height:19.65pt;width:150.55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r>
        <w:rPr>
          <w:rFonts w:hint="eastAsia"/>
        </w:rPr>
        <w:t xml:space="preserve"> </w:t>
      </w:r>
      <w:r>
        <w:rPr>
          <w:rFonts w:hint="eastAsia"/>
        </w:rPr>
        <w:tab/>
      </w:r>
      <w:r>
        <w:rPr>
          <w:rFonts w:hint="eastAsia"/>
        </w:rPr>
        <w:t xml:space="preserve">           </w:t>
      </w:r>
      <w:r>
        <w:rPr>
          <w:rFonts w:hint="eastAsia"/>
        </w:rPr>
        <w:fldChar w:fldCharType="begin"/>
      </w:r>
      <w:r>
        <w:rPr>
          <w:rFonts w:hint="eastAsia"/>
        </w:rPr>
        <w:instrText xml:space="preserve"> MACROBUTTON MTPlaceRef \* MERGEF</w:instrText>
      </w:r>
      <w:r>
        <w:rPr>
          <w:rFonts w:hint="eastAsia"/>
          <w:position w:val="-4"/>
        </w:rPr>
        <w:instrText xml:space="preserve">O</w:instrText>
      </w:r>
      <w:r>
        <w:rPr>
          <w:rFonts w:hint="eastAsia"/>
        </w:rPr>
        <w:instrText xml:space="preserve">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3</w:instrText>
      </w:r>
      <w:r>
        <w:fldChar w:fldCharType="end"/>
      </w:r>
      <w:r>
        <w:rPr>
          <w:rFonts w:hint="eastAsia"/>
        </w:rPr>
        <w:instrText xml:space="preserve">)</w:instrText>
      </w:r>
      <w:r>
        <w:fldChar w:fldCharType="separate"/>
      </w:r>
      <w:r>
        <w:rPr>
          <w:rFonts w:hint="eastAsia"/>
        </w:rPr>
        <w:fldChar w:fldCharType="end"/>
      </w:r>
    </w:p>
    <w:p w14:paraId="2B706021">
      <w:pPr>
        <w:rPr>
          <w:rFonts w:cs="Times New Roman"/>
        </w:rPr>
      </w:pPr>
      <w:r>
        <w:rPr>
          <w:rFonts w:hint="eastAsia"/>
          <w:position w:val="-4"/>
        </w:rPr>
        <w:t>Where</w:t>
      </w:r>
      <w:r>
        <w:rPr>
          <w:rFonts w:hint="eastAsia"/>
          <w:position w:val="-4"/>
          <w:lang w:val="en-US" w:eastAsia="zh-CN"/>
        </w:rPr>
        <w:t xml:space="preserve"> </w:t>
      </w:r>
      <w:r>
        <w:rPr>
          <w:position w:val="-4"/>
        </w:rPr>
        <w:object>
          <v:shape id="_x0000_i1034" o:spt="75" type="#_x0000_t75" style="height:9.35pt;width:9.35pt;" o:ole="t" filled="f" o:preferrelative="t" stroked="f" coordsize="21600,21600">
            <v:path/>
            <v:fill on="f" focussize="0,0"/>
            <v:stroke on="f" joinstyle="miter"/>
            <v:imagedata r:id="rId26" o:title=""/>
            <o:lock v:ext="edit" aspectratio="t"/>
            <w10:wrap type="none"/>
            <w10:anchorlock/>
          </v:shape>
          <o:OLEObject Type="Embed" ProgID="Equation.DSMT4" ShapeID="_x0000_i1034" DrawAspect="Content" ObjectID="_1468075734" r:id="rId25">
            <o:LockedField>false</o:LockedField>
          </o:OLEObject>
        </w:object>
      </w:r>
      <w:r>
        <w:rPr>
          <w:rFonts w:hint="eastAsia"/>
          <w:position w:val="-4"/>
          <w:lang w:val="en-US" w:eastAsia="zh-CN"/>
        </w:rPr>
        <w:t xml:space="preserve"> </w:t>
      </w:r>
      <w:r>
        <w:rPr>
          <w:rFonts w:hint="eastAsia"/>
          <w:position w:val="-4"/>
        </w:rPr>
        <w:t xml:space="preserve">denotes observed battery-degradation features, </w:t>
      </w:r>
      <w:r>
        <w:rPr>
          <w:position w:val="-14"/>
        </w:rPr>
        <w:object>
          <v:shape id="_x0000_i1035" o:spt="75" type="#_x0000_t75" style="height:19.65pt;width:20.55pt;" o:ole="t" filled="f" o:preferrelative="t" stroked="f" coordsize="21600,21600">
            <v:path/>
            <v:fill on="f" focussize="0,0"/>
            <v:stroke on="f" joinstyle="miter"/>
            <v:imagedata r:id="rId28" o:title=""/>
            <o:lock v:ext="edit" aspectratio="t"/>
            <w10:wrap type="none"/>
            <w10:anchorlock/>
          </v:shape>
          <o:OLEObject Type="Embed" ProgID="Equation.DSMT4" ShapeID="_x0000_i1035" DrawAspect="Content" ObjectID="_1468075735" r:id="rId27">
            <o:LockedField>false</o:LockedField>
          </o:OLEObject>
        </w:object>
      </w:r>
      <w:r>
        <w:rPr>
          <w:rFonts w:hint="eastAsia"/>
          <w:position w:val="-14"/>
        </w:rPr>
        <w:t xml:space="preserve"> denotes features constructed from physical knowledge or degradation priors, and</w:t>
      </w:r>
      <w:r>
        <w:rPr>
          <w:position w:val="-14"/>
        </w:rPr>
        <w:object>
          <v:shape id="_x0000_i1036" o:spt="75" type="#_x0000_t75" style="height:19.65pt;width:26.2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rPr>
          <w:rFonts w:hint="eastAsia"/>
          <w:position w:val="-14"/>
        </w:rPr>
        <w:t>is a physical-consistency or degradation constraint.</w:t>
      </w:r>
    </w:p>
    <w:p w14:paraId="2616A38D">
      <w:pPr>
        <w:ind w:firstLine="420"/>
        <w:rPr>
          <w:rFonts w:cs="Times New Roman"/>
        </w:rPr>
      </w:pPr>
      <w:r>
        <w:rPr>
          <w:rFonts w:cs="Times New Roman"/>
        </w:rPr>
        <w:t>Recent studies have successively incorporated physical knowledge, hybrid modeling, and degradation-feature constraints into the SOH estimation process</w:t>
      </w:r>
      <w:r>
        <w:rPr>
          <w:rFonts w:cs="Times New Roman"/>
        </w:rPr>
        <w:fldChar w:fldCharType="begin" w:fldLock="1"/>
      </w:r>
      <w:r>
        <w:rPr>
          <w:rFonts w:hint="eastAsia" w:cs="Times New Roman"/>
        </w:rPr>
        <w:instrText xml:space="preserve">ADDIN CSL_CITATION {"citationItems":[{"id":"ITEM-1","itemData":{"DOI":"https://doi.org/10.1016/j.apenergy.2025.127012","ISSN":"0306-2619","abstract":"Battery health prediction faces multi-factor challenges. Significant differences exist in degradation patterns across material systems and usage scenarios. Traditional models relying on homogeneous data struggle with complex operating conditions. This study innovatively proposes a 5-shot meta-learning framework to accurately predict battery health under data scarcity. Experiments employ dual-threshold truncation for multi-source data processing, eliminating sensor noise interference. By analyzing capacity decay dynamics, we design a physics-informed loss function that embeds electrochemical mechanisms into a gated recurrent unit-Transformer hybrid architecture. Combined with cross-domain transfer strategies, the model achieves high-precision, robust predictions through physical law constraints and meta-learning fast adaptation. The constructed multi-physics synergistic model integrates diffusion-reaction-bias dynamics, while dynamic masking enhances small-sample adaptability. 349,443 cross-material query tests demonstrate model MAPE as low as 0.45 % with R2 reaching 0.9634, validating the effectiveness of physical constraints and meta-transfer mechanisms.","author":[{"dropping-particle":"","family":"Nie","given":"Xiaobo","non-dropping-particle":"","parse-names":false,"suffix":""},{"dropping-particle":"","family":"Pan","given":"Yongjun","non-dropping-particle":"","parse-names":false,"suffix":""},{"dropping-particle":"","family":"Zhang","given":"Yongzhi","non-dropping-particle":"","parse-names":false,"suffix":""},{"dropping-particle":"","family":"Luo","given":"Zhenning","non-dropping-particle":"","parse-names":false,"suffix":""},{"dropping-particle":"","family":"Wang","given":"Shuxin","non-dropping-particle":"","parse-names":false,"suffix":""}],"container-title":"Applied Energy","id":"ITEM-1","issued":{"date-parts":[["2026"]]},"page":"127012","title":"Battery health prediction under data scarcity: A cross-domain physics-informed 5-shot framework with GRU-Transformer","type":"article-journal","volume":"402"},"uris":["http://www.mendeley.com/documents/?uuid=6c526c4a-7d44-4ecf-af02-cc3004ce9188"]},{"id":"ITEM-2","itemData":{"DOI":"https://doi.org/10.1016/j.energy.2025.134937","ISSN":"0360-5442","abstract":"Accurate State of Health (SOH) estimation for lithium batteries (LIBs) is crucial for the safe operation of battery systems. However, the lack of physical properties and the varied operating conditions in real-world use further increase the difficulty of traditional SOH estimation, making it a significant challenge in current research. For this reason, this paper proposes a physics-informed machine learning (PIML) method for accurate SOH estimation of LIBs varied operating conditions. Considering the fully charged relaxation voltage data obtained easily in practical applications, firstly, this paper discussed the relaxation voltage data related to the battery's aging characteristics from the experimental tests. Secondly, the fractional-order equivalent circuit model (FOECM) is constructed and parameters characterizing battery degradation are identified for extracting the physical features. Ultimately, a novel PIML framework based FOECM of LIB is developed, then the datasets of three different battery types under different temperatures and discharge rates are used and validated for SOH estimation without considering any usage information. Experimental results show that the PIML method proposed in this paper can quickly achieve SOH estimation and keep the accuracy in 0.84 % for different types of batteries under varying experimental conditions. In addition, compared with other feature extraction methods, the PIML-based SOH estimation has obvious advantages with 16.2 %, which provides an important reference for the design and optimization of advanced battery management systems.","author":[{"dropping-particle":"","family":"Lin","given":"Chunsong","non-dropping-particle":"","parse-names":false,"suffix":""},{"dropping-particle":"","family":"Tuo","given":"Xianguo","non-dropping-particle":"","parse-names":false,"suffix":""},{"dropping-particle":"","family":"Wu","given":"Longxing","non-dropping-particle":"","parse-names":false,"suffix":""},{"dropping-particle":"","family":"Zhang","given":"Guiyu","non-dropping-particle":"","parse-names":false,"suffix":""},{"dropping-particle":"","family":"Lyu","given":"Zhiqiang","non-dropping-particle":"","parse-names":false,"suffix":""},{"dropping-particle":"","family":"Zeng","given":"Xiangling","non-dropping-particle":"","parse-names":false,"suffix":""}],"container-title":"Energy","id":"ITEM-2","issued":{"date-parts":[["2025"]]},"page":"134937","title":"Physics-informed machine learning for accurate SOH estimation of lithium-ion batteries considering various temperatures and operating conditions","type":"article-journal","volume":"318"},"uris":["http://www.mendeley.com/documents/?uuid=d09682f8-1dfc-41ec-bb5b-e01c8e002f69"]},{"id":"ITEM-3","itemData":{"DOI":"https://doi.org/10.1016/j.energy.2025.137215","ISSN":"0360-5442","abstract":"Accurate, practical, and robust battery state of health (SOH) assessment is crucial for the efficient and reliable operation of electric vehicles. However, reliable and precise battery SOH estimation remains challenging due to the complexity of battery aging models and the difficulty in parameter identification. In this paper, a general physics-informed neural network (PINN) framework is proposed, which uses a two-branch structure to achieve accurate estimation of SOH. Specifically, the degradation model is established by reconstructing the solid electrolyte interphase (SEI) film growth model using Universal Differential Equations (UDE). The extracted features are input into the first multilayer perception (MLP) branch to generate a preliminary SOH estimation. These features, initial SOH and the partial derivative of SOH to features are innovatively input into the degradation model represented by the second MLP branch, and the SEI growth model is explicitly simulated. Finally, the SEI film volume prediction results are mapped back to SOH. An applied voltage window (approximately 71 %–90 % state of charge range) is designed to extract 13 effective health indicators, making the method applicable to different battery types and charge-discharge protocols. Additionally, 83 batteries and 34,696 data samples including five experimental LFP/graphite batteries and three others with datasets are used to validate proposed approach. The mean absolute percentage error (MAPE) is 0.97 % across all test sets. Compared with other network architectures, the proposed PINN framework demonstrates excellent performance in all normal, small samples and transfer tests.","author":[{"dropping-particle":"","family":"Tian","given":"Aina","non-dropping-particle":"","parse-names":false,"suffix":""},{"dropping-particle":"","family":"He","given":"Luyao","non-dropping-particle":"","parse-names":false,"suffix":""},{"dropping-particle":"","family":"Ding","given":"Tao","non-dropping-particle":"","parse-names":false,"suffix":""},{"dropping-particle":"","family":"Dong","given":"Kailang","non-dropping-particle":"","parse-names":false,"suffix":""},{"dropping-particle":"","family":"Wang","given":"Yuqin","non-dropping-particle":"","parse-names":false,"suffix":""},{"dropping-particle":"","family":"Jiang","given":"Jiuchun","non-dropping-particle":"","parse-names":false,"suffix":""}],"container-title":"Energy","id":"ITEM-3","issued":{"date-parts":[["2025"]]},"page":"137215","title":"A generic physics-informed neural network framework for lithium-ion batteries state of health estimation","type":"article-journal","volume":"332"},"uris":["http://www.mendeley.com/documents/?uuid=2c880838-d30d-407c-aea3-184e36dd78c9"]},{"id":"ITEM-4","itemData":{"DOI":"10.1039/d4ee03839h","ISSN":"1754-5692","abstract":"Manufacturing complexities and uncertainties have impeded the transition from material prototypes to commercial batteries, making their verification a critical quality assessment link. A fundamental challenge is to decouple electrochemical interactions for establishing a quantitative mapping from electrochemical parameters to macro battery performance. Here, we show that the proposed physics-informed learning model can quantify and visualize temporally resolved thermodynamic and kinetic parameters from field accessible electric signals, facilitating a non-destructive degradation pattern decoupling. The lifetime trajectory prediction is 25 times faster than the traditional capacity calibration test while retaining a 95.1% average accuracy across temperatures, underpinned by projected electrochemical data from early cycle observations which have not yet been established. We rationalize this predictability to the interpretation of statistical insights from material-agnostic featurization, excited by a multistep charging scheme with different current intensities and their switching conditions. The waste management of defective prototypes is enabled by statistically and non-destructively interpreting internal electrochemical states, demonstrating a 19.76 billion USD defective material recycling market by 2060. This paper highlights the potential of revisiting electrochemical degradation behaviors using physics-informed learning and dynamic current excitations, facilitating next-generation battery manufacturing, reuse, and recycling sustainability. ","author":[{"dropping-particle":"","family":"Tao","given":"Shengyu","non-dropping-particle":"","parse-names":false,"suffix":""},{"dropping-particle":"","family":"Zhang","given":"Mengtian","non-dropping-particle":"","parse-names":false,"suffix":""},{"dropping-particle":"","family":"Zhao","given":"Zixi","non-dropping-particle":"","parse-names":false,"suffix":""},{"dropping-particle":"","family":"Li","given":"Haoyang","non-dropping-particle":"","parse-names":false,"suffix":""},{"dropping-particle":"","family":"Ma","given":"Ruifei","non-dropping-particle":"","parse-names":false,"suffix":""},{"dropping-particle":"","family":"Che","given":"Yunhong","non-dropping-particle":"","parse-names":false,"suffix":""},{"dropping-particle":"","family":"Sun","given":"Xin","non-dropping-particle":"","parse-names":false,"suffix":""},{"dropping-particle":"","family":"Su","given":"Lin","non-dropping-particle":"","parse-names":false,"suffix":""},{"dropping-particle":"","family":"Sun","given":"Chongbo","non-dropping-particle":"","parse-names":false,"suffix":""},{"dropping-particle":"","family":"Chen","given":"Xiangyu","non-dropping-particle":"","parse-names":false,"suffix":""},{"dropping-particle":"","family":"Chang","given":"Heng","non-dropping-particle":"","parse-names":false,"suffix":""},{"dropping-particle":"","family":"Zhou","given":"Shiji","non-dropping-particle":"","parse-names":false,"suffix":""},{"dropping-particle":"","family":"Li","given":"Zepeng","non-dropping-particle":"","parse-names":false,"suffix":""},{"dropping-particle":"","family":"Lin","given":"Hanyang","non-dropping-particle":"","parse-names":false,"suffix":""},{"dropping-particle":"","family":"Liu","given":"Yaojun","non-dropping-particle":"","parse-names":false,"suffix":""},{"dropping-particle":"","family":"Yu","given":"Wenjun","non-dropping-particle":"","parse-names":false,"suffix":""},{"dropping-particle":"","family":"Xu","given":"Zhongling","non-dropping-particle":"","parse-names":false,"suffix":""},{"dropping-particle":"","family":"Hao","given":"Han","non-dropping-particle":"","parse-names":false,"suffix":""},{"dropping-particle":"","family":"Moura","given":"Scott","non-dropping-particle":"","parse-names":false,"suffix":""},{"dropping-particle":"","family":"Zhang","given":"Xuan","non-dropping-particle":"","parse-names":false,"suffix":""},{"dropping-particle":"","family":"Li","given":"Yang","non-dropping-particle":"","parse-names":false,"suffix":""},{"dropping-particle":"","family":"Hu","given":"Xiaosong","non-dropping-particle":"","parse-names":false,"suffix":""},{"dropping-particle":"","family":"Zhou","given":"Guangmin","non-dropping-particle":"","parse-names":false,"suffix":""}],"container-title":"Energy &amp; Environmental Science","id":"ITEM-4","issue":"3","issued":{"date-parts":[["2025","2","7"]]},"page":"1544-1559","title":"Non-destructive degradation pattern decoupling for early battery trajectory prediction via physics-informed learning","type":"article-journal","volume":"18"},"uris":["http://www.mendeley.com/documents/?uuid=3b331b18-5138-4ab8-98ce-0a8b1e8b5704"]}],"mendeley":{"formattedCitation":"[23–26]","plainTextFormattedCitation":"[23–26]","previouslyFormattedCitation":"[23–26]"},"properties":{"noteIndex":0},"schema":"https://github.com/citation-style-language/schema/raw/master/csl-citation.json"}</w:instrText>
      </w:r>
      <w:r>
        <w:rPr>
          <w:rFonts w:cs="Times New Roman"/>
        </w:rPr>
        <w:fldChar w:fldCharType="separate"/>
      </w:r>
      <w:r>
        <w:rPr>
          <w:rFonts w:cs="Times New Roman"/>
        </w:rPr>
        <w:t>[23–26]</w:t>
      </w:r>
      <w:r>
        <w:rPr>
          <w:rFonts w:cs="Times New Roman"/>
        </w:rPr>
        <w:fldChar w:fldCharType="end"/>
      </w:r>
      <w:r>
        <w:rPr>
          <w:rFonts w:cs="Times New Roman"/>
        </w:rPr>
        <w:t>. By combining empirical degradation regularities with data-driven models, these approaches have improved both the accuracy and physical consistency of SOH prediction. In addition, methods such as feature selection, diagnostic-test design, and generative learning</w:t>
      </w:r>
      <w:r>
        <w:rPr>
          <w:rFonts w:hint="default" w:cs="Times New Roman"/>
        </w:rPr>
        <w:t> </w:t>
      </w:r>
      <w:r>
        <w:rPr>
          <w:rFonts w:cs="Times New Roman"/>
        </w:rPr>
        <w:fldChar w:fldCharType="begin" w:fldLock="1"/>
      </w:r>
      <w:r>
        <w:rPr>
          <w:rFonts w:cs="Times New Roman"/>
        </w:rPr>
        <w:instrText xml:space="preserve">ADDIN CSL_CITATION {"citationItems":[{"id":"ITEM-1","itemData":{"DOI":"https://doi.org/10.1016/j.jechem.2024.09.032","ISSN":"2095-4956","abstract":"Battery health evaluation and management are vital for the long-term reliability and optimal performance of lithium-ion batteries in electric vehicles. Electrochemical impedance spectroscopy (EIS) offers valuable insights into battery degradation analysis and modeling. However, previous studies have not adequately addressed the impedance uncertainties, particularly during battery operating conditions, which can substantially impact the robustness and accuracy of state of health (SOH) estimation. Motivated by this, this paper proposes a comprehensive feature optimization scheme that integrates impedance validity assessment with correlation analysis. By utilizing metrics such as impedance residuals and correlation coefficients, the proposed method effectively filters out invalid and insignificant impedance data, thereby enhancing the reliability of the input features. Subsequently, the extreme gradient boosting (XGBoost) modeling framework is constructed for estimating the battery degradation trajectories. The XGBoost model incorporates a diverse range of hyperparameters, optimized by a genetic algorithm to improve its adaptability and generalization performance. Experimental validation confirms the effectiveness of the proposed feature optimization scheme, demonstrating the superior estimation performance of the proposed method in comparison with four baseline techniques.","author":[{"dropping-particle":"","family":"Du","given":"Xinghao","non-dropping-particle":"","parse-names":false,"suffix":""},{"dropping-particle":"","family":"Meng","given":"Jinhao","non-dropping-particle":"","parse-names":false,"suffix":""},{"dropping-particle":"","family":"Amirat","given":"Yassine","non-dropping-particle":"","parse-names":false,"suffix":""},{"dropping-particle":"","family":"Gao","given":"Fei","non-dropping-particle":"","parse-names":false,"suffix":""},{"dropping-particle":"","family":"Benbouzid","given":"Mohamed","non-dropping-particle":"","parse-names":false,"suffix":""}],"container-title":"Journal of Energy Chemistry","id":"ITEM-1","issued":{"date-parts":[["2025"]]},"page":"87-98","title":"Feature selection strategy optimization for lithium-ion battery state of health estimation under impedance uncertainties","type":"article-journal","volume":"101"},"uris":["http://www.mendeley.com/documents/?uuid=03525c8b-7253-4ccc-b014-74480113ba70"]},{"id":"ITEM-2","itemData":{"DOI":"10.1149/1945-7111/ad4394","abstract":"Industry-standard diagnostic methods for rechargeable batteries, such as hybrid pulse power characterization (HPPC) tests for hybrid electric vehicles, provide some indications of state of health (SoH), but lack a physical basis to guide protocol design and identify degradation mechanisms. We develop a physics-based theoretical framework for HPPC tests, which are able to accurately determine specific mechanisms for battery degradation in porous electrode simulations. We show that voltage pulses are generally preferable to current pulses, since voltage-resolved linearization more rapidly quantifies degradation without sacrificing accuracy or allowing significant state changes during the measurement. In addition, asymmetric amounts of information gain between charge /discharge pulses are found from differences in electrode kinetic scales. We demonstrate our approach of physics-informed HPPC on simulated Li-ion batteries with nickel-rich cathodes and graphite anodes. Multivariable optimization by physics-informed HPPC rapidly determines kinetic parameters that correlate with degradation phenomena at the anode, such as solid-electrolyte interphase (SEI) growth and lithium plating, as well as at the cathode, such as oxidation-induced cation disorder. If validated experimentally, standardized voltage protocols for HPPC tests could play a pivotal role in expediting battery SoH assessment and accelerating materials design by providing new electrochemical features for interpretable machine learning of battery degradation.","author":[{"dropping-particle":"","family":"Zhuang","given":"Debbie","non-dropping-particle":"","parse-names":false,"suffix":""},{"dropping-particle":"","family":"Li","given":"Michael L","non-dropping-particle":"","parse-names":false,"suffix":""},{"dropping-particle":"","family":"Lam","given":"Vivek N","non-dropping-particle":"","parse-names":false,"suffix":""},{"dropping-particle":"","family":"Braatz","given":"Richard D","non-dropping-particle":"","parse-names":false,"suffix":""},{"dropping-particle":"","family":"Chueh","given":"William C","non-dropping-particle":"","parse-names":false,"suffix":""},{"dropping-particle":"","family":"Bazant","given":"Martin Z","non-dropping-particle":"","parse-names":false,"suffix":""}],"container-title":"Journal of The Electrochemical Society","id":"ITEM-2","issue":"5","issued":{"date-parts":[["2024"]]},"page":"50510","publisher":"IOP Publishing","title":"Physics-Informed Design of Hybrid Pulse Power Characterization Tests for Rechargeable Batteries","type":"article-journal","volume":"171"},"uris":["http://www.mendeley.com/documents/?uuid=b9d251b3-b123-4d4d-bbb7-0939e5f1ce04"]},{"id":"ITEM-3","itemData":{"DOI":"10.1016/j.ress.2025.111297","ISSN":"0951-8320","author":[{"dropping-particle":"","family":"Echabarri","given":"Soufian","non-dropping-particle":"","parse-names":false,"suffix":""},{"dropping-particle":"","family":"Do","given":"Phuc","non-dropping-particle":"","parse-names":false,"suffix":""}],"container-title":"Reliability Engineering and System Safety","id":"ITEM-3","issue":"PA","issued":{"date-parts":[["2025"]]},"page":"111297","publisher":"Elsevier Ltd","title":"A modified TimeGAN-based data augmentation approach for the state of health prediction of Lithium-Ion Batteries","type":"article-journal","volume":"264"},"uris":["http://www.mendeley.com/documents/?uuid=bbaf0da4-9210-492e-b7b3-8e1e4b9079b4"]},{"id":"ITEM-4","itemData":{"DOI":"10.1039/d5ee02217g","ISSN":"1754-5692","abstract":"The reuse of second-life lithium-ion batteries (LIBs) retired from electric vehicles is critical for energy storage in underdeveloped regions, where power infrastructures are weak or absent. However, estimating the relative remaining capacity (RRC) of second-life batteries using field-accessible data stream remains challenging due to its scarcity and heterogeneity, despite efforts in battery passports and other initiatives to secure data integrity. This study proposes a deep generative transfer learning framework to address these two-fold challenges by generating voltage dynamics across state-of-charge (SOC) and using deep correlation alignment (CORAL) to align heterogeneities resulting from different aging patterns (domains) of second-life LIBs. We generate voltage response dynamics data across various SOC conditions from 20 160 samples under 10 SOC values, demonstrating high statistical similarities and confidence. The model estimates the RRC with minimal field data availability, specifically 2% of the full sample size, achieving a mean absolute percentage error of 7.2% and 3.6% for second-life batteries with different degradation behaviors, respectively. The model preserves established knowledge in the available domain while reducing RRC estimation risks in new domains where data availability is limited. The maximum RRC estimation risk is reduced by 49% at a 95% confidence level. This unified data generation and transfer learning paradigm outperforms the state-of-the-art machine learning and equivalent circuit model-method across all data availability conditions. The “generate and transfer” paradigm enlightens many potential applications in other predictive management tasks by preferentially generalizing in-distribution data and then adapting to out-of-distribution conditions under guidance of limited field data. ","author":[{"dropping-particle":"","family":"Tao","given":"Shengyu","non-dropping-particle":"","parse-names":false,"suffix":""},{"dropping-particle":"","family":"Guo","given":"Ruohan","non-dropping-particle":"","parse-names":false,"suffix":""},{"dropping-particle":"","family":"Lee","given":"Jaewoong","non-dropping-particle":"","parse-names":false,"suffix":""},{"dropping-particle":"","family":"Moura","given":"Scott","non-dropping-particle":"","parse-names":false,"suffix":""},{"dropping-particle":"","family":"Casals","given":"Lluc Canals","non-dropping-particle":"","parse-names":false,"suffix":""},{"dropping-particle":"","family":"Jiang","given":"Shida","non-dropping-particle":"","parse-names":false,"suffix":""},{"dropping-particle":"","family":"Shi","given":"Junzhe","non-dropping-particle":"","parse-names":false,"suffix":""},{"dropping-particle":"","family":"Harris","given":"Stephen","non-dropping-particle":"","parse-names":false,"suffix":""},{"dropping-particle":"","family":"Zhang","given":"Tongda","non-dropping-particle":"","parse-names":false,"suffix":""},{"dropping-particle":"","family":"Chung","given":"Chi Yung","non-dropping-particle":"","parse-names":false,"suffix":""},{"dropping-particle":"","family":"Zhou","given":"Guangmin","non-dropping-particle":"","parse-names":false,"suffix":""},{"dropping-particle":"","family":"Tian","given":"Jinpeng","non-dropping-particle":"","parse-names":false,"suffix":""},{"dropping-particle":"","family":"Zhang","given":"Xuan","non-dropping-particle":"","parse-names":false,"suffix":""}],"container-title":"Energy &amp; Environmental Science","id":"ITEM-4","issue":"15","issued":{"date-parts":[["2025","8","7"]]},"page":"7413-7426","title":"Immediate remaining capacity estimation of heterogeneous second-life lithium-ion batteries via deep generative transfer learning","type":"article-journal","volume":"18"},"uris":["http://www.mendeley.com/documents/?uuid=2e2c9ba1-6a63-4d05-b730-bf8ff1b94f77"]}],"mendeley":{"formattedCitation":"[3,27–29]","plainTextFormattedCitation":"[3,27–29]","previouslyFormattedCitation":"[3,27–29]"},"properties":{"noteIndex":0},"schema":"https://github.com/citation-style-language/schema/raw/master/csl-citation.json"}</w:instrText>
      </w:r>
      <w:r>
        <w:rPr>
          <w:rFonts w:cs="Times New Roman"/>
        </w:rPr>
        <w:fldChar w:fldCharType="separate"/>
      </w:r>
      <w:r>
        <w:rPr>
          <w:rFonts w:cs="Times New Roman"/>
        </w:rPr>
        <w:t>[3,27–29]</w:t>
      </w:r>
      <w:r>
        <w:rPr>
          <w:rFonts w:cs="Times New Roman"/>
        </w:rPr>
        <w:fldChar w:fldCharType="end"/>
      </w:r>
      <w:r>
        <w:rPr>
          <w:rFonts w:hint="eastAsia" w:cs="Times New Roman"/>
          <w:lang w:val="en-US" w:eastAsia="zh-CN"/>
        </w:rPr>
        <w:t xml:space="preserve"> </w:t>
      </w:r>
      <w:r>
        <w:rPr>
          <w:rFonts w:cs="Times New Roman"/>
        </w:rPr>
        <w:t>introduce degradation priors from different perspectives to enhance model robustness under complex data distributions. However, most existing methods focus on specific physical priors or local degradation information, while paying insufficient attention to the distribution shifts in cross-batch prediction. A framework that unifies degradation-trend constraints and cross-domain feature alignment is still lacking. Therefore, how to exploit physical priors to structurally constrain the transfer learning process remains an urgent problem to be solved in cross-batch SOH prediction.</w:t>
      </w:r>
    </w:p>
    <w:p w14:paraId="16E01E63">
      <w:pPr>
        <w:jc w:val="center"/>
        <w:rPr>
          <w:rFonts w:cs="Times New Roman"/>
        </w:rPr>
      </w:pPr>
      <w:r>
        <w:rPr>
          <w:rFonts w:cs="Times New Roman"/>
        </w:rPr>
        <w:drawing>
          <wp:inline distT="0" distB="0" distL="114300" distR="114300">
            <wp:extent cx="5273040" cy="2893695"/>
            <wp:effectExtent l="0" t="0" r="0" b="1905"/>
            <wp:docPr id="13" name="图片 13" descr="Fig. 2-2. Schematic view of regularized learning for battery SOH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ig. 2-2. Schematic view of regularized learning for battery SOH prediction."/>
                    <pic:cNvPicPr>
                      <a:picLocks noChangeAspect="1"/>
                    </pic:cNvPicPr>
                  </pic:nvPicPr>
                  <pic:blipFill>
                    <a:blip r:embed="rId31"/>
                    <a:stretch>
                      <a:fillRect/>
                    </a:stretch>
                  </pic:blipFill>
                  <pic:spPr>
                    <a:xfrm>
                      <a:off x="0" y="0"/>
                      <a:ext cx="5273040" cy="2893695"/>
                    </a:xfrm>
                    <a:prstGeom prst="rect">
                      <a:avLst/>
                    </a:prstGeom>
                  </pic:spPr>
                </pic:pic>
              </a:graphicData>
            </a:graphic>
          </wp:inline>
        </w:drawing>
      </w:r>
    </w:p>
    <w:p w14:paraId="2EFA8279">
      <w:pPr>
        <w:jc w:val="center"/>
        <w:rPr>
          <w:rFonts w:cs="Times New Roman"/>
          <w:color w:val="000000" w:themeColor="text1"/>
          <w14:textFill>
            <w14:solidFill>
              <w14:schemeClr w14:val="tx1"/>
            </w14:solidFill>
          </w14:textFill>
        </w:rPr>
      </w:pPr>
      <w:r>
        <w:rPr>
          <w:rFonts w:cs="Times New Roman"/>
          <w:b/>
          <w:bCs/>
          <w:color w:val="203864" w:themeColor="accent1" w:themeShade="80"/>
        </w:rPr>
        <w:t>Fig.</w:t>
      </w:r>
      <w:r>
        <w:rPr>
          <w:rFonts w:hint="eastAsia" w:cs="Times New Roman"/>
          <w:b/>
          <w:bCs/>
          <w:color w:val="203864" w:themeColor="accent1" w:themeShade="80"/>
        </w:rPr>
        <w:t>2</w:t>
      </w:r>
      <w:r>
        <w:rPr>
          <w:rFonts w:hint="eastAsia" w:cs="Times New Roman"/>
          <w:b/>
          <w:bCs/>
          <w:color w:val="203864" w:themeColor="accent1" w:themeShade="80"/>
          <w:sz w:val="21"/>
          <w:szCs w:val="21"/>
        </w:rPr>
        <w:t xml:space="preserve"> </w:t>
      </w:r>
      <w:r>
        <w:rPr>
          <w:rFonts w:hint="eastAsia" w:cs="Times New Roman"/>
          <w:color w:val="000000" w:themeColor="text1"/>
          <w:sz w:val="21"/>
          <w:szCs w:val="21"/>
          <w14:textFill>
            <w14:solidFill>
              <w14:schemeClr w14:val="tx1"/>
            </w14:solidFill>
          </w14:textFill>
        </w:rPr>
        <w:t>Schematic view of regularized learning for battery SOH prediction</w:t>
      </w:r>
    </w:p>
    <w:p w14:paraId="60E889D3">
      <w:pPr>
        <w:rPr>
          <w:rFonts w:cs="Times New Roman"/>
          <w:b/>
          <w:bCs/>
          <w:color w:val="2F5496"/>
        </w:rPr>
      </w:pPr>
      <w:r>
        <w:rPr>
          <w:rFonts w:cs="Times New Roman"/>
          <w:b/>
          <w:bCs/>
          <w:color w:val="2F5496"/>
        </w:rPr>
        <w:t>3 Methodology</w:t>
      </w:r>
    </w:p>
    <w:p w14:paraId="0FD570AE">
      <w:pPr>
        <w:rPr>
          <w:rFonts w:cs="Times New Roman"/>
        </w:rPr>
      </w:pPr>
      <w:r>
        <w:rPr>
          <w:rFonts w:cs="Times New Roman"/>
          <w:b/>
          <w:bCs/>
          <w:color w:val="2F5496"/>
        </w:rPr>
        <w:t xml:space="preserve">3.1 </w:t>
      </w:r>
      <w:r>
        <w:rPr>
          <w:rFonts w:hint="eastAsia" w:cs="Times New Roman"/>
          <w:b/>
          <w:bCs/>
          <w:color w:val="2F5496"/>
        </w:rPr>
        <w:t>Problem definition</w:t>
      </w:r>
    </w:p>
    <w:p w14:paraId="7CC2366F">
      <w:pPr>
        <w:ind w:firstLine="420" w:firstLineChars="200"/>
        <w:rPr>
          <w:rFonts w:cs="Times New Roman"/>
        </w:rPr>
      </w:pPr>
      <w:r>
        <w:rPr>
          <w:rFonts w:cs="Times New Roman"/>
        </w:rPr>
        <w:t>给定第</w:t>
      </w:r>
      <w:r>
        <w:rPr>
          <w:rFonts w:cs="Times New Roman"/>
          <w:position w:val="-6"/>
        </w:rPr>
        <w:object>
          <v:shape id="_x0000_i1037" o:spt="75" type="#_x0000_t75" style="height:13.1pt;width:6.55pt;" o:ole="t" filled="f" o:preferrelative="t" stroked="f" coordsize="21600,21600">
            <v:path/>
            <v:fill on="f" focussize="0,0"/>
            <v:stroke on="f" joinstyle="miter"/>
            <v:imagedata r:id="rId33" o:title=""/>
            <o:lock v:ext="edit" aspectratio="f"/>
            <w10:wrap type="none"/>
            <w10:anchorlock/>
          </v:shape>
          <o:OLEObject Type="Embed" ProgID="Equation.DSMT4" ShapeID="_x0000_i1037" DrawAspect="Content" ObjectID="_1468075737" r:id="rId32">
            <o:LockedField>false</o:LockedField>
          </o:OLEObject>
        </w:object>
      </w:r>
      <w:r>
        <w:rPr>
          <w:rFonts w:cs="Times New Roman"/>
        </w:rPr>
        <w:t>个由单循环充电电压轨迹和循环位置信息组成</w:t>
      </w:r>
      <w:r>
        <w:rPr>
          <w:rFonts w:hint="eastAsia" w:cs="Times New Roman"/>
        </w:rPr>
        <w:t>的</w:t>
      </w:r>
      <w:r>
        <w:rPr>
          <w:rFonts w:cs="Times New Roman"/>
        </w:rPr>
        <w:t>样本，</w:t>
      </w:r>
      <w:r>
        <w:rPr>
          <w:rFonts w:hint="eastAsia" w:cs="Times New Roman"/>
        </w:rPr>
        <w:t>其中</w:t>
      </w:r>
      <w:r>
        <w:rPr>
          <w:rFonts w:cs="Times New Roman"/>
        </w:rPr>
        <w:t>充电电压轨迹经线性插值重采样为长度为</w:t>
      </w:r>
      <w:r>
        <w:rPr>
          <w:rFonts w:cs="Times New Roman"/>
          <w:position w:val="-6"/>
        </w:rPr>
        <w:object>
          <v:shape id="_x0000_i1038" o:spt="75" type="#_x0000_t75" style="height:14.05pt;width:41.15pt;" o:ole="t" filled="f" o:preferrelative="t" stroked="f" coordsize="21600,21600">
            <v:path/>
            <v:fill on="f" focussize="0,0"/>
            <v:stroke on="f" joinstyle="miter"/>
            <v:imagedata r:id="rId35" o:title=""/>
            <o:lock v:ext="edit" aspectratio="f"/>
            <w10:wrap type="none"/>
            <w10:anchorlock/>
          </v:shape>
          <o:OLEObject Type="Embed" ProgID="Equation.DSMT4" ShapeID="_x0000_i1038" DrawAspect="Content" ObjectID="_1468075738" r:id="rId34">
            <o:LockedField>false</o:LockedField>
          </o:OLEObject>
        </w:object>
      </w:r>
      <w:r>
        <w:rPr>
          <w:rFonts w:cs="Times New Roman"/>
        </w:rPr>
        <w:t>的一维序列</w:t>
      </w:r>
      <w:r>
        <w:rPr>
          <w:position w:val="-12"/>
        </w:rPr>
        <w:object>
          <v:shape id="_x0000_i1039" o:spt="75" type="#_x0000_t75" style="height:18.7pt;width:37.4pt;" o:ole="t" filled="f" o:preferrelative="t" stroked="f" coordsize="21600,21600">
            <v:path/>
            <v:fill on="f" focussize="0,0"/>
            <v:stroke on="f" joinstyle="miter"/>
            <v:imagedata r:id="rId37" o:title=""/>
            <o:lock v:ext="edit" aspectratio="t"/>
            <w10:wrap type="none"/>
            <w10:anchorlock/>
          </v:shape>
          <o:OLEObject Type="Embed" ProgID="Equation.DSMT4" ShapeID="_x0000_i1039" DrawAspect="Content" ObjectID="_1468075739" r:id="rId36">
            <o:LockedField>false</o:LockedField>
          </o:OLEObject>
        </w:object>
      </w:r>
      <w:r>
        <w:rPr>
          <w:rFonts w:hint="eastAsia"/>
        </w:rPr>
        <w:t>，</w:t>
      </w:r>
      <w:r>
        <w:rPr>
          <w:rFonts w:cs="Times New Roman"/>
        </w:rPr>
        <w:t>循环位置记为</w:t>
      </w:r>
      <w:r>
        <w:rPr>
          <w:position w:val="-12"/>
        </w:rPr>
        <w:object>
          <v:shape id="_x0000_i1040" o:spt="75" type="#_x0000_t75" style="height:18.7pt;width:13.1pt;" o:ole="t" filled="f" o:preferrelative="t" stroked="f" coordsize="21600,21600">
            <v:path/>
            <v:fill on="f" focussize="0,0"/>
            <v:stroke on="f" joinstyle="miter"/>
            <v:imagedata r:id="rId39" o:title=""/>
            <o:lock v:ext="edit" aspectratio="t"/>
            <w10:wrap type="none"/>
            <w10:anchorlock/>
          </v:shape>
          <o:OLEObject Type="Embed" ProgID="Equation.DSMT4" ShapeID="_x0000_i1040" DrawAspect="Content" ObjectID="_1468075740" r:id="rId38">
            <o:LockedField>false</o:LockedField>
          </o:OLEObject>
        </w:object>
      </w:r>
      <w:r>
        <w:rPr>
          <w:rFonts w:hint="eastAsia" w:cs="Times New Roman"/>
        </w:rPr>
        <w:t>。</w:t>
      </w:r>
      <w:r>
        <w:rPr>
          <w:rFonts w:cs="Times New Roman"/>
        </w:rPr>
        <w:t>采用</w:t>
      </w:r>
      <w:r>
        <w:rPr>
          <w:rFonts w:hint="eastAsia" w:cs="Times New Roman"/>
        </w:rPr>
        <w:t>N</w:t>
      </w:r>
      <w:r>
        <w:rPr>
          <w:rFonts w:cs="Times New Roman"/>
        </w:rPr>
        <w:t>ominal SOH作为预测目标，其定义如下</w:t>
      </w:r>
      <w:r>
        <w:rPr>
          <w:position w:val="-12"/>
        </w:rPr>
        <w:object>
          <v:shape id="_x0000_i1041" o:spt="75" type="#_x0000_t75" style="height:18.7pt;width:85.1pt;" o:ole="t" filled="f" o:preferrelative="t" stroked="f" coordsize="21600,21600">
            <v:path/>
            <v:fill on="f" focussize="0,0"/>
            <v:stroke on="f" joinstyle="miter"/>
            <v:imagedata r:id="rId41" o:title=""/>
            <o:lock v:ext="edit" aspectratio="t"/>
            <w10:wrap type="none"/>
            <w10:anchorlock/>
          </v:shape>
          <o:OLEObject Type="Embed" ProgID="Equation.DSMT4" ShapeID="_x0000_i1041" DrawAspect="Content" ObjectID="_1468075741" r:id="rId40">
            <o:LockedField>false</o:LockedField>
          </o:OLEObject>
        </w:object>
      </w:r>
      <w:r>
        <w:rPr>
          <w:rFonts w:hint="eastAsia" w:cs="Times New Roman"/>
        </w:rPr>
        <w:t>，</w:t>
      </w:r>
      <w:r>
        <w:t>其中</w:t>
      </w:r>
      <w:r>
        <w:rPr>
          <w:position w:val="-12"/>
        </w:rPr>
        <w:object>
          <v:shape id="_x0000_i1042" o:spt="75" type="#_x0000_t75" style="height:18.7pt;width:14.05pt;" o:ole="t" filled="f" o:preferrelative="t" stroked="f" coordsize="21600,21600">
            <v:path/>
            <v:fill on="f" focussize="0,0"/>
            <v:stroke on="f" joinstyle="miter"/>
            <v:imagedata r:id="rId43" o:title=""/>
            <o:lock v:ext="edit" aspectratio="t"/>
            <w10:wrap type="none"/>
            <w10:anchorlock/>
          </v:shape>
          <o:OLEObject Type="Embed" ProgID="Equation.DSMT4" ShapeID="_x0000_i1042" DrawAspect="Content" ObjectID="_1468075742" r:id="rId42">
            <o:LockedField>false</o:LockedField>
          </o:OLEObject>
        </w:object>
      </w:r>
      <w:r>
        <w:t>表示第</w:t>
      </w:r>
      <w:r>
        <w:rPr>
          <w:position w:val="-6"/>
        </w:rPr>
        <w:object>
          <v:shape id="_x0000_i1043" o:spt="75" type="#_x0000_t75" style="height:13.1pt;width:6.55pt;" o:ole="t" filled="f" o:preferrelative="t" stroked="f" coordsize="21600,21600">
            <v:path/>
            <v:fill on="f" focussize="0,0"/>
            <v:stroke on="f" joinstyle="miter"/>
            <v:imagedata r:id="rId45" o:title=""/>
            <o:lock v:ext="edit" aspectratio="t"/>
            <w10:wrap type="none"/>
            <w10:anchorlock/>
          </v:shape>
          <o:OLEObject Type="Embed" ProgID="Equation.DSMT4" ShapeID="_x0000_i1043" DrawAspect="Content" ObjectID="_1468075743" r:id="rId44">
            <o:LockedField>false</o:LockedField>
          </o:OLEObject>
        </w:object>
      </w:r>
      <w:r>
        <w:t>个循环对应的放电容量，</w:t>
      </w:r>
      <w:r>
        <w:rPr>
          <w:position w:val="-12"/>
        </w:rPr>
        <w:object>
          <v:shape id="_x0000_i1044" o:spt="75" type="#_x0000_t75" style="height:18.7pt;width:26.2pt;" o:ole="t" filled="f" o:preferrelative="t" stroked="f" coordsize="21600,21600">
            <v:path/>
            <v:fill on="f" focussize="0,0"/>
            <v:stroke on="f" joinstyle="miter"/>
            <v:imagedata r:id="rId47" o:title=""/>
            <o:lock v:ext="edit" aspectratio="t"/>
            <w10:wrap type="none"/>
            <w10:anchorlock/>
          </v:shape>
          <o:OLEObject Type="Embed" ProgID="Equation.DSMT4" ShapeID="_x0000_i1044" DrawAspect="Content" ObjectID="_1468075744" r:id="rId46">
            <o:LockedField>false</o:LockedField>
          </o:OLEObject>
        </w:object>
      </w:r>
      <w:r>
        <w:rPr>
          <w:rFonts w:hint="eastAsia"/>
        </w:rPr>
        <w:t>指得是</w:t>
      </w:r>
      <w:r>
        <w:t>额定容量。</w:t>
      </w:r>
      <w:r>
        <w:rPr>
          <w:rFonts w:hint="eastAsia"/>
        </w:rPr>
        <w:t>进一步的，</w:t>
      </w:r>
      <w:r>
        <w:t>循环位置归一化方式表示为</w:t>
      </w:r>
      <w:r>
        <w:rPr>
          <w:position w:val="-12"/>
        </w:rPr>
        <w:object>
          <v:shape id="_x0000_i1045" o:spt="75" type="#_x0000_t75" style="height:18.7pt;width:64.5pt;" o:ole="t" filled="f" o:preferrelative="t" stroked="f" coordsize="21600,21600">
            <v:path/>
            <v:fill on="f" focussize="0,0"/>
            <v:stroke on="f" joinstyle="miter"/>
            <v:imagedata r:id="rId49" o:title=""/>
            <o:lock v:ext="edit" aspectratio="t"/>
            <w10:wrap type="none"/>
            <w10:anchorlock/>
          </v:shape>
          <o:OLEObject Type="Embed" ProgID="Equation.DSMT4" ShapeID="_x0000_i1045" DrawAspect="Content" ObjectID="_1468075745" r:id="rId48">
            <o:LockedField>false</o:LockedField>
          </o:OLEObject>
        </w:object>
      </w:r>
      <w:r>
        <w:rPr>
          <w:rFonts w:hint="eastAsia" w:cs="Times New Roman"/>
        </w:rPr>
        <w:t>，</w:t>
      </w:r>
      <w:r>
        <w:t>其中</w:t>
      </w:r>
      <w:r>
        <w:rPr>
          <w:position w:val="-12"/>
        </w:rPr>
        <w:object>
          <v:shape id="_x0000_i1046" o:spt="75" type="#_x0000_t75" style="height:18.7pt;width:24.3pt;" o:ole="t" filled="f" o:preferrelative="t" stroked="f" coordsize="21600,21600">
            <v:path/>
            <v:fill on="f" focussize="0,0"/>
            <v:stroke on="f" joinstyle="miter"/>
            <v:imagedata r:id="rId51" o:title=""/>
            <o:lock v:ext="edit" aspectratio="t"/>
            <w10:wrap type="none"/>
            <w10:anchorlock/>
          </v:shape>
          <o:OLEObject Type="Embed" ProgID="Equation.DSMT4" ShapeID="_x0000_i1046" DrawAspect="Content" ObjectID="_1468075746" r:id="rId50">
            <o:LockedField>false</o:LockedField>
          </o:OLEObject>
        </w:object>
      </w:r>
      <w:r>
        <w:t>为归一化尺度。因此，模型的基本输入可</w:t>
      </w:r>
      <w:r>
        <w:rPr>
          <w:rFonts w:hint="eastAsia"/>
        </w:rPr>
        <w:t>定义</w:t>
      </w:r>
      <w:r>
        <w:t>为</w:t>
      </w:r>
      <w:r>
        <w:rPr>
          <w:position w:val="-12"/>
        </w:rPr>
        <w:object>
          <v:shape id="_x0000_i1047" o:spt="75" type="#_x0000_t75" style="height:18.7pt;width:59.85pt;" o:ole="t" filled="f" o:preferrelative="t" stroked="f" coordsize="21600,21600">
            <v:path/>
            <v:fill on="f" focussize="0,0"/>
            <v:stroke on="f" joinstyle="miter"/>
            <v:imagedata r:id="rId53" o:title=""/>
            <o:lock v:ext="edit" aspectratio="t"/>
            <w10:wrap type="none"/>
            <w10:anchorlock/>
          </v:shape>
          <o:OLEObject Type="Embed" ProgID="Equation.DSMT4" ShapeID="_x0000_i1047" DrawAspect="Content" ObjectID="_1468075747" r:id="rId52">
            <o:LockedField>false</o:LockedField>
          </o:OLEObject>
        </w:object>
      </w:r>
      <w:r>
        <w:rPr>
          <w:rFonts w:hint="eastAsia"/>
        </w:rPr>
        <w:fldChar w:fldCharType="begin"/>
      </w:r>
      <w:r>
        <w:rPr>
          <w:rFonts w:hint="eastAsia"/>
        </w:rPr>
        <w:instrText xml:space="preserve"> MACROBUTTON MTPlaceRef \* MERGEFORMAT </w:instrText>
      </w:r>
      <w:r>
        <w:fldChar w:fldCharType="separate"/>
      </w:r>
      <w:r>
        <w:rPr>
          <w:rFonts w:hint="eastAsia"/>
        </w:rPr>
        <w:fldChar w:fldCharType="end"/>
      </w:r>
      <w:r>
        <w:rPr>
          <w:rFonts w:hint="eastAsia" w:cs="Times New Roman"/>
        </w:rPr>
        <w:t>。</w:t>
      </w:r>
      <w:r>
        <w:t>跨批次</w:t>
      </w:r>
      <w:r>
        <w:rPr>
          <w:rFonts w:cs="Times New Roman"/>
        </w:rPr>
        <w:t>SOH</w:t>
      </w:r>
      <w:r>
        <w:t>预测的目标是学习一个映射函数</w:t>
      </w:r>
      <w:r>
        <w:rPr>
          <w:position w:val="-12"/>
        </w:rPr>
        <w:object>
          <v:shape id="_x0000_i1048" o:spt="75" type="#_x0000_t75" style="height:18.7pt;width:27.1pt;" o:ole="t" filled="f" o:preferrelative="t" stroked="f" coordsize="21600,21600">
            <v:path/>
            <v:fill on="f" focussize="0,0"/>
            <v:stroke on="f" joinstyle="miter"/>
            <v:imagedata r:id="rId55" o:title=""/>
            <o:lock v:ext="edit" aspectratio="t"/>
            <w10:wrap type="none"/>
            <w10:anchorlock/>
          </v:shape>
          <o:OLEObject Type="Embed" ProgID="Equation.DSMT4" ShapeID="_x0000_i1048" DrawAspect="Content" ObjectID="_1468075748" r:id="rId54">
            <o:LockedField>false</o:LockedField>
          </o:OLEObject>
        </w:object>
      </w:r>
      <w:r>
        <w:t>，使其能够在源域与目标域的共同约束下，给出稳定的</w:t>
      </w:r>
      <w:r>
        <w:rPr>
          <w:rFonts w:cs="Times New Roman"/>
        </w:rPr>
        <w:t>SOH</w:t>
      </w:r>
      <w:r>
        <w:t>估计</w:t>
      </w:r>
      <w:r>
        <w:rPr>
          <w:position w:val="-12"/>
        </w:rPr>
        <w:object>
          <v:shape id="_x0000_i1049" o:spt="75" type="#_x0000_t75" style="height:18.7pt;width:71.05pt;" o:ole="t" filled="f" o:preferrelative="t" stroked="f" coordsize="21600,21600">
            <v:path/>
            <v:fill on="f" focussize="0,0"/>
            <v:stroke on="f" joinstyle="miter"/>
            <v:imagedata r:id="rId57" o:title=""/>
            <o:lock v:ext="edit" aspectratio="t"/>
            <w10:wrap type="none"/>
            <w10:anchorlock/>
          </v:shape>
          <o:OLEObject Type="Embed" ProgID="Equation.DSMT4" ShapeID="_x0000_i1049" DrawAspect="Content" ObjectID="_1468075749" r:id="rId56">
            <o:LockedField>false</o:LockedField>
          </o:OLEObject>
        </w:object>
      </w:r>
      <w:r>
        <w:rPr>
          <w:rFonts w:hint="eastAsia"/>
        </w:rPr>
        <w:t>，其中</w:t>
      </w:r>
      <w:r>
        <w:rPr>
          <w:position w:val="-6"/>
        </w:rPr>
        <w:object>
          <v:shape id="_x0000_i1050" o:spt="75" type="#_x0000_t75" style="height:14.05pt;width:13.1pt;" o:ole="t" filled="f" o:preferrelative="t" stroked="f" coordsize="21600,21600">
            <v:path/>
            <v:fill on="f" focussize="0,0"/>
            <v:stroke on="f" joinstyle="miter"/>
            <v:imagedata r:id="rId59" o:title=""/>
            <o:lock v:ext="edit" aspectratio="t"/>
            <w10:wrap type="none"/>
            <w10:anchorlock/>
          </v:shape>
          <o:OLEObject Type="Embed" ProgID="Equation.DSMT4" ShapeID="_x0000_i1050" DrawAspect="Content" ObjectID="_1468075750" r:id="rId58">
            <o:LockedField>false</o:LockedField>
          </o:OLEObject>
        </w:object>
      </w:r>
      <w:r>
        <w:rPr>
          <w:rFonts w:hint="eastAsia"/>
        </w:rPr>
        <w:t>表示模型参数。</w:t>
      </w:r>
    </w:p>
    <w:p w14:paraId="13DED224">
      <w:pPr>
        <w:rPr>
          <w:rFonts w:cs="Times New Roman"/>
          <w:b/>
          <w:bCs/>
          <w:color w:val="2F5496"/>
          <w:szCs w:val="21"/>
        </w:rPr>
      </w:pPr>
      <w:r>
        <w:rPr>
          <w:rFonts w:cs="Times New Roman"/>
          <w:b/>
          <w:bCs/>
          <w:color w:val="2F5496"/>
          <w:szCs w:val="21"/>
        </w:rPr>
        <w:t>3.2 总体框架</w:t>
      </w:r>
    </w:p>
    <w:p w14:paraId="689DDAA1">
      <w:pPr>
        <w:ind w:firstLine="420" w:firstLineChars="200"/>
        <w:rPr>
          <w:rFonts w:cs="Times New Roman"/>
        </w:rPr>
      </w:pPr>
      <w:r>
        <w:rPr>
          <w:rFonts w:cs="Times New Roman"/>
        </w:rPr>
        <w:t>提出一种degradation-aware physics-guided hybrid transfer learning框架，用于跨批次锂电池SOH预测。该框架主要包括physical-residual SOH建模策略、退化状态引导的曲线注意力时序聚合机制以及生命周期</w:t>
      </w:r>
      <w:r>
        <w:rPr>
          <w:rFonts w:hint="eastAsia" w:cs="Times New Roman"/>
        </w:rPr>
        <w:t>指数退化感知</w:t>
      </w:r>
      <w:r>
        <w:rPr>
          <w:rFonts w:cs="Times New Roman"/>
        </w:rPr>
        <w:t>MMD正则化策略，如图</w:t>
      </w:r>
      <w:r>
        <w:rPr>
          <w:rFonts w:hint="eastAsia" w:cs="Times New Roman"/>
        </w:rPr>
        <w:t>3</w:t>
      </w:r>
      <w:r>
        <w:rPr>
          <w:rFonts w:cs="Times New Roman"/>
        </w:rPr>
        <w:t>所示。具体而言，首先利用归一化循环位置构建低阶非线性退化先验，</w:t>
      </w:r>
      <w:r>
        <w:rPr>
          <w:rFonts w:hint="eastAsia" w:cs="Times New Roman"/>
        </w:rPr>
        <w:t>并采用</w:t>
      </w:r>
      <w:r>
        <w:rPr>
          <w:rFonts w:cs="Times New Roman"/>
        </w:rPr>
        <w:t>残差时序</w:t>
      </w:r>
      <w:r>
        <w:rPr>
          <w:rFonts w:hint="eastAsia" w:cs="Times New Roman"/>
        </w:rPr>
        <w:t>模块</w:t>
      </w:r>
      <w:r>
        <w:rPr>
          <w:rFonts w:cs="Times New Roman"/>
        </w:rPr>
        <w:t>学习单体电池相对于全局退化趋势的局部退化偏差，从而形成physical-residual SOH建模策略。进一步地，</w:t>
      </w:r>
      <w:r>
        <w:rPr>
          <w:rFonts w:hint="eastAsia" w:cs="Times New Roman"/>
        </w:rPr>
        <w:t>设计一种</w:t>
      </w:r>
      <w:r>
        <w:rPr>
          <w:rFonts w:cs="Times New Roman"/>
        </w:rPr>
        <w:t>退化状态引导的曲线注意力时序聚合</w:t>
      </w:r>
      <w:r>
        <w:rPr>
          <w:rFonts w:hint="eastAsia" w:cs="Times New Roman"/>
        </w:rPr>
        <w:t>机制</w:t>
      </w:r>
      <w:r>
        <w:rPr>
          <w:rFonts w:cs="Times New Roman"/>
        </w:rPr>
        <w:t>，使模型能够根据不同退化阶段调整对局部序列片段的关注程度。最后，设计</w:t>
      </w:r>
      <w:r>
        <w:rPr>
          <w:rFonts w:hint="eastAsia" w:cs="Times New Roman"/>
        </w:rPr>
        <w:t>一种</w:t>
      </w:r>
      <w:r>
        <w:rPr>
          <w:rFonts w:cs="Times New Roman"/>
        </w:rPr>
        <w:t>生命周期</w:t>
      </w:r>
      <w:r>
        <w:rPr>
          <w:rFonts w:hint="eastAsia" w:cs="Times New Roman"/>
        </w:rPr>
        <w:t>指数退化感知</w:t>
      </w:r>
      <w:r>
        <w:rPr>
          <w:rFonts w:cs="Times New Roman"/>
        </w:rPr>
        <w:t>MMD正则化策略提高跨批次特征一致性约束。</w:t>
      </w:r>
    </w:p>
    <w:p w14:paraId="0B130360">
      <w:pPr>
        <w:ind w:firstLine="420" w:firstLineChars="200"/>
      </w:pPr>
      <w:r>
        <w:rPr>
          <w:rFonts w:cs="Times New Roman"/>
        </w:rPr>
        <w:t>从</w:t>
      </w:r>
      <w:r>
        <w:rPr>
          <w:rFonts w:hint="eastAsia" w:cs="Times New Roman"/>
        </w:rPr>
        <w:t>图4发现</w:t>
      </w:r>
      <w:r>
        <w:rPr>
          <w:rFonts w:cs="Times New Roman"/>
        </w:rPr>
        <w:t>，</w:t>
      </w:r>
      <w:r>
        <w:rPr>
          <w:rFonts w:hint="eastAsia" w:cs="Times New Roman"/>
        </w:rPr>
        <w:t>将SOH预测表示为</w:t>
      </w:r>
      <w:r>
        <w:rPr>
          <w:rFonts w:cs="Times New Roman"/>
        </w:rPr>
        <w:t>低阶退化先验与数据驱动残差校正项的叠加</w:t>
      </w:r>
      <w:r>
        <w:rPr>
          <w:rFonts w:hint="eastAsia" w:cs="Times New Roman"/>
        </w:rPr>
        <w:t>，</w:t>
      </w:r>
    </w:p>
    <w:p w14:paraId="746BF298">
      <w:pPr>
        <w:pStyle w:val="49"/>
        <w:rPr>
          <w:rFonts w:cs="Times New Roman"/>
        </w:rPr>
      </w:pPr>
      <w:r>
        <w:rPr>
          <w:rFonts w:hint="eastAsia"/>
        </w:rPr>
        <w:tab/>
      </w:r>
      <w:r>
        <w:rPr>
          <w:position w:val="-12"/>
        </w:rPr>
        <w:object>
          <v:shape id="_x0000_i1051" o:spt="75" type="#_x0000_t75" style="height:18.7pt;width:134.65pt;" o:ole="t" filled="f" o:preferrelative="t" stroked="f" coordsize="21600,21600">
            <v:path/>
            <v:fill on="f" focussize="0,0"/>
            <v:stroke on="f" joinstyle="miter"/>
            <v:imagedata r:id="rId61" o:title=""/>
            <o:lock v:ext="edit" aspectratio="t"/>
            <w10:wrap type="none"/>
            <w10:anchorlock/>
          </v:shape>
          <o:OLEObject Type="Embed" ProgID="Equation.DSMT4" ShapeID="_x0000_i1051" DrawAspect="Content" ObjectID="_1468075751" r:id="rId60">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w:instrText>
      </w:r>
      <w:r>
        <w:rPr>
          <w:rFonts w:hint="eastAsia"/>
          <w:position w:val="-4"/>
        </w:rPr>
        <w:instrText xml:space="preserve">R</w:instrText>
      </w:r>
      <w:r>
        <w:rPr>
          <w:rFonts w:hint="eastAsia"/>
        </w:rPr>
        <w:instrText xml:space="preserve">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4</w:instrText>
      </w:r>
      <w:r>
        <w:fldChar w:fldCharType="end"/>
      </w:r>
      <w:r>
        <w:rPr>
          <w:rFonts w:hint="eastAsia"/>
        </w:rPr>
        <w:instrText xml:space="preserve">)</w:instrText>
      </w:r>
      <w:r>
        <w:fldChar w:fldCharType="separate"/>
      </w:r>
      <w:r>
        <w:rPr>
          <w:rFonts w:hint="eastAsia"/>
        </w:rPr>
        <w:fldChar w:fldCharType="end"/>
      </w:r>
    </w:p>
    <w:p w14:paraId="6AC73F62">
      <w:pPr>
        <w:rPr>
          <w:rFonts w:cs="Times New Roman"/>
        </w:rPr>
      </w:pPr>
      <w:r>
        <w:rPr>
          <w:rFonts w:cs="Times New Roman"/>
        </w:rPr>
        <w:t>其中，</w:t>
      </w:r>
      <w:r>
        <w:rPr>
          <w:position w:val="-12"/>
        </w:rPr>
        <w:object>
          <v:shape id="_x0000_i1052" o:spt="75" type="#_x0000_t75" style="height:18.7pt;width:33.65pt;" o:ole="t" filled="f" o:preferrelative="t" stroked="f" coordsize="21600,21600">
            <v:path/>
            <v:fill on="f" focussize="0,0"/>
            <v:stroke on="f" joinstyle="miter"/>
            <v:imagedata r:id="rId63" o:title=""/>
            <o:lock v:ext="edit" aspectratio="t"/>
            <w10:wrap type="none"/>
            <w10:anchorlock/>
          </v:shape>
          <o:OLEObject Type="Embed" ProgID="Equation.DSMT4" ShapeID="_x0000_i1052" DrawAspect="Content" ObjectID="_1468075752" r:id="rId62">
            <o:LockedField>false</o:LockedField>
          </o:OLEObject>
        </w:object>
      </w:r>
      <w:r>
        <w:rPr>
          <w:rFonts w:cs="Times New Roman"/>
        </w:rPr>
        <w:t>表示低阶非线性退化先验，</w:t>
      </w:r>
      <w:r>
        <w:rPr>
          <w:position w:val="-12"/>
        </w:rPr>
        <w:object>
          <v:shape id="_x0000_i1053" o:spt="75" type="#_x0000_t75" style="height:18.7pt;width:29.9pt;" o:ole="t" filled="f" o:preferrelative="t" stroked="f" coordsize="21600,21600">
            <v:path/>
            <v:fill on="f" focussize="0,0"/>
            <v:stroke on="f" joinstyle="miter"/>
            <v:imagedata r:id="rId65" o:title=""/>
            <o:lock v:ext="edit" aspectratio="t"/>
            <w10:wrap type="none"/>
            <w10:anchorlock/>
          </v:shape>
          <o:OLEObject Type="Embed" ProgID="Equation.DSMT4" ShapeID="_x0000_i1053" DrawAspect="Content" ObjectID="_1468075753" r:id="rId64">
            <o:LockedField>false</o:LockedField>
          </o:OLEObject>
        </w:object>
      </w:r>
      <w:r>
        <w:rPr>
          <w:rFonts w:hint="eastAsia" w:cs="Times New Roman"/>
        </w:rPr>
        <w:t>是</w:t>
      </w:r>
      <w:r>
        <w:rPr>
          <w:rFonts w:cs="Times New Roman"/>
        </w:rPr>
        <w:t>残差</w:t>
      </w:r>
      <w:r>
        <w:rPr>
          <w:rFonts w:hint="eastAsia" w:cs="Times New Roman"/>
        </w:rPr>
        <w:t>项</w:t>
      </w:r>
      <w:r>
        <w:rPr>
          <w:rFonts w:cs="Times New Roman"/>
        </w:rPr>
        <w:t>，</w:t>
      </w:r>
      <w:r>
        <w:rPr>
          <w:position w:val="-6"/>
        </w:rPr>
        <w:object>
          <v:shape id="_x0000_i1054" o:spt="75" type="#_x0000_t75" style="height:14.05pt;width:9.35pt;" o:ole="t" filled="f" o:preferrelative="t" stroked="f" coordsize="21600,21600">
            <v:path/>
            <v:fill on="f" focussize="0,0"/>
            <v:stroke on="f" joinstyle="miter"/>
            <v:imagedata r:id="rId67" o:title=""/>
            <o:lock v:ext="edit" aspectratio="t"/>
            <w10:wrap type="none"/>
            <w10:anchorlock/>
          </v:shape>
          <o:OLEObject Type="Embed" ProgID="Equation.DSMT4" ShapeID="_x0000_i1054" DrawAspect="Content" ObjectID="_1468075754" r:id="rId66">
            <o:LockedField>false</o:LockedField>
          </o:OLEObject>
        </w:object>
      </w:r>
      <w:r>
        <w:rPr>
          <w:rFonts w:hint="eastAsia" w:cs="Times New Roman"/>
        </w:rPr>
        <w:t>指的是</w:t>
      </w:r>
      <w:r>
        <w:rPr>
          <w:rFonts w:cs="Times New Roman"/>
        </w:rPr>
        <w:t>残差网络参数。</w:t>
      </w:r>
      <w:r>
        <w:rPr>
          <w:rFonts w:hint="eastAsia" w:cs="Times New Roman"/>
        </w:rPr>
        <w:t>此外，</w:t>
      </w:r>
      <w:r>
        <w:rPr>
          <w:rFonts w:cs="Times New Roman"/>
        </w:rPr>
        <w:t>模型训练目标由SOH</w:t>
      </w:r>
      <w:r>
        <w:rPr>
          <w:rFonts w:hint="eastAsia" w:cs="Times New Roman"/>
        </w:rPr>
        <w:t>回归</w:t>
      </w:r>
      <w:r>
        <w:rPr>
          <w:rFonts w:cs="Times New Roman"/>
        </w:rPr>
        <w:t>损失</w:t>
      </w:r>
      <w:r>
        <w:rPr>
          <w:rFonts w:hint="eastAsia" w:cs="Times New Roman"/>
        </w:rPr>
        <w:t>与</w:t>
      </w:r>
      <w:r>
        <w:rPr>
          <w:rFonts w:cs="Times New Roman"/>
        </w:rPr>
        <w:t>特征对齐正则项组成，其整体形式为</w:t>
      </w:r>
      <w:r>
        <w:rPr>
          <w:rFonts w:hint="eastAsia" w:cs="Times New Roman"/>
        </w:rPr>
        <w:t>，</w:t>
      </w:r>
    </w:p>
    <w:p w14:paraId="78D77461">
      <w:pPr>
        <w:pStyle w:val="49"/>
      </w:pPr>
      <w:r>
        <w:rPr>
          <w:rFonts w:hint="eastAsia"/>
        </w:rPr>
        <w:tab/>
      </w:r>
      <w:r>
        <w:rPr>
          <w:position w:val="-12"/>
        </w:rPr>
        <w:object>
          <v:shape id="_x0000_i1055" o:spt="75" type="#_x0000_t75" style="height:18.7pt;width:125.3pt;" o:ole="t" filled="f" o:preferrelative="t" stroked="f" coordsize="21600,21600">
            <v:path/>
            <v:fill on="f" focussize="0,0"/>
            <v:stroke on="f" joinstyle="miter"/>
            <v:imagedata r:id="rId69" o:title=""/>
            <o:lock v:ext="edit" aspectratio="t"/>
            <w10:wrap type="none"/>
            <w10:anchorlock/>
          </v:shape>
          <o:OLEObject Type="Embed" ProgID="Equation.DSMT4" ShapeID="_x0000_i1055" DrawAspect="Content" ObjectID="_1468075755" r:id="rId68">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5</w:instrText>
      </w:r>
      <w:r>
        <w:fldChar w:fldCharType="end"/>
      </w:r>
      <w:r>
        <w:rPr>
          <w:rFonts w:hint="eastAsia"/>
        </w:rPr>
        <w:instrText xml:space="preserve">)</w:instrText>
      </w:r>
      <w:r>
        <w:fldChar w:fldCharType="separate"/>
      </w:r>
      <w:r>
        <w:rPr>
          <w:rFonts w:hint="eastAsia"/>
        </w:rPr>
        <w:fldChar w:fldCharType="end"/>
      </w:r>
    </w:p>
    <w:p w14:paraId="7C98AF16">
      <w:pPr>
        <w:rPr>
          <w:rFonts w:eastAsia="宋体" w:cs="Times New Roman"/>
        </w:rPr>
      </w:pPr>
      <w:r>
        <w:rPr>
          <w:rFonts w:hint="eastAsia" w:cs="Times New Roman"/>
        </w:rPr>
        <w:t>其中，</w:t>
      </w:r>
      <w:r>
        <w:rPr>
          <w:position w:val="-12"/>
        </w:rPr>
        <w:object>
          <v:shape id="_x0000_i1056" o:spt="75" type="#_x0000_t75" style="height:18.7pt;width:26.2pt;" o:ole="t" filled="f" o:preferrelative="t" stroked="f" coordsize="21600,21600">
            <v:path/>
            <v:fill on="f" focussize="0,0"/>
            <v:stroke on="f" joinstyle="miter"/>
            <v:imagedata r:id="rId71" o:title=""/>
            <o:lock v:ext="edit" aspectratio="t"/>
            <w10:wrap type="none"/>
            <w10:anchorlock/>
          </v:shape>
          <o:OLEObject Type="Embed" ProgID="Equation.DSMT4" ShapeID="_x0000_i1056" DrawAspect="Content" ObjectID="_1468075756" r:id="rId70">
            <o:LockedField>false</o:LockedField>
          </o:OLEObject>
        </w:object>
      </w:r>
      <w:r>
        <w:rPr>
          <w:rFonts w:hint="eastAsia" w:cs="Times New Roman"/>
        </w:rPr>
        <w:t>为回归损失，</w:t>
      </w:r>
      <w:r>
        <w:rPr>
          <w:position w:val="-12"/>
        </w:rPr>
        <w:object>
          <v:shape id="_x0000_i1057" o:spt="75" type="#_x0000_t75" style="height:18.7pt;width:38.35pt;" o:ole="t" filled="f" o:preferrelative="t" stroked="f" coordsize="21600,21600">
            <v:path/>
            <v:fill on="f" focussize="0,0"/>
            <v:stroke on="f" joinstyle="miter"/>
            <v:imagedata r:id="rId73" o:title=""/>
            <o:lock v:ext="edit" aspectratio="t"/>
            <w10:wrap type="none"/>
            <w10:anchorlock/>
          </v:shape>
          <o:OLEObject Type="Embed" ProgID="Equation.DSMT4" ShapeID="_x0000_i1057" DrawAspect="Content" ObjectID="_1468075757" r:id="rId72">
            <o:LockedField>false</o:LockedField>
          </o:OLEObject>
        </w:object>
      </w:r>
      <w:r>
        <w:rPr>
          <w:rFonts w:hint="eastAsia" w:cs="Times New Roman"/>
        </w:rPr>
        <w:t>为源域</w:t>
      </w:r>
      <w:r>
        <w:rPr>
          <w:position w:val="-6"/>
        </w:rPr>
        <w:object>
          <v:shape id="_x0000_i1058" o:spt="75" type="#_x0000_t75" style="height:14.05pt;width:9.35pt;" o:ole="t" filled="f" o:preferrelative="t" stroked="f" coordsize="21600,21600">
            <v:path/>
            <v:fill on="f" focussize="0,0"/>
            <v:stroke on="f" joinstyle="miter"/>
            <v:imagedata r:id="rId75" o:title=""/>
            <o:lock v:ext="edit" aspectratio="t"/>
            <w10:wrap type="none"/>
            <w10:anchorlock/>
          </v:shape>
          <o:OLEObject Type="Embed" ProgID="Equation.DSMT4" ShapeID="_x0000_i1058" DrawAspect="Content" ObjectID="_1468075758" r:id="rId74">
            <o:LockedField>false</o:LockedField>
          </o:OLEObject>
        </w:object>
      </w:r>
      <w:r>
        <w:rPr>
          <w:rFonts w:hint="eastAsia" w:cs="Times New Roman"/>
        </w:rPr>
        <w:t>与目标域</w:t>
      </w:r>
      <w:r>
        <w:rPr>
          <w:position w:val="-4"/>
        </w:rPr>
        <w:object>
          <v:shape id="_x0000_i1059" o:spt="75" type="#_x0000_t75" style="height:13.1pt;width:13.1pt;" o:ole="t" filled="f" o:preferrelative="t" stroked="f" coordsize="21600,21600">
            <v:path/>
            <v:fill on="f" focussize="0,0"/>
            <v:stroke on="f" joinstyle="miter"/>
            <v:imagedata r:id="rId77" o:title=""/>
            <o:lock v:ext="edit" aspectratio="t"/>
            <w10:wrap type="none"/>
            <w10:anchorlock/>
          </v:shape>
          <o:OLEObject Type="Embed" ProgID="Equation.DSMT4" ShapeID="_x0000_i1059" DrawAspect="Content" ObjectID="_1468075759" r:id="rId76">
            <o:LockedField>false</o:LockedField>
          </o:OLEObject>
        </w:object>
      </w:r>
      <w:r>
        <w:rPr>
          <w:rFonts w:hint="eastAsia" w:cs="Times New Roman"/>
        </w:rPr>
        <w:t>间的退化感知正则损失，</w:t>
      </w:r>
      <w:r>
        <w:rPr>
          <w:position w:val="-12"/>
        </w:rPr>
        <w:object>
          <v:shape id="_x0000_i1060" o:spt="75" type="#_x0000_t75" style="height:18.7pt;width:26.2pt;" o:ole="t" filled="f" o:preferrelative="t" stroked="f" coordsize="21600,21600">
            <v:path/>
            <v:fill on="f" focussize="0,0"/>
            <v:stroke on="f" joinstyle="miter"/>
            <v:imagedata r:id="rId79" o:title=""/>
            <o:lock v:ext="edit" aspectratio="t"/>
            <w10:wrap type="none"/>
            <w10:anchorlock/>
          </v:shape>
          <o:OLEObject Type="Embed" ProgID="Equation.DSMT4" ShapeID="_x0000_i1060" DrawAspect="Content" ObjectID="_1468075760" r:id="rId78">
            <o:LockedField>false</o:LockedField>
          </o:OLEObject>
        </w:object>
      </w:r>
      <w:r>
        <w:rPr>
          <w:rFonts w:hint="eastAsia" w:cs="Times New Roman"/>
        </w:rPr>
        <w:t>为平衡系数。</w:t>
      </w:r>
    </w:p>
    <w:p w14:paraId="78202122">
      <w:pPr>
        <w:jc w:val="center"/>
        <w:rPr>
          <w:rFonts w:cs="Times New Roman"/>
        </w:rPr>
      </w:pPr>
      <w:r>
        <w:rPr>
          <w:rFonts w:cs="Times New Roman"/>
        </w:rPr>
        <w:drawing>
          <wp:inline distT="0" distB="0" distL="114300" distR="114300">
            <wp:extent cx="6630035" cy="4691380"/>
            <wp:effectExtent l="0" t="0" r="18415" b="13970"/>
            <wp:docPr id="14" name="图片 14" descr="绘图1 v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绘图1 v8"/>
                    <pic:cNvPicPr>
                      <a:picLocks noChangeAspect="1"/>
                    </pic:cNvPicPr>
                  </pic:nvPicPr>
                  <pic:blipFill>
                    <a:blip r:embed="rId80"/>
                    <a:stretch>
                      <a:fillRect/>
                    </a:stretch>
                  </pic:blipFill>
                  <pic:spPr>
                    <a:xfrm>
                      <a:off x="0" y="0"/>
                      <a:ext cx="6630035" cy="4691380"/>
                    </a:xfrm>
                    <a:prstGeom prst="rect">
                      <a:avLst/>
                    </a:prstGeom>
                  </pic:spPr>
                </pic:pic>
              </a:graphicData>
            </a:graphic>
          </wp:inline>
        </w:drawing>
      </w:r>
    </w:p>
    <w:p w14:paraId="03A41509">
      <w:pPr>
        <w:jc w:val="center"/>
        <w:rPr>
          <w:rFonts w:cs="Times New Roman"/>
          <w:sz w:val="18"/>
          <w:szCs w:val="18"/>
        </w:rPr>
      </w:pPr>
      <w:r>
        <w:rPr>
          <w:rFonts w:cs="Times New Roman"/>
          <w:b/>
          <w:bCs/>
          <w:color w:val="203864" w:themeColor="accent1" w:themeShade="80"/>
          <w:sz w:val="18"/>
          <w:szCs w:val="18"/>
        </w:rPr>
        <w:t>Fig.</w:t>
      </w:r>
      <w:r>
        <w:rPr>
          <w:rFonts w:hint="eastAsia" w:cs="Times New Roman"/>
          <w:b/>
          <w:bCs/>
          <w:color w:val="203864" w:themeColor="accent1" w:themeShade="80"/>
          <w:sz w:val="18"/>
          <w:szCs w:val="18"/>
        </w:rPr>
        <w:t>3</w:t>
      </w:r>
      <w:r>
        <w:rPr>
          <w:rFonts w:cs="Times New Roman"/>
          <w:sz w:val="18"/>
          <w:szCs w:val="18"/>
        </w:rPr>
        <w:t xml:space="preserve"> </w:t>
      </w:r>
      <w:r>
        <w:rPr>
          <w:rFonts w:hint="eastAsia" w:cs="Times New Roman"/>
          <w:sz w:val="18"/>
          <w:szCs w:val="18"/>
        </w:rPr>
        <w:t>Overall</w:t>
      </w:r>
      <w:r>
        <w:rPr>
          <w:rFonts w:cs="Times New Roman"/>
        </w:rPr>
        <w:t xml:space="preserve"> </w:t>
      </w:r>
      <w:r>
        <w:rPr>
          <w:rFonts w:cs="Times New Roman"/>
          <w:sz w:val="18"/>
          <w:szCs w:val="18"/>
        </w:rPr>
        <w:t>framework</w:t>
      </w:r>
    </w:p>
    <w:p w14:paraId="2C986A22">
      <w:pPr>
        <w:rPr>
          <w:rStyle w:val="26"/>
        </w:rPr>
      </w:pPr>
      <w:r>
        <w:rPr>
          <w:rFonts w:cs="Times New Roman"/>
          <w:b/>
          <w:bCs/>
          <w:color w:val="2F5496"/>
          <w:szCs w:val="21"/>
        </w:rPr>
        <w:t xml:space="preserve">3.3 </w:t>
      </w:r>
      <w:r>
        <w:rPr>
          <w:rFonts w:hint="eastAsia" w:cs="Times New Roman"/>
          <w:b/>
          <w:bCs/>
          <w:color w:val="2F5496"/>
          <w:szCs w:val="21"/>
        </w:rPr>
        <w:t>Physical-residual SOH modeling</w:t>
      </w:r>
    </w:p>
    <w:p w14:paraId="2A698FBB">
      <w:pPr>
        <w:ind w:firstLine="420" w:firstLineChars="200"/>
        <w:rPr>
          <w:rStyle w:val="26"/>
        </w:rPr>
      </w:pPr>
      <w:r>
        <w:rPr>
          <w:rStyle w:val="26"/>
          <w:rFonts w:hint="eastAsia"/>
        </w:rPr>
        <w:t>We decompose battery SOH degradation into a shared trend and cell-specific local deviations. This decomposition reduces the burden of fitting the entire SOH curve with a neural network. A low-order nonlinear prior first represents the global capacity-fade trend over cycling. The residual temporal module then compensates for local deviations that the prior cannot describe.</w:t>
      </w:r>
    </w:p>
    <w:p w14:paraId="6E2C65F4">
      <w:pPr>
        <w:rPr>
          <w:rStyle w:val="26"/>
        </w:rPr>
      </w:pPr>
      <w:r>
        <w:rPr>
          <w:rFonts w:hint="eastAsia" w:cs="Times New Roman"/>
          <w:b/>
          <w:bCs/>
          <w:color w:val="2F5496"/>
          <w:szCs w:val="21"/>
        </w:rPr>
        <w:t>3.3.1 低阶非线性退化先验构建</w:t>
      </w:r>
    </w:p>
    <w:p w14:paraId="05BAAED2">
      <w:pPr>
        <w:ind w:firstLine="420" w:firstLineChars="200"/>
        <w:rPr>
          <w:rStyle w:val="26"/>
        </w:rPr>
      </w:pPr>
      <w:r>
        <w:rPr>
          <w:rStyle w:val="26"/>
          <w:rFonts w:hint="eastAsia"/>
        </w:rPr>
        <w:t>锂离子电池容量在循环过程中通常呈现非线性衰减趋势，但不同电池个体在局部阶段仍存在一定退化差异。若完全依赖神经网络直接学习 SOH 变化过程，模型需要同时拟合全局退化趋势、局部退化波动以及跨批次分布差异，容易增加学习复杂度并削弱模型的物理一致性。为此，从低阶函数投影的角度构建非线性退化先验，将归一化循环位置映射到一个低维退化基函数空间中，以获得共享 SOH 参考基线。</w:t>
      </w:r>
    </w:p>
    <w:p w14:paraId="1B5EAE8D">
      <w:pPr>
        <w:ind w:firstLine="420" w:firstLineChars="200"/>
      </w:pPr>
      <w:r>
        <w:rPr>
          <w:rStyle w:val="26"/>
          <w:rFonts w:hint="eastAsia"/>
        </w:rPr>
        <w:t xml:space="preserve">给定第 </w:t>
      </w:r>
      <w:r>
        <w:rPr>
          <w:position w:val="-6"/>
        </w:rPr>
        <w:object>
          <v:shape id="_x0000_i1061" o:spt="75" type="#_x0000_t75" style="height:13.1pt;width:6.55pt;" o:ole="t" filled="f" o:preferrelative="t" stroked="f" coordsize="21600,21600">
            <v:path/>
            <v:fill on="f" focussize="0,0"/>
            <v:stroke on="f" joinstyle="miter"/>
            <v:imagedata r:id="rId82" o:title=""/>
            <o:lock v:ext="edit" aspectratio="t"/>
            <w10:wrap type="none"/>
            <w10:anchorlock/>
          </v:shape>
          <o:OLEObject Type="Embed" ProgID="Equation.DSMT4" ShapeID="_x0000_i1061" DrawAspect="Content" ObjectID="_1468075761" r:id="rId81">
            <o:LockedField>false</o:LockedField>
          </o:OLEObject>
        </w:object>
      </w:r>
      <w:r>
        <w:rPr>
          <w:rStyle w:val="26"/>
          <w:rFonts w:hint="eastAsia"/>
        </w:rPr>
        <w:t xml:space="preserve"> 个样本的归一化循环位置 </w:t>
      </w:r>
      <w:r>
        <w:rPr>
          <w:position w:val="-12"/>
        </w:rPr>
        <w:object>
          <v:shape id="_x0000_i1062" o:spt="75" type="#_x0000_t75" style="height:18.7pt;width:13.1pt;" o:ole="t" filled="f" o:preferrelative="t" stroked="f" coordsize="21600,21600">
            <v:path/>
            <v:fill on="f" focussize="0,0"/>
            <v:stroke on="f" joinstyle="miter"/>
            <v:imagedata r:id="rId84" o:title=""/>
            <o:lock v:ext="edit" aspectratio="t"/>
            <w10:wrap type="none"/>
            <w10:anchorlock/>
          </v:shape>
          <o:OLEObject Type="Embed" ProgID="Equation.DSMT4" ShapeID="_x0000_i1062" DrawAspect="Content" ObjectID="_1468075762" r:id="rId83">
            <o:LockedField>false</o:LockedField>
          </o:OLEObject>
        </w:object>
      </w:r>
      <w:r>
        <w:rPr>
          <w:rStyle w:val="26"/>
          <w:rFonts w:hint="eastAsia"/>
        </w:rPr>
        <w:t>，定义低阶退化基函数向量为，</w:t>
      </w:r>
    </w:p>
    <w:p w14:paraId="6EE5DAAF">
      <w:pPr>
        <w:pStyle w:val="49"/>
      </w:pPr>
      <w:r>
        <w:rPr>
          <w:rFonts w:hint="eastAsia"/>
        </w:rPr>
        <w:tab/>
      </w:r>
      <w:r>
        <w:rPr>
          <w:position w:val="-16"/>
        </w:rPr>
        <w:object>
          <v:shape id="_x0000_i1063" o:spt="75" type="#_x0000_t75" style="height:26.2pt;width:110.35pt;" o:ole="t" filled="f" o:preferrelative="t" stroked="f" coordsize="21600,21600">
            <v:path/>
            <v:fill on="f" focussize="0,0"/>
            <v:stroke on="f" joinstyle="miter"/>
            <v:imagedata r:id="rId86" o:title=""/>
            <o:lock v:ext="edit" aspectratio="t"/>
            <w10:wrap type="none"/>
            <w10:anchorlock/>
          </v:shape>
          <o:OLEObject Type="Embed" ProgID="Equation.DSMT4" ShapeID="_x0000_i1063" DrawAspect="Content" ObjectID="_1468075763" r:id="rId85">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w:instrText>
      </w:r>
      <w:r>
        <w:rPr>
          <w:rFonts w:hint="eastAsia"/>
          <w:position w:val="-4"/>
        </w:rPr>
        <w:instrText xml:space="preserve">O</w:instrText>
      </w:r>
      <w:r>
        <w:rPr>
          <w:rFonts w:hint="eastAsia"/>
        </w:rPr>
        <w:instrText xml:space="preserve">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6</w:instrText>
      </w:r>
      <w:r>
        <w:fldChar w:fldCharType="end"/>
      </w:r>
      <w:r>
        <w:rPr>
          <w:rFonts w:hint="eastAsia"/>
        </w:rPr>
        <w:instrText xml:space="preserve">)</w:instrText>
      </w:r>
      <w:r>
        <w:fldChar w:fldCharType="separate"/>
      </w:r>
      <w:r>
        <w:rPr>
          <w:rFonts w:hint="eastAsia"/>
        </w:rPr>
        <w:fldChar w:fldCharType="end"/>
      </w:r>
    </w:p>
    <w:p w14:paraId="53C50958">
      <w:pPr>
        <w:ind w:firstLine="420" w:firstLineChars="200"/>
      </w:pPr>
      <w:r>
        <w:rPr>
          <w:rStyle w:val="26"/>
          <w:rFonts w:hint="eastAsia"/>
        </w:rPr>
        <w:t>相应的，低阶非线性退化先验可表示为该基函数向量与系数向量间的投影关系，</w:t>
      </w:r>
    </w:p>
    <w:p w14:paraId="72697067">
      <w:pPr>
        <w:pStyle w:val="49"/>
      </w:pPr>
      <w:r>
        <w:rPr>
          <w:rFonts w:hint="eastAsia"/>
        </w:rPr>
        <w:tab/>
      </w:r>
      <w:r>
        <w:rPr>
          <w:position w:val="-12"/>
        </w:rPr>
        <w:object>
          <v:shape id="_x0000_i1064" o:spt="75" type="#_x0000_t75" style="height:19.65pt;width:195.45pt;" o:ole="t" filled="f" o:preferrelative="t" stroked="f" coordsize="21600,21600">
            <v:path/>
            <v:fill on="f" focussize="0,0"/>
            <v:stroke on="f" joinstyle="miter"/>
            <v:imagedata r:id="rId88" o:title=""/>
            <o:lock v:ext="edit" aspectratio="t"/>
            <w10:wrap type="none"/>
            <w10:anchorlock/>
          </v:shape>
          <o:OLEObject Type="Embed" ProgID="Equation.DSMT4" ShapeID="_x0000_i1064" DrawAspect="Content" ObjectID="_1468075764" r:id="rId87">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7</w:instrText>
      </w:r>
      <w:r>
        <w:fldChar w:fldCharType="end"/>
      </w:r>
      <w:r>
        <w:rPr>
          <w:rFonts w:hint="eastAsia"/>
        </w:rPr>
        <w:instrText xml:space="preserve">)</w:instrText>
      </w:r>
      <w:r>
        <w:fldChar w:fldCharType="separate"/>
      </w:r>
      <w:r>
        <w:rPr>
          <w:rFonts w:hint="eastAsia"/>
        </w:rPr>
        <w:fldChar w:fldCharType="end"/>
      </w:r>
    </w:p>
    <w:p w14:paraId="5B7F9D7E">
      <w:r>
        <w:t>其中，</w:t>
      </w:r>
      <w:r>
        <w:rPr>
          <w:position w:val="-10"/>
        </w:rPr>
        <w:object>
          <v:shape id="_x0000_i1065" o:spt="75" type="#_x0000_t75" style="height:18.7pt;width:72pt;" o:ole="t" filled="f" o:preferrelative="t" stroked="f" coordsize="21600,21600">
            <v:path/>
            <v:fill on="f" focussize="0,0"/>
            <v:stroke on="f" joinstyle="miter"/>
            <v:imagedata r:id="rId90" o:title=""/>
            <o:lock v:ext="edit" aspectratio="t"/>
            <w10:wrap type="none"/>
            <w10:anchorlock/>
          </v:shape>
          <o:OLEObject Type="Embed" ProgID="Equation.DSMT4" ShapeID="_x0000_i1065" DrawAspect="Content" ObjectID="_1468075765" r:id="rId89">
            <o:LockedField>false</o:LockedField>
          </o:OLEObject>
        </w:object>
      </w:r>
      <w:r>
        <w:t>，</w:t>
      </w:r>
      <w:r>
        <w:rPr>
          <w:position w:val="-6"/>
        </w:rPr>
        <w:object>
          <v:shape id="_x0000_i1066" o:spt="75" type="#_x0000_t75" style="height:9.35pt;width:9.35pt;" o:ole="t" filled="f" o:preferrelative="t" stroked="f" coordsize="21600,21600">
            <v:path/>
            <v:fill on="f" focussize="0,0"/>
            <v:stroke on="f" joinstyle="miter"/>
            <v:imagedata r:id="rId92" o:title=""/>
            <o:lock v:ext="edit" aspectratio="t"/>
            <w10:wrap type="none"/>
            <w10:anchorlock/>
          </v:shape>
          <o:OLEObject Type="Embed" ProgID="Equation.DSMT4" ShapeID="_x0000_i1066" DrawAspect="Content" ObjectID="_1468075766" r:id="rId91">
            <o:LockedField>false</o:LockedField>
          </o:OLEObject>
        </w:object>
      </w:r>
      <w:r>
        <w:t>、</w:t>
      </w:r>
      <w:r>
        <w:rPr>
          <w:position w:val="-6"/>
        </w:rPr>
        <w:object>
          <v:shape id="_x0000_i1067" o:spt="75" type="#_x0000_t75" style="height:13.1pt;width:9.35pt;" o:ole="t" filled="f" o:preferrelative="t" stroked="f" coordsize="21600,21600">
            <v:path/>
            <v:fill on="f" focussize="0,0"/>
            <v:stroke on="f" joinstyle="miter"/>
            <v:imagedata r:id="rId94" o:title=""/>
            <o:lock v:ext="edit" aspectratio="t"/>
            <w10:wrap type="none"/>
            <w10:anchorlock/>
          </v:shape>
          <o:OLEObject Type="Embed" ProgID="Equation.DSMT4" ShapeID="_x0000_i1067" DrawAspect="Content" ObjectID="_1468075767" r:id="rId93">
            <o:LockedField>false</o:LockedField>
          </o:OLEObject>
        </w:object>
      </w:r>
      <w:r>
        <w:t>、</w:t>
      </w:r>
      <w:r>
        <w:rPr>
          <w:position w:val="-6"/>
        </w:rPr>
        <w:object>
          <v:shape id="_x0000_i1068" o:spt="75" type="#_x0000_t75" style="height:9.35pt;width:9.35pt;" o:ole="t" filled="f" o:preferrelative="t" stroked="f" coordsize="21600,21600">
            <v:path/>
            <v:fill on="f" focussize="0,0"/>
            <v:stroke on="f" joinstyle="miter"/>
            <v:imagedata r:id="rId96" o:title=""/>
            <o:lock v:ext="edit" aspectratio="t"/>
            <w10:wrap type="none"/>
            <w10:anchorlock/>
          </v:shape>
          <o:OLEObject Type="Embed" ProgID="Equation.DSMT4" ShapeID="_x0000_i1068" DrawAspect="Content" ObjectID="_1468075768" r:id="rId95">
            <o:LockedField>false</o:LockedField>
          </o:OLEObject>
        </w:object>
      </w:r>
      <w:r>
        <w:t>、</w:t>
      </w:r>
      <w:r>
        <w:rPr>
          <w:position w:val="-6"/>
        </w:rPr>
        <w:object>
          <v:shape id="_x0000_i1069" o:spt="75" type="#_x0000_t75" style="height:13.1pt;width:9.35pt;" o:ole="t" filled="f" o:preferrelative="t" stroked="f" coordsize="21600,21600">
            <v:path/>
            <v:fill on="f" focussize="0,0"/>
            <v:stroke on="f" joinstyle="miter"/>
            <v:imagedata r:id="rId98" o:title=""/>
            <o:lock v:ext="edit" aspectratio="t"/>
            <w10:wrap type="none"/>
            <w10:anchorlock/>
          </v:shape>
          <o:OLEObject Type="Embed" ProgID="Equation.DSMT4" ShapeID="_x0000_i1069" DrawAspect="Content" ObjectID="_1468075769" r:id="rId97">
            <o:LockedField>false</o:LockedField>
          </o:OLEObject>
        </w:object>
      </w:r>
      <w:r>
        <w:t xml:space="preserve"> 为待优化系数。上述四个系数共同决定退化基线的初始偏移、整体下降趋势以及非线性弯曲形态，使模型以较少参数描述 SOH 曲线的变化趋势。</w:t>
      </w:r>
    </w:p>
    <w:p w14:paraId="65E8A68F">
      <w:pPr>
        <w:ind w:firstLine="420" w:firstLineChars="200"/>
      </w:pPr>
      <w:r>
        <w:t>为进一步说明低阶非线性退化先验的构建过程，对</w:t>
      </w:r>
      <w:r>
        <w:rPr>
          <w:position w:val="-6"/>
        </w:rPr>
        <w:object>
          <v:shape id="_x0000_i1070" o:spt="75" type="#_x0000_t75" style="height:9.35pt;width:9.35pt;" o:ole="t" filled="f" o:preferrelative="t" stroked="f" coordsize="21600,21600">
            <v:path/>
            <v:fill on="f" focussize="0,0"/>
            <v:stroke on="f" joinstyle="miter"/>
            <v:imagedata r:id="rId92" o:title=""/>
            <o:lock v:ext="edit" aspectratio="t"/>
            <w10:wrap type="none"/>
            <w10:anchorlock/>
          </v:shape>
          <o:OLEObject Type="Embed" ProgID="Equation.DSMT4" ShapeID="_x0000_i1070" DrawAspect="Content" ObjectID="_1468075770" r:id="rId99">
            <o:LockedField>false</o:LockedField>
          </o:OLEObject>
        </w:object>
      </w:r>
      <w:r>
        <w:t>、</w:t>
      </w:r>
      <w:r>
        <w:rPr>
          <w:position w:val="-6"/>
        </w:rPr>
        <w:object>
          <v:shape id="_x0000_i1071" o:spt="75" type="#_x0000_t75" style="height:13.1pt;width:9.35pt;" o:ole="t" filled="f" o:preferrelative="t" stroked="f" coordsize="21600,21600">
            <v:path/>
            <v:fill on="f" focussize="0,0"/>
            <v:stroke on="f" joinstyle="miter"/>
            <v:imagedata r:id="rId94" o:title=""/>
            <o:lock v:ext="edit" aspectratio="t"/>
            <w10:wrap type="none"/>
            <w10:anchorlock/>
          </v:shape>
          <o:OLEObject Type="Embed" ProgID="Equation.DSMT4" ShapeID="_x0000_i1071" DrawAspect="Content" ObjectID="_1468075771" r:id="rId100">
            <o:LockedField>false</o:LockedField>
          </o:OLEObject>
        </w:object>
      </w:r>
      <w:r>
        <w:t>、</w:t>
      </w:r>
      <w:r>
        <w:rPr>
          <w:position w:val="-6"/>
        </w:rPr>
        <w:object>
          <v:shape id="_x0000_i1072" o:spt="75" type="#_x0000_t75" style="height:9.35pt;width:9.35pt;" o:ole="t" filled="f" o:preferrelative="t" stroked="f" coordsize="21600,21600">
            <v:path/>
            <v:fill on="f" focussize="0,0"/>
            <v:stroke on="f" joinstyle="miter"/>
            <v:imagedata r:id="rId96" o:title=""/>
            <o:lock v:ext="edit" aspectratio="t"/>
            <w10:wrap type="none"/>
            <w10:anchorlock/>
          </v:shape>
          <o:OLEObject Type="Embed" ProgID="Equation.DSMT4" ShapeID="_x0000_i1072" DrawAspect="Content" ObjectID="_1468075772" r:id="rId101">
            <o:LockedField>false</o:LockedField>
          </o:OLEObject>
        </w:object>
      </w:r>
      <w:r>
        <w:t>、</w:t>
      </w:r>
      <w:r>
        <w:rPr>
          <w:position w:val="-6"/>
        </w:rPr>
        <w:object>
          <v:shape id="_x0000_i1073" o:spt="75" type="#_x0000_t75" style="height:13.1pt;width:9.35pt;" o:ole="t" filled="f" o:preferrelative="t" stroked="f" coordsize="21600,21600">
            <v:path/>
            <v:fill on="f" focussize="0,0"/>
            <v:stroke on="f" joinstyle="miter"/>
            <v:imagedata r:id="rId98" o:title=""/>
            <o:lock v:ext="edit" aspectratio="t"/>
            <w10:wrap type="none"/>
            <w10:anchorlock/>
          </v:shape>
          <o:OLEObject Type="Embed" ProgID="Equation.DSMT4" ShapeID="_x0000_i1073" DrawAspect="Content" ObjectID="_1468075773" r:id="rId102">
            <o:LockedField>false</o:LockedField>
          </o:OLEObject>
        </w:object>
      </w:r>
      <w:r>
        <w:t xml:space="preserve"> 四个系数的优化景观进行可视化</w:t>
      </w:r>
      <w:r>
        <w:rPr>
          <w:rFonts w:hint="eastAsia"/>
        </w:rPr>
        <w:t>。</w:t>
      </w:r>
      <w:r>
        <w:t xml:space="preserve">从图 </w:t>
      </w:r>
      <w:r>
        <w:rPr>
          <w:rFonts w:hint="eastAsia"/>
        </w:rPr>
        <w:t>4</w:t>
      </w:r>
      <w:r>
        <w:t xml:space="preserve"> 可知，最终拟合得到的系数组合均位于低 RMSE 增量区域内，且最优邻域呈现连续的误差变化趋势，说明该低阶基函数投影能够以有限参数形成相对稳定的全局退化参考。由此，后续残差时序</w:t>
      </w:r>
      <w:r>
        <w:rPr>
          <w:rFonts w:hint="eastAsia"/>
        </w:rPr>
        <w:t>模块</w:t>
      </w:r>
      <w:r>
        <w:t>无需直接拟合完整 SOH 曲线，可进一步聚焦于不同电池单体相对于该参考曲线的局部退化偏离。</w:t>
      </w:r>
    </w:p>
    <w:p w14:paraId="5DDF623B">
      <w:pPr>
        <w:jc w:val="center"/>
      </w:pPr>
      <w:r>
        <w:drawing>
          <wp:inline distT="0" distB="0" distL="114300" distR="114300">
            <wp:extent cx="6341110" cy="3268345"/>
            <wp:effectExtent l="0" t="0" r="2540" b="8255"/>
            <wp:docPr id="11" name="图片 11" descr="fig_physical_base_abcd_optimization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ig_physical_base_abcd_optimization_grid"/>
                    <pic:cNvPicPr>
                      <a:picLocks noChangeAspect="1"/>
                    </pic:cNvPicPr>
                  </pic:nvPicPr>
                  <pic:blipFill>
                    <a:blip r:embed="rId103"/>
                    <a:stretch>
                      <a:fillRect/>
                    </a:stretch>
                  </pic:blipFill>
                  <pic:spPr>
                    <a:xfrm>
                      <a:off x="0" y="0"/>
                      <a:ext cx="6341110" cy="3268345"/>
                    </a:xfrm>
                    <a:prstGeom prst="rect">
                      <a:avLst/>
                    </a:prstGeom>
                  </pic:spPr>
                </pic:pic>
              </a:graphicData>
            </a:graphic>
          </wp:inline>
        </w:drawing>
      </w:r>
    </w:p>
    <w:p w14:paraId="673D3F38">
      <w:pPr>
        <w:jc w:val="center"/>
      </w:pPr>
      <w:r>
        <w:rPr>
          <w:rFonts w:cs="Times New Roman"/>
          <w:b/>
          <w:bCs/>
          <w:color w:val="203864" w:themeColor="accent1" w:themeShade="80"/>
          <w:sz w:val="18"/>
          <w:szCs w:val="18"/>
        </w:rPr>
        <w:t>Fig.</w:t>
      </w:r>
      <w:r>
        <w:rPr>
          <w:rFonts w:hint="eastAsia" w:cs="Times New Roman"/>
          <w:b/>
          <w:bCs/>
          <w:color w:val="203864" w:themeColor="accent1" w:themeShade="80"/>
          <w:sz w:val="18"/>
          <w:szCs w:val="18"/>
        </w:rPr>
        <w:t>4</w:t>
      </w:r>
      <w:r>
        <w:t>. Pairwise optimization landscape of the four coefficients in the low-order nonlinear degradation prior</w:t>
      </w:r>
    </w:p>
    <w:p w14:paraId="753A7407">
      <w:pPr>
        <w:jc w:val="center"/>
      </w:pPr>
      <w:r>
        <w:t>In each panel, two coefficients are varied while the other two are fixed at their source-domain least-squares optimum. The color denotes the RMSE increase relative to the optimal coefficient solution, and the red point indicates the fitted coefficient pair. The coefficient optimization is performed using only Batch 1-8 source-domain training samples.</w:t>
      </w:r>
    </w:p>
    <w:p w14:paraId="11DF1BDB">
      <w:pPr>
        <w:spacing w:line="240" w:lineRule="auto"/>
        <w:ind w:firstLine="420" w:firstLineChars="200"/>
      </w:pPr>
      <w:r>
        <w:t>为避免目标测试批次信息参与先验构建，低阶退化先验的系数仅根据源域训练样本进行拟合。设</w:t>
      </w:r>
      <w:r>
        <w:rPr>
          <w:position w:val="-6"/>
        </w:rPr>
        <w:object>
          <v:shape id="_x0000_i1074" o:spt="75" type="#_x0000_t75" style="height:13.1pt;width:9.35pt;" o:ole="t" filled="f" o:preferrelative="t" stroked="f" coordsize="21600,21600">
            <v:path/>
            <v:fill on="f" focussize="0,0"/>
            <v:stroke on="f" joinstyle="miter"/>
            <v:imagedata r:id="rId105" o:title=""/>
            <o:lock v:ext="edit" aspectratio="t"/>
            <w10:wrap type="none"/>
            <w10:anchorlock/>
          </v:shape>
          <o:OLEObject Type="Embed" ProgID="Equation.DSMT4" ShapeID="_x0000_i1074" DrawAspect="Content" ObjectID="_1468075774" r:id="rId104">
            <o:LockedField>false</o:LockedField>
          </o:OLEObject>
        </w:object>
      </w:r>
      <w:r>
        <w:t>表示源域训练样本集合，</w:t>
      </w:r>
      <w:r>
        <w:rPr>
          <w:position w:val="-12"/>
        </w:rPr>
        <w:object>
          <v:shape id="_x0000_i1075" o:spt="75" type="#_x0000_t75" style="height:18.7pt;width:12.15pt;" o:ole="t" filled="f" o:preferrelative="t" stroked="f" coordsize="21600,21600">
            <v:path/>
            <v:fill on="f" focussize="0,0"/>
            <v:stroke on="f" joinstyle="miter"/>
            <v:imagedata r:id="rId107" o:title=""/>
            <o:lock v:ext="edit" aspectratio="t"/>
            <w10:wrap type="none"/>
            <w10:anchorlock/>
          </v:shape>
          <o:OLEObject Type="Embed" ProgID="Equation.DSMT4" ShapeID="_x0000_i1075" DrawAspect="Content" ObjectID="_1468075775" r:id="rId106">
            <o:LockedField>false</o:LockedField>
          </o:OLEObject>
        </w:object>
      </w:r>
      <w:r>
        <w:t>表示对应真实 SOH，则系数优化过程可写为</w:t>
      </w:r>
      <w:r>
        <w:rPr>
          <w:rFonts w:hint="eastAsia"/>
        </w:rPr>
        <w:t>，</w:t>
      </w:r>
    </w:p>
    <w:p w14:paraId="749986A5">
      <w:pPr>
        <w:pStyle w:val="49"/>
        <w:ind w:firstLine="420" w:firstLineChars="200"/>
      </w:pPr>
      <w:r>
        <w:rPr>
          <w:rFonts w:hint="eastAsia"/>
        </w:rPr>
        <w:tab/>
      </w:r>
      <w:r>
        <w:rPr>
          <w:position w:val="-28"/>
        </w:rPr>
        <w:object>
          <v:shape id="_x0000_i1076" o:spt="75" type="#_x0000_t75" style="height:29.9pt;width:157.1pt;" o:ole="t" filled="f" o:preferrelative="t" stroked="f" coordsize="21600,21600">
            <v:path/>
            <v:fill on="f" focussize="0,0"/>
            <v:stroke on="f" joinstyle="miter"/>
            <v:imagedata r:id="rId109" o:title=""/>
            <o:lock v:ext="edit" aspectratio="t"/>
            <w10:wrap type="none"/>
            <w10:anchorlock/>
          </v:shape>
          <o:OLEObject Type="Embed" ProgID="Equation.DSMT4" ShapeID="_x0000_i1076" DrawAspect="Content" ObjectID="_1468075776" r:id="rId108">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w:instrText>
      </w:r>
      <w:r>
        <w:rPr>
          <w:rFonts w:hint="eastAsia"/>
          <w:position w:val="-4"/>
        </w:rPr>
        <w:instrText xml:space="preserve">O</w:instrText>
      </w:r>
      <w:r>
        <w:rPr>
          <w:rFonts w:hint="eastAsia"/>
        </w:rPr>
        <w:instrText xml:space="preserve">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8</w:instrText>
      </w:r>
      <w:r>
        <w:fldChar w:fldCharType="end"/>
      </w:r>
      <w:r>
        <w:rPr>
          <w:rFonts w:hint="eastAsia"/>
        </w:rPr>
        <w:instrText xml:space="preserve">)</w:instrText>
      </w:r>
      <w:r>
        <w:fldChar w:fldCharType="separate"/>
      </w:r>
      <w:r>
        <w:rPr>
          <w:rFonts w:hint="eastAsia"/>
        </w:rPr>
        <w:fldChar w:fldCharType="end"/>
      </w:r>
    </w:p>
    <w:p w14:paraId="3F3ABE82">
      <w:pPr>
        <w:pStyle w:val="49"/>
        <w:ind w:firstLine="420" w:firstLineChars="200"/>
      </w:pPr>
      <w:r>
        <w:rPr>
          <w:rFonts w:hint="eastAsia"/>
        </w:rPr>
        <w:tab/>
      </w:r>
      <w:r>
        <w:rPr>
          <w:position w:val="-12"/>
        </w:rPr>
        <w:object>
          <v:shape id="_x0000_i1077" o:spt="75" type="#_x0000_t75" style="height:19.65pt;width:108.45pt;" o:ole="t" filled="f" o:preferrelative="t" stroked="f" coordsize="21600,21600">
            <v:path/>
            <v:fill on="f" focussize="0,0"/>
            <v:stroke on="f" joinstyle="miter"/>
            <v:imagedata r:id="rId111" o:title=""/>
            <o:lock v:ext="edit" aspectratio="t"/>
            <w10:wrap type="none"/>
            <w10:anchorlock/>
          </v:shape>
          <o:OLEObject Type="Embed" ProgID="Equation.DSMT4" ShapeID="_x0000_i1077" DrawAspect="Content" ObjectID="_1468075777" r:id="rId110">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w:instrText>
      </w:r>
      <w:r>
        <w:rPr>
          <w:rFonts w:hint="eastAsia"/>
          <w:position w:val="-4"/>
        </w:rPr>
        <w:instrText xml:space="preserve">O</w:instrText>
      </w:r>
      <w:r>
        <w:rPr>
          <w:rFonts w:hint="eastAsia"/>
        </w:rPr>
        <w:instrText xml:space="preserve">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9</w:instrText>
      </w:r>
      <w:r>
        <w:fldChar w:fldCharType="end"/>
      </w:r>
      <w:r>
        <w:rPr>
          <w:rFonts w:hint="eastAsia"/>
        </w:rPr>
        <w:instrText xml:space="preserve">)</w:instrText>
      </w:r>
      <w:r>
        <w:fldChar w:fldCharType="separate"/>
      </w:r>
      <w:r>
        <w:rPr>
          <w:rFonts w:hint="eastAsia"/>
        </w:rPr>
        <w:fldChar w:fldCharType="end"/>
      </w:r>
    </w:p>
    <w:p w14:paraId="5DE71D71">
      <w:pPr>
        <w:ind w:firstLine="840" w:firstLineChars="400"/>
        <w:rPr>
          <w:rFonts w:cs="Times New Roman"/>
          <w:sz w:val="18"/>
          <w:szCs w:val="18"/>
        </w:rPr>
      </w:pPr>
      <w:r>
        <w:rPr>
          <w:rFonts w:hint="eastAsia"/>
        </w:rPr>
        <w:t xml:space="preserve">等价地，上述过程可理解为在低阶退化基函数空间中求解源域 SOH 观测在最小二乘意义下的投影函数 </w:t>
      </w:r>
      <w:r>
        <w:rPr>
          <w:position w:val="-12"/>
        </w:rPr>
        <w:object>
          <v:shape id="_x0000_i1078" o:spt="75" type="#_x0000_t75" style="height:18.7pt;width:23.4pt;" o:ole="t" filled="f" o:preferrelative="t" stroked="f" coordsize="21600,21600">
            <v:path/>
            <v:fill on="f" focussize="0,0"/>
            <v:stroke on="f" joinstyle="miter"/>
            <v:imagedata r:id="rId113" o:title=""/>
            <o:lock v:ext="edit" aspectratio="t"/>
            <w10:wrap type="none"/>
            <w10:anchorlock/>
          </v:shape>
          <o:OLEObject Type="Embed" ProgID="Equation.DSMT4" ShapeID="_x0000_i1078" DrawAspect="Content" ObjectID="_1468075778" r:id="rId112">
            <o:LockedField>false</o:LockedField>
          </o:OLEObject>
        </w:object>
      </w:r>
      <w:r>
        <w:rPr>
          <w:rFonts w:hint="eastAsia"/>
        </w:rPr>
        <w:t>，以刻画源域样本中可由低阶非线性基函数表示的共享退化趋势。通过该优化过程，模型首先吸收可由低阶非线性基函数表达的共享退化成分，再将剩余的个体化局部偏差交由残差时序模块学习，从而通过低阶退化先验建立具有明确结构含义的全局锚点。</w:t>
      </w:r>
    </w:p>
    <w:p w14:paraId="214EE714">
      <w:pPr>
        <w:rPr>
          <w:rFonts w:cs="Times New Roman"/>
          <w:b/>
          <w:bCs/>
          <w:color w:val="2F5496"/>
          <w:szCs w:val="21"/>
        </w:rPr>
      </w:pPr>
      <w:r>
        <w:rPr>
          <w:rFonts w:hint="eastAsia" w:cs="Times New Roman"/>
          <w:b/>
          <w:bCs/>
          <w:color w:val="2F5496"/>
          <w:szCs w:val="21"/>
        </w:rPr>
        <w:t>3.3.2 残差时序建模</w:t>
      </w:r>
    </w:p>
    <w:p w14:paraId="07AA1276">
      <w:pPr>
        <w:ind w:firstLine="420"/>
        <w:rPr>
          <w:rFonts w:cs="Times New Roman"/>
        </w:rPr>
      </w:pPr>
      <w:r>
        <w:rPr>
          <w:rFonts w:hint="eastAsia" w:cs="Times New Roman"/>
        </w:rPr>
        <w:t>在低阶退化先验的基础上，不同电池单体仍会受到制造偏差、循环工况以及批次差异等因素的影响，表现出相对于全局退化趋势的个体化偏离。为刻画难以由低阶退化先验描述的局部退化特征，进一步构建残差时序模块，使模型学习真实SOH与低阶退化先验间的残差映射。具体而言，对于第</w:t>
      </w:r>
      <w:r>
        <w:rPr>
          <w:position w:val="-6"/>
        </w:rPr>
        <w:object>
          <v:shape id="_x0000_i1079" o:spt="75" type="#_x0000_t75" style="height:13.1pt;width:6.55pt;" o:ole="t" filled="f" o:preferrelative="t" stroked="f" coordsize="21600,21600">
            <v:path/>
            <v:fill on="f" focussize="0,0"/>
            <v:stroke on="f" joinstyle="miter"/>
            <v:imagedata r:id="rId115" o:title=""/>
            <o:lock v:ext="edit" aspectratio="t"/>
            <w10:wrap type="none"/>
            <w10:anchorlock/>
          </v:shape>
          <o:OLEObject Type="Embed" ProgID="Equation.DSMT4" ShapeID="_x0000_i1079" DrawAspect="Content" ObjectID="_1468075779" r:id="rId114">
            <o:LockedField>false</o:LockedField>
          </o:OLEObject>
        </w:object>
      </w:r>
      <w:r>
        <w:rPr>
          <w:rFonts w:hint="eastAsia" w:cs="Times New Roman"/>
        </w:rPr>
        <w:t>个样本，其残差目标定义为，</w:t>
      </w:r>
    </w:p>
    <w:p w14:paraId="2292FB08">
      <w:pPr>
        <w:pStyle w:val="49"/>
      </w:pPr>
      <w:r>
        <w:rPr>
          <w:rFonts w:hint="eastAsia"/>
        </w:rPr>
        <w:tab/>
      </w:r>
      <w:r>
        <w:rPr>
          <w:position w:val="-12"/>
        </w:rPr>
        <w:object>
          <v:shape id="_x0000_i1080" o:spt="75" type="#_x0000_t75" style="height:18.7pt;width:81.35pt;" o:ole="t" filled="f" o:preferrelative="t" stroked="f" coordsize="21600,21600">
            <v:path/>
            <v:fill on="f" focussize="0,0"/>
            <v:stroke on="f" joinstyle="miter"/>
            <v:imagedata r:id="rId117" o:title=""/>
            <o:lock v:ext="edit" aspectratio="t"/>
            <w10:wrap type="none"/>
            <w10:anchorlock/>
          </v:shape>
          <o:OLEObject Type="Embed" ProgID="Equation.DSMT4" ShapeID="_x0000_i1080" DrawAspect="Content" ObjectID="_1468075780" r:id="rId116">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w:instrText>
      </w:r>
      <w:r>
        <w:rPr>
          <w:rFonts w:hint="eastAsia"/>
          <w:position w:val="-4"/>
        </w:rPr>
        <w:instrText xml:space="preserve">R</w:instrText>
      </w:r>
      <w:r>
        <w:rPr>
          <w:rFonts w:hint="eastAsia"/>
        </w:rPr>
        <w:instrText xml:space="preserve">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10</w:instrText>
      </w:r>
      <w:r>
        <w:fldChar w:fldCharType="end"/>
      </w:r>
      <w:r>
        <w:rPr>
          <w:rFonts w:hint="eastAsia"/>
        </w:rPr>
        <w:instrText xml:space="preserve">)</w:instrText>
      </w:r>
      <w:r>
        <w:fldChar w:fldCharType="separate"/>
      </w:r>
      <w:r>
        <w:rPr>
          <w:rFonts w:hint="eastAsia"/>
        </w:rPr>
        <w:fldChar w:fldCharType="end"/>
      </w:r>
    </w:p>
    <w:p w14:paraId="7BB5244A">
      <w:pPr>
        <w:ind w:firstLine="420"/>
      </w:pPr>
      <w:r>
        <w:rPr>
          <w:rFonts w:hint="eastAsia" w:cs="Times New Roman"/>
        </w:rPr>
        <w:t>残差网络的输出表示为，</w:t>
      </w:r>
      <w:r>
        <w:rPr>
          <w:rFonts w:hint="eastAsia"/>
        </w:rPr>
        <w:fldChar w:fldCharType="begin"/>
      </w:r>
      <w:r>
        <w:rPr>
          <w:rFonts w:hint="eastAsia"/>
        </w:rPr>
        <w:instrText xml:space="preserve"> MACROBUTTON MTPlaceRef \* MERGEFORMAT </w:instrText>
      </w:r>
      <w:r>
        <w:fldChar w:fldCharType="separate"/>
      </w:r>
      <w:r>
        <w:rPr>
          <w:rFonts w:hint="eastAsia"/>
        </w:rPr>
        <w:fldChar w:fldCharType="end"/>
      </w:r>
    </w:p>
    <w:p w14:paraId="6F3E2889">
      <w:pPr>
        <w:pStyle w:val="49"/>
        <w:rPr>
          <w:rFonts w:cs="Times New Roman"/>
        </w:rPr>
      </w:pPr>
      <w:r>
        <w:rPr>
          <w:rFonts w:hint="eastAsia"/>
        </w:rPr>
        <w:tab/>
      </w:r>
      <w:r>
        <w:rPr>
          <w:position w:val="-12"/>
        </w:rPr>
        <w:object>
          <v:shape id="_x0000_i1081" o:spt="75" type="#_x0000_t75" style="height:18.7pt;width:81.35pt;" o:ole="t" filled="f" o:preferrelative="t" stroked="f" coordsize="21600,21600">
            <v:path/>
            <v:fill on="f" focussize="0,0"/>
            <v:stroke on="f" joinstyle="miter"/>
            <v:imagedata r:id="rId119" o:title=""/>
            <o:lock v:ext="edit" aspectratio="t"/>
            <w10:wrap type="none"/>
            <w10:anchorlock/>
          </v:shape>
          <o:OLEObject Type="Embed" ProgID="Equation.DSMT4" ShapeID="_x0000_i1081" DrawAspect="Content" ObjectID="_1468075781" r:id="rId118">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w:instrText>
      </w:r>
      <w:r>
        <w:rPr>
          <w:rFonts w:hint="eastAsia"/>
          <w:position w:val="-4"/>
        </w:rPr>
        <w:instrText xml:space="preserve">R</w:instrText>
      </w:r>
      <w:r>
        <w:rPr>
          <w:rFonts w:hint="eastAsia"/>
        </w:rPr>
        <w:instrText xml:space="preserve">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11</w:instrText>
      </w:r>
      <w:r>
        <w:fldChar w:fldCharType="end"/>
      </w:r>
      <w:r>
        <w:rPr>
          <w:rFonts w:hint="eastAsia"/>
        </w:rPr>
        <w:instrText xml:space="preserve">)</w:instrText>
      </w:r>
      <w:r>
        <w:fldChar w:fldCharType="separate"/>
      </w:r>
      <w:r>
        <w:rPr>
          <w:rFonts w:hint="eastAsia"/>
        </w:rPr>
        <w:fldChar w:fldCharType="end"/>
      </w:r>
    </w:p>
    <w:p w14:paraId="3EA60123">
      <w:pPr>
        <w:ind w:firstLine="420"/>
        <w:rPr>
          <w:rFonts w:cs="Times New Roman"/>
        </w:rPr>
      </w:pPr>
      <w:r>
        <w:rPr>
          <w:rFonts w:hint="eastAsia" w:cs="Times New Roman"/>
        </w:rPr>
        <w:t>因此，SOH预测结果可写为，</w:t>
      </w:r>
    </w:p>
    <w:p w14:paraId="01866ED1">
      <w:pPr>
        <w:pStyle w:val="49"/>
        <w:rPr>
          <w:rFonts w:cs="Times New Roman"/>
        </w:rPr>
      </w:pPr>
      <w:r>
        <w:rPr>
          <w:rFonts w:hint="eastAsia"/>
        </w:rPr>
        <w:tab/>
      </w:r>
      <w:r>
        <w:rPr>
          <w:position w:val="-12"/>
        </w:rPr>
        <w:object>
          <v:shape id="_x0000_i1082" o:spt="75" type="#_x0000_t75" style="height:18.7pt;width:81.35pt;" o:ole="t" filled="f" o:preferrelative="t" stroked="f" coordsize="21600,21600">
            <v:path/>
            <v:fill on="f" focussize="0,0"/>
            <v:stroke on="f" joinstyle="miter"/>
            <v:imagedata r:id="rId121" o:title=""/>
            <o:lock v:ext="edit" aspectratio="t"/>
            <w10:wrap type="none"/>
            <w10:anchorlock/>
          </v:shape>
          <o:OLEObject Type="Embed" ProgID="Equation.DSMT4" ShapeID="_x0000_i1082" DrawAspect="Content" ObjectID="_1468075782" r:id="rId120">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w:instrText>
      </w:r>
      <w:r>
        <w:rPr>
          <w:rFonts w:hint="eastAsia"/>
          <w:position w:val="-4"/>
        </w:rPr>
        <w:instrText xml:space="preserve">R</w:instrText>
      </w:r>
      <w:r>
        <w:rPr>
          <w:rFonts w:hint="eastAsia"/>
        </w:rPr>
        <w:instrText xml:space="preserve">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12</w:instrText>
      </w:r>
      <w:r>
        <w:fldChar w:fldCharType="end"/>
      </w:r>
      <w:r>
        <w:rPr>
          <w:rFonts w:hint="eastAsia"/>
        </w:rPr>
        <w:instrText xml:space="preserve">)</w:instrText>
      </w:r>
      <w:r>
        <w:fldChar w:fldCharType="separate"/>
      </w:r>
      <w:r>
        <w:rPr>
          <w:rFonts w:hint="eastAsia"/>
        </w:rPr>
        <w:fldChar w:fldCharType="end"/>
      </w:r>
    </w:p>
    <w:p w14:paraId="1D55E5E6">
      <w:r>
        <w:rPr>
          <w:rFonts w:hint="eastAsia" w:cs="Times New Roman"/>
        </w:rPr>
        <w:t>其中，</w:t>
      </w:r>
      <w:r>
        <w:rPr>
          <w:position w:val="-12"/>
        </w:rPr>
        <w:object>
          <v:shape id="_x0000_i1083" o:spt="75" type="#_x0000_t75" style="height:18.7pt;width:9.35pt;" o:ole="t" filled="f" o:preferrelative="t" stroked="f" coordsize="21600,21600">
            <v:path/>
            <v:fill on="f" focussize="0,0"/>
            <v:stroke on="f" joinstyle="miter"/>
            <v:imagedata r:id="rId123" o:title=""/>
            <o:lock v:ext="edit" aspectratio="t"/>
            <w10:wrap type="none"/>
            <w10:anchorlock/>
          </v:shape>
          <o:OLEObject Type="Embed" ProgID="Equation.DSMT4" ShapeID="_x0000_i1083" DrawAspect="Content" ObjectID="_1468075783" r:id="rId122">
            <o:LockedField>false</o:LockedField>
          </o:OLEObject>
        </w:object>
      </w:r>
      <w:r>
        <w:rPr>
          <w:rFonts w:hint="eastAsia" w:cs="Times New Roman"/>
        </w:rPr>
        <w:t xml:space="preserve"> 表示网络学习得到的局部残差校正项。残差分支采用一维卷积提取充电电压轨迹中的局部时序特征，并通过循环单元对重构后的序列表示进行建模，以学习电池退化过程中的长期时序依赖关系。其过程可表示为，</w:t>
      </w:r>
    </w:p>
    <w:p w14:paraId="03617536">
      <w:pPr>
        <w:pStyle w:val="49"/>
      </w:pPr>
      <w:r>
        <w:rPr>
          <w:rFonts w:hint="eastAsia"/>
        </w:rPr>
        <w:tab/>
      </w:r>
      <w:r>
        <w:rPr>
          <w:position w:val="-12"/>
        </w:rPr>
        <w:object>
          <v:shape id="_x0000_i1084" o:spt="75" type="#_x0000_t75" style="height:18.7pt;width:62.65pt;" o:ole="t" filled="f" o:preferrelative="t" stroked="f" coordsize="21600,21600">
            <v:path/>
            <v:fill on="f" focussize="0,0"/>
            <v:stroke on="f" joinstyle="miter"/>
            <v:imagedata r:id="rId125" o:title=""/>
            <o:lock v:ext="edit" aspectratio="t"/>
            <w10:wrap type="none"/>
            <w10:anchorlock/>
          </v:shape>
          <o:OLEObject Type="Embed" ProgID="Equation.DSMT4" ShapeID="_x0000_i1084" DrawAspect="Content" ObjectID="_1468075784" r:id="rId124">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w:instrText>
      </w:r>
      <w:r>
        <w:rPr>
          <w:rFonts w:hint="eastAsia"/>
          <w:position w:val="-4"/>
        </w:rPr>
        <w:instrText xml:space="preserve">R</w:instrText>
      </w:r>
      <w:r>
        <w:rPr>
          <w:rFonts w:hint="eastAsia"/>
        </w:rPr>
        <w:instrText xml:space="preserve">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13</w:instrText>
      </w:r>
      <w:r>
        <w:fldChar w:fldCharType="end"/>
      </w:r>
      <w:r>
        <w:rPr>
          <w:rFonts w:hint="eastAsia"/>
        </w:rPr>
        <w:instrText xml:space="preserve">)</w:instrText>
      </w:r>
      <w:r>
        <w:fldChar w:fldCharType="separate"/>
      </w:r>
      <w:r>
        <w:rPr>
          <w:rFonts w:hint="eastAsia"/>
        </w:rPr>
        <w:fldChar w:fldCharType="end"/>
      </w:r>
    </w:p>
    <w:p w14:paraId="4CDA50A0">
      <w:pPr>
        <w:pStyle w:val="49"/>
      </w:pPr>
      <w:r>
        <w:rPr>
          <w:rFonts w:hint="eastAsia"/>
        </w:rPr>
        <w:tab/>
      </w:r>
      <w:r>
        <w:rPr>
          <w:position w:val="-12"/>
        </w:rPr>
        <w:object>
          <v:shape id="_x0000_i1085" o:spt="75" type="#_x0000_t75" style="height:18.7pt;width:65.45pt;" o:ole="t" filled="f" o:preferrelative="t" stroked="f" coordsize="21600,21600">
            <v:path/>
            <v:fill on="f" focussize="0,0"/>
            <v:stroke on="f" joinstyle="miter"/>
            <v:imagedata r:id="rId127" o:title=""/>
            <o:lock v:ext="edit" aspectratio="t"/>
            <w10:wrap type="none"/>
            <w10:anchorlock/>
          </v:shape>
          <o:OLEObject Type="Embed" ProgID="Equation.DSMT4" ShapeID="_x0000_i1085" DrawAspect="Content" ObjectID="_1468075785" r:id="rId126">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w:instrText>
      </w:r>
      <w:r>
        <w:rPr>
          <w:rFonts w:hint="eastAsia"/>
          <w:position w:val="-4"/>
        </w:rPr>
        <w:instrText xml:space="preserve">R</w:instrText>
      </w:r>
      <w:r>
        <w:rPr>
          <w:rFonts w:hint="eastAsia"/>
        </w:rPr>
        <w:instrText xml:space="preserve">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14</w:instrText>
      </w:r>
      <w:r>
        <w:fldChar w:fldCharType="end"/>
      </w:r>
      <w:r>
        <w:rPr>
          <w:rFonts w:hint="eastAsia"/>
        </w:rPr>
        <w:instrText xml:space="preserve">)</w:instrText>
      </w:r>
      <w:r>
        <w:fldChar w:fldCharType="separate"/>
      </w:r>
      <w:r>
        <w:rPr>
          <w:rFonts w:hint="eastAsia"/>
        </w:rPr>
        <w:fldChar w:fldCharType="end"/>
      </w:r>
    </w:p>
    <w:p w14:paraId="6E53EE90">
      <w:pPr>
        <w:rPr>
          <w:rFonts w:cs="Times New Roman"/>
        </w:rPr>
      </w:pPr>
      <w:r>
        <w:rPr>
          <w:rFonts w:hint="eastAsia" w:cs="Times New Roman"/>
        </w:rPr>
        <w:t>其中，</w:t>
      </w:r>
      <w:r>
        <w:rPr>
          <w:position w:val="-12"/>
        </w:rPr>
        <w:object>
          <v:shape id="_x0000_i1086" o:spt="75" type="#_x0000_t75" style="height:18.7pt;width:29.9pt;" o:ole="t" filled="f" o:preferrelative="t" stroked="f" coordsize="21600,21600">
            <v:path/>
            <v:fill on="f" focussize="0,0"/>
            <v:stroke on="f" joinstyle="miter"/>
            <v:imagedata r:id="rId129" o:title=""/>
            <o:lock v:ext="edit" aspectratio="t"/>
            <w10:wrap type="none"/>
            <w10:anchorlock/>
          </v:shape>
          <o:OLEObject Type="Embed" ProgID="Equation.DSMT4" ShapeID="_x0000_i1086" DrawAspect="Content" ObjectID="_1468075786" r:id="rId128">
            <o:LockedField>false</o:LockedField>
          </o:OLEObject>
        </w:object>
      </w:r>
      <w:r>
        <w:rPr>
          <w:rFonts w:hint="eastAsia" w:cs="Times New Roman"/>
        </w:rPr>
        <w:t>表示一维卷积，</w:t>
      </w:r>
      <w:r>
        <w:rPr>
          <w:position w:val="-12"/>
        </w:rPr>
        <w:object>
          <v:shape id="_x0000_i1087" o:spt="75" type="#_x0000_t75" style="height:18.7pt;width:15.9pt;" o:ole="t" filled="f" o:preferrelative="t" stroked="f" coordsize="21600,21600">
            <v:path/>
            <v:fill on="f" focussize="0,0"/>
            <v:stroke on="f" joinstyle="miter"/>
            <v:imagedata r:id="rId131" o:title=""/>
            <o:lock v:ext="edit" aspectratio="t"/>
            <w10:wrap type="none"/>
            <w10:anchorlock/>
          </v:shape>
          <o:OLEObject Type="Embed" ProgID="Equation.DSMT4" ShapeID="_x0000_i1087" DrawAspect="Content" ObjectID="_1468075787" r:id="rId130">
            <o:LockedField>false</o:LockedField>
          </o:OLEObject>
        </w:object>
      </w:r>
      <w:r>
        <w:rPr>
          <w:rFonts w:hint="eastAsia" w:cs="Times New Roman"/>
        </w:rPr>
        <w:t>为局部电压轨迹特征，</w:t>
      </w:r>
      <w:r>
        <w:rPr>
          <w:position w:val="-12"/>
        </w:rPr>
        <w:object>
          <v:shape id="_x0000_i1088" o:spt="75" type="#_x0000_t75" style="height:18.7pt;width:29.9pt;" o:ole="t" filled="f" o:preferrelative="t" stroked="f" coordsize="21600,21600">
            <v:path/>
            <v:fill on="f" focussize="0,0"/>
            <v:stroke on="f" joinstyle="miter"/>
            <v:imagedata r:id="rId133" o:title=""/>
            <o:lock v:ext="edit" aspectratio="t"/>
            <w10:wrap type="none"/>
            <w10:anchorlock/>
          </v:shape>
          <o:OLEObject Type="Embed" ProgID="Equation.DSMT4" ShapeID="_x0000_i1088" DrawAspect="Content" ObjectID="_1468075788" r:id="rId132">
            <o:LockedField>false</o:LockedField>
          </o:OLEObject>
        </w:object>
      </w:r>
      <w:r>
        <w:rPr>
          <w:rFonts w:hint="eastAsia" w:cs="Times New Roman"/>
        </w:rPr>
        <w:t>是循环单元，</w:t>
      </w:r>
      <w:r>
        <w:rPr>
          <w:position w:val="-14"/>
        </w:rPr>
        <w:object>
          <v:shape id="_x0000_i1089" o:spt="75" type="#_x0000_t75" style="height:18.7pt;width:101.9pt;" o:ole="t" filled="f" o:preferrelative="t" stroked="f" coordsize="21600,21600">
            <v:path/>
            <v:fill on="f" focussize="0,0"/>
            <v:stroke on="f" joinstyle="miter"/>
            <v:imagedata r:id="rId135" o:title=""/>
            <o:lock v:ext="edit" aspectratio="t"/>
            <w10:wrap type="none"/>
            <w10:anchorlock/>
          </v:shape>
          <o:OLEObject Type="Embed" ProgID="Equation.DSMT4" ShapeID="_x0000_i1089" DrawAspect="Content" ObjectID="_1468075789" r:id="rId134">
            <o:LockedField>false</o:LockedField>
          </o:OLEObject>
        </w:object>
      </w:r>
      <w:r>
        <w:rPr>
          <w:rFonts w:hint="eastAsia" w:cs="Times New Roman"/>
        </w:rPr>
        <w:t>为输出的序列特征。该残差建模方式将全局退化趋势与局部退化偏差解耦，使模型无需直接拟合完整SOH曲线，而是关注个体化退化模式。</w:t>
      </w:r>
    </w:p>
    <w:p w14:paraId="24F40A24">
      <w:pPr>
        <w:rPr>
          <w:rFonts w:cs="Times New Roman"/>
          <w:b/>
          <w:bCs/>
          <w:color w:val="2F5496"/>
          <w:szCs w:val="21"/>
        </w:rPr>
      </w:pPr>
      <w:r>
        <w:rPr>
          <w:rFonts w:hint="eastAsia" w:cs="Times New Roman"/>
          <w:b/>
          <w:bCs/>
          <w:color w:val="2F5496"/>
          <w:szCs w:val="21"/>
        </w:rPr>
        <w:t>3.4 Degradation-state-guided Curve Attention for Temporal Aggregation</w:t>
      </w:r>
    </w:p>
    <w:p w14:paraId="363533D9">
      <w:pPr>
        <w:ind w:firstLine="420" w:firstLineChars="200"/>
      </w:pPr>
      <w:r>
        <w:rPr>
          <w:rFonts w:hint="eastAsia" w:cs="Times New Roman"/>
        </w:rPr>
        <w:t>在 residual temporal branch 中，充电电压轨迹经过局部卷积与循环单元编码后，可得到一组时序隐状态表示。对于第 i 个样本，该序列表示记为，</w:t>
      </w:r>
    </w:p>
    <w:p w14:paraId="780A9803">
      <w:pPr>
        <w:pStyle w:val="49"/>
        <w:ind w:firstLine="420" w:firstLineChars="200"/>
      </w:pPr>
      <w:r>
        <w:rPr>
          <w:rFonts w:hint="eastAsia"/>
        </w:rPr>
        <w:tab/>
      </w:r>
      <w:r>
        <w:rPr>
          <w:position w:val="-16"/>
        </w:rPr>
        <w:object>
          <v:shape id="_x0000_i1090" o:spt="75" type="#_x0000_t75" style="height:21.5pt;width:110.35pt;" o:ole="t" filled="f" o:preferrelative="t" stroked="f" coordsize="21600,21600">
            <v:path/>
            <v:fill on="f" focussize="0,0"/>
            <v:stroke on="f" joinstyle="miter"/>
            <v:imagedata r:id="rId137" o:title=""/>
            <o:lock v:ext="edit" aspectratio="t"/>
            <w10:wrap type="none"/>
            <w10:anchorlock/>
          </v:shape>
          <o:OLEObject Type="Embed" ProgID="Equation.DSMT4" ShapeID="_x0000_i1090" DrawAspect="Content" ObjectID="_1468075790" r:id="rId136">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w:instrText>
      </w:r>
      <w:r>
        <w:rPr>
          <w:rFonts w:hint="eastAsia"/>
          <w:position w:val="-4"/>
        </w:rPr>
        <w:instrText xml:space="preserve">O</w:instrText>
      </w:r>
      <w:r>
        <w:rPr>
          <w:rFonts w:hint="eastAsia"/>
        </w:rPr>
        <w:instrText xml:space="preserve">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15</w:instrText>
      </w:r>
      <w:r>
        <w:fldChar w:fldCharType="end"/>
      </w:r>
      <w:r>
        <w:rPr>
          <w:rFonts w:hint="eastAsia"/>
        </w:rPr>
        <w:instrText xml:space="preserve">)</w:instrText>
      </w:r>
      <w:r>
        <w:fldChar w:fldCharType="separate"/>
      </w:r>
      <w:r>
        <w:rPr>
          <w:rFonts w:hint="eastAsia"/>
        </w:rPr>
        <w:fldChar w:fldCharType="end"/>
      </w:r>
    </w:p>
    <w:p w14:paraId="0023C19C">
      <w:pPr>
        <w:rPr>
          <w:rFonts w:cs="Times New Roman"/>
        </w:rPr>
      </w:pPr>
      <w:r>
        <w:rPr>
          <w:rFonts w:hint="eastAsia" w:cs="Times New Roman"/>
        </w:rPr>
        <w:t>其中，</w:t>
      </w:r>
      <w:r>
        <w:rPr>
          <w:position w:val="-14"/>
        </w:rPr>
        <w:object>
          <v:shape id="_x0000_i1091" o:spt="75" type="#_x0000_t75" style="height:19.65pt;width:20.55pt;" o:ole="t" filled="f" o:preferrelative="t" stroked="f" coordsize="21600,21600">
            <v:path/>
            <v:fill on="f" focussize="0,0"/>
            <v:stroke on="f" joinstyle="miter"/>
            <v:imagedata r:id="rId139" o:title=""/>
            <o:lock v:ext="edit" aspectratio="t"/>
            <w10:wrap type="none"/>
            <w10:anchorlock/>
          </v:shape>
          <o:OLEObject Type="Embed" ProgID="Equation.DSMT4" ShapeID="_x0000_i1091" DrawAspect="Content" ObjectID="_1468075791" r:id="rId138">
            <o:LockedField>false</o:LockedField>
          </o:OLEObject>
        </w:object>
      </w:r>
      <w:r>
        <w:rPr>
          <w:rFonts w:hint="eastAsia" w:cs="Times New Roman"/>
        </w:rPr>
        <w:t xml:space="preserve">表示第 t 个局部时序位置的隐状态，T 为序列长度。常规注意力机制通常仅依据 </w:t>
      </w:r>
      <w:r>
        <w:rPr>
          <w:position w:val="-14"/>
        </w:rPr>
        <w:object>
          <v:shape id="_x0000_i1092" o:spt="75" type="#_x0000_t75" style="height:19.65pt;width:15.9pt;" o:ole="t" filled="f" o:preferrelative="t" stroked="f" coordsize="21600,21600">
            <v:path/>
            <v:fill on="f" focussize="0,0"/>
            <v:stroke on="f" joinstyle="miter"/>
            <v:imagedata r:id="rId141" o:title=""/>
            <o:lock v:ext="edit" aspectratio="t"/>
            <w10:wrap type="none"/>
            <w10:anchorlock/>
          </v:shape>
          <o:OLEObject Type="Embed" ProgID="Equation.DSMT4" ShapeID="_x0000_i1092" DrawAspect="Content" ObjectID="_1468075792" r:id="rId140">
            <o:LockedField>false</o:LockedField>
          </o:OLEObject>
        </w:object>
      </w:r>
      <w:r>
        <w:rPr>
          <w:rFonts w:hint="eastAsia" w:cs="Times New Roman"/>
        </w:rPr>
        <w:t xml:space="preserve"> 计算各位置的重要性，难以区分不同退化阶段下局部曲线片段对 SOH 估计的贡献差异。为此，构建一种degradation-state-guided curve attention 机制，在时序聚合过程中建立退化状态向量与曲线局部形态 token，使模型能够根据电池当前退化水平对局部时序信息进行自适应聚焦，如图 5 所示。</w:t>
      </w:r>
    </w:p>
    <w:p w14:paraId="3CD057AB">
      <w:pPr>
        <w:jc w:val="center"/>
      </w:pPr>
      <w:r>
        <w:rPr>
          <w:rFonts w:hint="eastAsia"/>
        </w:rPr>
        <w:drawing>
          <wp:inline distT="0" distB="0" distL="114300" distR="114300">
            <wp:extent cx="3030855" cy="4284980"/>
            <wp:effectExtent l="0" t="0" r="17145" b="1270"/>
            <wp:docPr id="16" name="图片 16" descr="flow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lowchat"/>
                    <pic:cNvPicPr>
                      <a:picLocks noChangeAspect="1"/>
                    </pic:cNvPicPr>
                  </pic:nvPicPr>
                  <pic:blipFill>
                    <a:blip r:embed="rId142"/>
                    <a:stretch>
                      <a:fillRect/>
                    </a:stretch>
                  </pic:blipFill>
                  <pic:spPr>
                    <a:xfrm>
                      <a:off x="0" y="0"/>
                      <a:ext cx="3030855" cy="4284980"/>
                    </a:xfrm>
                    <a:prstGeom prst="rect">
                      <a:avLst/>
                    </a:prstGeom>
                  </pic:spPr>
                </pic:pic>
              </a:graphicData>
            </a:graphic>
          </wp:inline>
        </w:drawing>
      </w:r>
    </w:p>
    <w:p w14:paraId="3F0153FB">
      <w:pPr>
        <w:jc w:val="center"/>
        <w:rPr>
          <w:rFonts w:cs="Times New Roman"/>
        </w:rPr>
      </w:pPr>
      <w:r>
        <w:rPr>
          <w:rFonts w:cs="Times New Roman"/>
          <w:b/>
          <w:bCs/>
          <w:color w:val="203864" w:themeColor="accent1" w:themeShade="80"/>
          <w:sz w:val="18"/>
          <w:szCs w:val="18"/>
        </w:rPr>
        <w:t>Fig.</w:t>
      </w:r>
      <w:r>
        <w:rPr>
          <w:rFonts w:hint="eastAsia" w:cs="Times New Roman"/>
          <w:b/>
          <w:bCs/>
          <w:color w:val="203864" w:themeColor="accent1" w:themeShade="80"/>
          <w:sz w:val="18"/>
          <w:szCs w:val="18"/>
        </w:rPr>
        <w:t>5</w:t>
      </w:r>
      <w:r>
        <w:rPr>
          <w:rFonts w:cs="Times New Roman"/>
          <w:sz w:val="18"/>
          <w:szCs w:val="18"/>
        </w:rPr>
        <w:t xml:space="preserve"> Flowchart of degradation-state-guided curve attention for temporal aggregation</w:t>
      </w:r>
    </w:p>
    <w:p w14:paraId="3F9CC22E">
      <w:pPr>
        <w:ind w:firstLine="420" w:firstLineChars="200"/>
        <w:rPr>
          <w:rFonts w:cs="Times New Roman"/>
        </w:rPr>
      </w:pPr>
      <w:r>
        <w:rPr>
          <w:rFonts w:hint="eastAsia" w:cs="Times New Roman"/>
        </w:rPr>
        <w:t>首先，根据归一化循环位置及低阶非线性退化先验输出构造退化状态向量，</w:t>
      </w:r>
    </w:p>
    <w:p w14:paraId="0F5D5DA4">
      <w:pPr>
        <w:pStyle w:val="49"/>
        <w:ind w:firstLine="420" w:firstLineChars="200"/>
      </w:pPr>
      <w:r>
        <w:rPr>
          <w:rFonts w:hint="eastAsia"/>
        </w:rPr>
        <w:tab/>
      </w:r>
      <w:r>
        <w:rPr>
          <w:position w:val="-16"/>
        </w:rPr>
        <w:object>
          <v:shape id="_x0000_i1093" o:spt="75" type="#_x0000_t75" style="height:21.5pt;width:119.7pt;" o:ole="t" filled="f" o:preferrelative="t" stroked="f" coordsize="21600,21600">
            <v:path/>
            <v:fill on="f" focussize="0,0"/>
            <v:stroke on="f" joinstyle="miter"/>
            <v:imagedata r:id="rId144" o:title=""/>
            <o:lock v:ext="edit" aspectratio="t"/>
            <w10:wrap type="none"/>
            <w10:anchorlock/>
          </v:shape>
          <o:OLEObject Type="Embed" ProgID="Equation.DSMT4" ShapeID="_x0000_i1093" DrawAspect="Content" ObjectID="_1468075793" r:id="rId143">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w:instrText>
      </w:r>
      <w:r>
        <w:rPr>
          <w:rFonts w:hint="eastAsia"/>
          <w:position w:val="-4"/>
        </w:rPr>
        <w:instrText xml:space="preserve">O</w:instrText>
      </w:r>
      <w:r>
        <w:rPr>
          <w:rFonts w:hint="eastAsia"/>
        </w:rPr>
        <w:instrText xml:space="preserve">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16</w:instrText>
      </w:r>
      <w:r>
        <w:fldChar w:fldCharType="end"/>
      </w:r>
      <w:r>
        <w:rPr>
          <w:rFonts w:hint="eastAsia"/>
        </w:rPr>
        <w:instrText xml:space="preserve">)</w:instrText>
      </w:r>
      <w:r>
        <w:fldChar w:fldCharType="separate"/>
      </w:r>
      <w:r>
        <w:rPr>
          <w:rFonts w:hint="eastAsia"/>
        </w:rPr>
        <w:fldChar w:fldCharType="end"/>
      </w:r>
    </w:p>
    <w:p w14:paraId="482F5A4B">
      <w:r>
        <w:rPr>
          <w:rFonts w:hint="eastAsia"/>
        </w:rPr>
        <w:t>其中，</w:t>
      </w:r>
      <w:r>
        <w:rPr>
          <w:position w:val="-12"/>
        </w:rPr>
        <w:object>
          <v:shape id="_x0000_i1094" o:spt="75" type="#_x0000_t75" style="height:18.7pt;width:13.1pt;" o:ole="t" filled="f" o:preferrelative="t" stroked="f" coordsize="21600,21600">
            <v:path/>
            <v:fill on="f" focussize="0,0"/>
            <v:stroke on="f" joinstyle="miter"/>
            <v:imagedata r:id="rId146" o:title=""/>
            <o:lock v:ext="edit" aspectratio="t"/>
            <w10:wrap type="none"/>
            <w10:anchorlock/>
          </v:shape>
          <o:OLEObject Type="Embed" ProgID="Equation.DSMT4" ShapeID="_x0000_i1094" DrawAspect="Content" ObjectID="_1468075794" r:id="rId145">
            <o:LockedField>false</o:LockedField>
          </o:OLEObject>
        </w:object>
      </w:r>
      <w:r>
        <w:rPr>
          <w:rFonts w:hint="eastAsia"/>
        </w:rPr>
        <w:t xml:space="preserve"> 表示归一化循环位置，</w:t>
      </w:r>
      <w:r>
        <w:rPr>
          <w:position w:val="-14"/>
        </w:rPr>
        <w:object>
          <v:shape id="_x0000_i1095" o:spt="75" type="#_x0000_t75" style="height:19.65pt;width:29.9pt;" o:ole="t" filled="f" o:preferrelative="t" stroked="f" coordsize="21600,21600">
            <v:path/>
            <v:fill on="f" focussize="0,0"/>
            <v:stroke on="f" joinstyle="miter"/>
            <v:imagedata r:id="rId148" o:title=""/>
            <o:lock v:ext="edit" aspectratio="t"/>
            <w10:wrap type="none"/>
            <w10:anchorlock/>
          </v:shape>
          <o:OLEObject Type="Embed" ProgID="Equation.DSMT4" ShapeID="_x0000_i1095" DrawAspect="Content" ObjectID="_1468075795" r:id="rId147">
            <o:LockedField>false</o:LockedField>
          </o:OLEObject>
        </w:object>
      </w:r>
      <w:r>
        <w:rPr>
          <w:rFonts w:hint="eastAsia"/>
        </w:rPr>
        <w:t xml:space="preserve"> 表示由低阶非线性退化先验得到的全局退化参考值，</w:t>
      </w:r>
      <w:r>
        <w:rPr>
          <w:position w:val="-14"/>
        </w:rPr>
        <w:object>
          <v:shape id="_x0000_i1096" o:spt="75" type="#_x0000_t75" style="height:19.65pt;width:43.95pt;" o:ole="t" filled="f" o:preferrelative="t" stroked="f" coordsize="21600,21600">
            <v:path/>
            <v:fill on="f" focussize="0,0"/>
            <v:stroke on="f" joinstyle="miter"/>
            <v:imagedata r:id="rId150" o:title=""/>
            <o:lock v:ext="edit" aspectratio="t"/>
            <w10:wrap type="none"/>
            <w10:anchorlock/>
          </v:shape>
          <o:OLEObject Type="Embed" ProgID="Equation.DSMT4" ShapeID="_x0000_i1096" DrawAspect="Content" ObjectID="_1468075796" r:id="rId149">
            <o:LockedField>false</o:LockedField>
          </o:OLEObject>
        </w:object>
      </w:r>
      <w:r>
        <w:rPr>
          <w:rFonts w:hint="eastAsia"/>
        </w:rPr>
        <w:t xml:space="preserve"> 用于表征相对退化程度。该状态向量不直接替代电压轨迹特征，而是作为注意力计算中的条件信息，用于描述样本所处的退化阶段。</w:t>
      </w:r>
    </w:p>
    <w:p w14:paraId="2C4BEF86">
      <w:pPr>
        <w:ind w:firstLine="420" w:firstLineChars="200"/>
      </w:pPr>
      <w:r>
        <w:rPr>
          <w:rFonts w:hint="eastAsia"/>
        </w:rPr>
        <w:t>同时，为补充隐藏状态中可能被平滑的局部曲线变化信息，基于电压轨迹构造曲线形态 token，</w:t>
      </w:r>
    </w:p>
    <w:p w14:paraId="0E693E91">
      <w:pPr>
        <w:pStyle w:val="49"/>
        <w:ind w:firstLine="420" w:firstLineChars="200"/>
      </w:pPr>
      <w:r>
        <w:rPr>
          <w:rFonts w:hint="eastAsia"/>
        </w:rPr>
        <w:tab/>
      </w:r>
      <w:r>
        <w:rPr>
          <w:position w:val="-16"/>
        </w:rPr>
        <w:object>
          <v:shape id="_x0000_i1097" o:spt="75" type="#_x0000_t75" style="height:21.5pt;width:116.9pt;" o:ole="t" filled="f" o:preferrelative="t" stroked="f" coordsize="21600,21600">
            <v:path/>
            <v:fill on="f" focussize="0,0"/>
            <v:stroke on="f" joinstyle="miter"/>
            <v:imagedata r:id="rId152" o:title=""/>
            <o:lock v:ext="edit" aspectratio="t"/>
            <w10:wrap type="none"/>
            <w10:anchorlock/>
          </v:shape>
          <o:OLEObject Type="Embed" ProgID="Equation.DSMT4" ShapeID="_x0000_i1097" DrawAspect="Content" ObjectID="_1468075797" r:id="rId151">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w:instrText>
      </w:r>
      <w:r>
        <w:rPr>
          <w:rFonts w:hint="eastAsia"/>
          <w:position w:val="-4"/>
        </w:rPr>
        <w:instrText xml:space="preserve">O</w:instrText>
      </w:r>
      <w:r>
        <w:rPr>
          <w:rFonts w:hint="eastAsia"/>
        </w:rPr>
        <w:instrText xml:space="preserve">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17</w:instrText>
      </w:r>
      <w:r>
        <w:fldChar w:fldCharType="end"/>
      </w:r>
      <w:r>
        <w:rPr>
          <w:rFonts w:hint="eastAsia"/>
        </w:rPr>
        <w:instrText xml:space="preserve">)</w:instrText>
      </w:r>
      <w:r>
        <w:fldChar w:fldCharType="separate"/>
      </w:r>
      <w:r>
        <w:rPr>
          <w:rFonts w:hint="eastAsia"/>
        </w:rPr>
        <w:fldChar w:fldCharType="end"/>
      </w:r>
    </w:p>
    <w:p w14:paraId="2D39ED8B">
      <w:r>
        <w:t>其中，</w:t>
      </w:r>
      <w:r>
        <w:rPr>
          <w:position w:val="-14"/>
        </w:rPr>
        <w:object>
          <v:shape id="_x0000_i1098" o:spt="75" type="#_x0000_t75" style="height:19.65pt;width:15.9pt;" o:ole="t" filled="f" o:preferrelative="t" stroked="f" coordsize="21600,21600">
            <v:path/>
            <v:fill on="f" focussize="0,0"/>
            <v:stroke on="f" joinstyle="miter"/>
            <v:imagedata r:id="rId154" o:title=""/>
            <o:lock v:ext="edit" aspectratio="t"/>
            <w10:wrap type="none"/>
            <w10:anchorlock/>
          </v:shape>
          <o:OLEObject Type="Embed" ProgID="Equation.DSMT4" ShapeID="_x0000_i1098" DrawAspect="Content" ObjectID="_1468075798" r:id="rId153">
            <o:LockedField>false</o:LockedField>
          </o:OLEObject>
        </w:object>
      </w:r>
      <w:r>
        <w:t>表示第 t 个位置的电压值，</w:t>
      </w:r>
      <w:r>
        <w:rPr>
          <w:position w:val="-14"/>
        </w:rPr>
        <w:object>
          <v:shape id="_x0000_i1099" o:spt="75" type="#_x0000_t75" style="height:19.65pt;width:26.2pt;" o:ole="t" filled="f" o:preferrelative="t" stroked="f" coordsize="21600,21600">
            <v:path/>
            <v:fill on="f" focussize="0,0"/>
            <v:stroke on="f" joinstyle="miter"/>
            <v:imagedata r:id="rId156" o:title=""/>
            <o:lock v:ext="edit" aspectratio="t"/>
            <w10:wrap type="none"/>
            <w10:anchorlock/>
          </v:shape>
          <o:OLEObject Type="Embed" ProgID="Equation.DSMT4" ShapeID="_x0000_i1099" DrawAspect="Content" ObjectID="_1468075799" r:id="rId155">
            <o:LockedField>false</o:LockedField>
          </o:OLEObject>
        </w:object>
      </w:r>
      <w:r>
        <w:rPr>
          <w:rFonts w:hint="eastAsia"/>
        </w:rPr>
        <w:t>与</w:t>
      </w:r>
      <w:r>
        <w:t xml:space="preserve"> </w:t>
      </w:r>
      <w:r>
        <w:rPr>
          <w:position w:val="-14"/>
        </w:rPr>
        <w:object>
          <v:shape id="_x0000_i1100" o:spt="75" type="#_x0000_t75" style="height:20.55pt;width:28.05pt;" o:ole="t" filled="f" o:preferrelative="t" stroked="f" coordsize="21600,21600">
            <v:path/>
            <v:fill on="f" focussize="0,0"/>
            <v:stroke on="f" joinstyle="miter"/>
            <v:imagedata r:id="rId158" o:title=""/>
            <o:lock v:ext="edit" aspectratio="t"/>
            <w10:wrap type="none"/>
            <w10:anchorlock/>
          </v:shape>
          <o:OLEObject Type="Embed" ProgID="Equation.DSMT4" ShapeID="_x0000_i1100" DrawAspect="Content" ObjectID="_1468075800" r:id="rId157">
            <o:LockedField>false</o:LockedField>
          </o:OLEObject>
        </w:object>
      </w:r>
      <w:r>
        <w:t>分别表示其一阶与二阶局部变化项。</w:t>
      </w:r>
      <w:r>
        <w:rPr>
          <w:rFonts w:hint="eastAsia"/>
        </w:rPr>
        <w:t>公式（17）</w:t>
      </w:r>
      <w:r>
        <w:t>用于刻画电压曲线的局部水平、斜率变化</w:t>
      </w:r>
      <w:r>
        <w:rPr>
          <w:rFonts w:hint="eastAsia"/>
        </w:rPr>
        <w:t>以及</w:t>
      </w:r>
      <w:r>
        <w:t>弯曲形态，为后续注意力分配提供曲线形态约束。</w:t>
      </w:r>
    </w:p>
    <w:p w14:paraId="1328849A">
      <w:pPr>
        <w:ind w:firstLine="420" w:firstLineChars="200"/>
      </w:pPr>
      <w:r>
        <w:t>在此基础上，退化状态向量被映射为阶段条件查询向量，</w:t>
      </w:r>
    </w:p>
    <w:p w14:paraId="2D8B09C0">
      <w:pPr>
        <w:pStyle w:val="49"/>
        <w:ind w:firstLine="420" w:firstLineChars="200"/>
      </w:pPr>
      <w:r>
        <w:rPr>
          <w:rFonts w:hint="eastAsia"/>
        </w:rPr>
        <w:tab/>
      </w:r>
      <w:r>
        <w:rPr>
          <w:position w:val="-14"/>
        </w:rPr>
        <w:object>
          <v:shape id="_x0000_i1101" o:spt="75" type="#_x0000_t75" style="height:20.55pt;width:81.35pt;" o:ole="t" filled="f" o:preferrelative="t" stroked="f" coordsize="21600,21600">
            <v:path/>
            <v:fill on="f" focussize="0,0"/>
            <v:stroke on="f" joinstyle="miter"/>
            <v:imagedata r:id="rId160" o:title=""/>
            <o:lock v:ext="edit" aspectratio="t"/>
            <w10:wrap type="none"/>
            <w10:anchorlock/>
          </v:shape>
          <o:OLEObject Type="Embed" ProgID="Equation.DSMT4" ShapeID="_x0000_i1101" DrawAspect="Content" ObjectID="_1468075801" r:id="rId159">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18</w:instrText>
      </w:r>
      <w:r>
        <w:fldChar w:fldCharType="end"/>
      </w:r>
      <w:r>
        <w:rPr>
          <w:rFonts w:hint="eastAsia"/>
        </w:rPr>
        <w:instrText xml:space="preserve">)</w:instrText>
      </w:r>
      <w:r>
        <w:fldChar w:fldCharType="separate"/>
      </w:r>
      <w:r>
        <w:rPr>
          <w:rFonts w:hint="eastAsia"/>
        </w:rPr>
        <w:fldChar w:fldCharType="end"/>
      </w:r>
    </w:p>
    <w:p w14:paraId="762B9C72">
      <w:pPr>
        <w:ind w:firstLine="420" w:firstLineChars="200"/>
      </w:pPr>
      <w:r>
        <w:rPr>
          <w:rFonts w:hint="eastAsia"/>
        </w:rPr>
        <w:t>随后，结合时序隐状态、曲线形态 token 以及阶段条件查询向量计算第 t 个位置的注意力得分，</w:t>
      </w:r>
    </w:p>
    <w:p w14:paraId="6B6EB64D">
      <w:pPr>
        <w:pStyle w:val="49"/>
        <w:ind w:firstLine="420" w:firstLineChars="200"/>
      </w:pPr>
      <w:r>
        <w:rPr>
          <w:rFonts w:hint="eastAsia"/>
        </w:rPr>
        <w:tab/>
      </w:r>
      <w:r>
        <w:rPr>
          <w:position w:val="-16"/>
        </w:rPr>
        <w:object>
          <v:shape id="_x0000_i1102" o:spt="75" type="#_x0000_t75" style="height:21.5pt;width:171.1pt;" o:ole="t" filled="f" o:preferrelative="t" stroked="f" coordsize="21600,21600">
            <v:path/>
            <v:fill on="f" focussize="0,0"/>
            <v:stroke on="f" joinstyle="miter"/>
            <v:imagedata r:id="rId162" o:title=""/>
            <o:lock v:ext="edit" aspectratio="t"/>
            <w10:wrap type="none"/>
            <w10:anchorlock/>
          </v:shape>
          <o:OLEObject Type="Embed" ProgID="Equation.DSMT4" ShapeID="_x0000_i1102" DrawAspect="Content" ObjectID="_1468075802" r:id="rId161">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19</w:instrText>
      </w:r>
      <w:r>
        <w:fldChar w:fldCharType="end"/>
      </w:r>
      <w:r>
        <w:rPr>
          <w:rFonts w:hint="eastAsia"/>
        </w:rPr>
        <w:instrText xml:space="preserve">)</w:instrText>
      </w:r>
      <w:r>
        <w:fldChar w:fldCharType="separate"/>
      </w:r>
      <w:r>
        <w:rPr>
          <w:rFonts w:hint="eastAsia"/>
        </w:rPr>
        <w:fldChar w:fldCharType="end"/>
      </w:r>
    </w:p>
    <w:p w14:paraId="04F6A0CD">
      <w:r>
        <w:rPr>
          <w:rFonts w:hint="eastAsia"/>
        </w:rPr>
        <w:t>其中，</w:t>
      </w:r>
      <w:r>
        <w:rPr>
          <w:position w:val="-12"/>
        </w:rPr>
        <w:object>
          <v:shape id="_x0000_i1103" o:spt="75" type="#_x0000_t75" style="height:18.7pt;width:15.9pt;" o:ole="t" filled="f" o:preferrelative="t" stroked="f" coordsize="21600,21600">
            <v:path/>
            <v:fill on="f" focussize="0,0"/>
            <v:stroke on="f" joinstyle="miter"/>
            <v:imagedata r:id="rId164" o:title=""/>
            <o:lock v:ext="edit" aspectratio="t"/>
            <w10:wrap type="none"/>
            <w10:anchorlock/>
          </v:shape>
          <o:OLEObject Type="Embed" ProgID="Equation.DSMT4" ShapeID="_x0000_i1103" DrawAspect="Content" ObjectID="_1468075803" r:id="rId163">
            <o:LockedField>false</o:LockedField>
          </o:OLEObject>
        </w:object>
      </w:r>
      <w:r>
        <w:rPr>
          <w:rFonts w:hint="eastAsia"/>
        </w:rPr>
        <w:t>、</w:t>
      </w:r>
      <w:r>
        <w:rPr>
          <w:position w:val="-12"/>
        </w:rPr>
        <w:object>
          <v:shape id="_x0000_i1104" o:spt="75" type="#_x0000_t75" style="height:18.7pt;width:15.9pt;" o:ole="t" filled="f" o:preferrelative="t" stroked="f" coordsize="21600,21600">
            <v:path/>
            <v:fill on="f" focussize="0,0"/>
            <v:stroke on="f" joinstyle="miter"/>
            <v:imagedata r:id="rId166" o:title=""/>
            <o:lock v:ext="edit" aspectratio="t"/>
            <w10:wrap type="none"/>
            <w10:anchorlock/>
          </v:shape>
          <o:OLEObject Type="Embed" ProgID="Equation.DSMT4" ShapeID="_x0000_i1104" DrawAspect="Content" ObjectID="_1468075804" r:id="rId165">
            <o:LockedField>false</o:LockedField>
          </o:OLEObject>
        </w:object>
      </w:r>
      <w:r>
        <w:rPr>
          <w:rFonts w:hint="eastAsia"/>
        </w:rPr>
        <w:t xml:space="preserve"> 和 </w:t>
      </w:r>
      <w:r>
        <w:rPr>
          <w:position w:val="-12"/>
        </w:rPr>
        <w:object>
          <v:shape id="_x0000_i1105" o:spt="75" type="#_x0000_t75" style="height:18.7pt;width:18.7pt;" o:ole="t" filled="f" o:preferrelative="t" stroked="f" coordsize="21600,21600">
            <v:path/>
            <v:fill on="f" focussize="0,0"/>
            <v:stroke on="f" joinstyle="miter"/>
            <v:imagedata r:id="rId168" o:title=""/>
            <o:lock v:ext="edit" aspectratio="t"/>
            <w10:wrap type="none"/>
            <w10:anchorlock/>
          </v:shape>
          <o:OLEObject Type="Embed" ProgID="Equation.DSMT4" ShapeID="_x0000_i1105" DrawAspect="Content" ObjectID="_1468075805" r:id="rId167">
            <o:LockedField>false</o:LockedField>
          </o:OLEObject>
        </w:object>
      </w:r>
      <w:r>
        <w:rPr>
          <w:rFonts w:hint="eastAsia"/>
        </w:rPr>
        <w:t xml:space="preserve"> 为可学习参数。与仅依赖隐状态的注意力不同，公式（19）使注意力得分同时受到三类信息的约束。具体而言，</w:t>
      </w:r>
      <w:r>
        <w:rPr>
          <w:position w:val="-12"/>
        </w:rPr>
        <w:object>
          <v:shape id="_x0000_i1106" o:spt="75" type="#_x0000_t75" style="height:18.7pt;width:20.55pt;" o:ole="t" filled="f" o:preferrelative="t" stroked="f" coordsize="21600,21600">
            <v:path/>
            <v:fill on="f" focussize="0,0"/>
            <v:stroke on="f" joinstyle="miter"/>
            <v:imagedata r:id="rId170" o:title=""/>
            <o:lock v:ext="edit" aspectratio="t"/>
            <w10:wrap type="none"/>
            <w10:anchorlock/>
          </v:shape>
          <o:OLEObject Type="Embed" ProgID="Equation.DSMT4" ShapeID="_x0000_i1106" DrawAspect="Content" ObjectID="_1468075806" r:id="rId169">
            <o:LockedField>false</o:LockedField>
          </o:OLEObject>
        </w:object>
      </w:r>
      <w:r>
        <w:rPr>
          <w:rFonts w:hint="eastAsia"/>
        </w:rPr>
        <w:t xml:space="preserve"> 提供残差分支学习到的时序退化表征，</w:t>
      </w:r>
      <w:r>
        <w:rPr>
          <w:position w:val="-12"/>
        </w:rPr>
        <w:object>
          <v:shape id="_x0000_i1107" o:spt="75" type="#_x0000_t75" style="height:18.7pt;width:24.3pt;" o:ole="t" filled="f" o:preferrelative="t" stroked="f" coordsize="21600,21600">
            <v:path/>
            <v:fill on="f" focussize="0,0"/>
            <v:stroke on="f" joinstyle="miter"/>
            <v:imagedata r:id="rId172" o:title=""/>
            <o:lock v:ext="edit" aspectratio="t"/>
            <w10:wrap type="none"/>
            <w10:anchorlock/>
          </v:shape>
          <o:OLEObject Type="Embed" ProgID="Equation.DSMT4" ShapeID="_x0000_i1107" DrawAspect="Content" ObjectID="_1468075807" r:id="rId171">
            <o:LockedField>false</o:LockedField>
          </o:OLEObject>
        </w:object>
      </w:r>
      <w:r>
        <w:rPr>
          <w:rFonts w:hint="eastAsia"/>
        </w:rPr>
        <w:t xml:space="preserve"> 提供电压曲线的局部形态信息，</w:t>
      </w:r>
      <w:r>
        <w:rPr>
          <w:position w:val="-12"/>
        </w:rPr>
        <w:object>
          <v:shape id="_x0000_i1108" o:spt="75" type="#_x0000_t75" style="height:18.7pt;width:12.15pt;" o:ole="t" filled="f" o:preferrelative="t" stroked="f" coordsize="21600,21600">
            <v:path/>
            <v:fill on="f" focussize="0,0"/>
            <v:stroke on="f" joinstyle="miter"/>
            <v:imagedata r:id="rId174" o:title=""/>
            <o:lock v:ext="edit" aspectratio="t"/>
            <w10:wrap type="none"/>
            <w10:anchorlock/>
          </v:shape>
          <o:OLEObject Type="Embed" ProgID="Equation.DSMT4" ShapeID="_x0000_i1108" DrawAspect="Content" ObjectID="_1468075808" r:id="rId173">
            <o:LockedField>false</o:LockedField>
          </o:OLEObject>
        </w:object>
      </w:r>
      <w:r>
        <w:rPr>
          <w:rFonts w:hint="eastAsia"/>
        </w:rPr>
        <w:t xml:space="preserve"> 则提供与退化阶段相关的条件引导。</w:t>
      </w:r>
    </w:p>
    <w:p w14:paraId="2A82DF69">
      <w:pPr>
        <w:ind w:firstLine="420" w:firstLineChars="200"/>
      </w:pPr>
      <w:r>
        <w:rPr>
          <w:rFonts w:hint="eastAsia"/>
        </w:rPr>
        <w:t>进一步地，为避免不同退化阶段采用固定的注意力分布 sharpness，开发了一种退化状态相关的温度参数，</w:t>
      </w:r>
    </w:p>
    <w:p w14:paraId="27707284">
      <w:pPr>
        <w:pStyle w:val="49"/>
        <w:ind w:firstLine="420" w:firstLineChars="200"/>
      </w:pPr>
      <w:r>
        <w:rPr>
          <w:rFonts w:hint="eastAsia"/>
        </w:rPr>
        <w:tab/>
      </w:r>
      <w:r>
        <w:rPr>
          <w:position w:val="-14"/>
        </w:rPr>
        <w:object>
          <v:shape id="_x0000_i1109" o:spt="75" type="#_x0000_t75" style="height:20.55pt;width:123.45pt;" o:ole="t" filled="f" o:preferrelative="t" stroked="f" coordsize="21600,21600">
            <v:path/>
            <v:fill on="f" focussize="0,0"/>
            <v:stroke on="f" joinstyle="miter"/>
            <v:imagedata r:id="rId176" o:title=""/>
            <o:lock v:ext="edit" aspectratio="t"/>
            <w10:wrap type="none"/>
            <w10:anchorlock/>
          </v:shape>
          <o:OLEObject Type="Embed" ProgID="Equation.DSMT4" ShapeID="_x0000_i1109" DrawAspect="Content" ObjectID="_1468075809" r:id="rId175">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w:instrText>
      </w:r>
      <w:r>
        <w:rPr>
          <w:rFonts w:hint="eastAsia"/>
          <w:position w:val="-4"/>
        </w:rPr>
        <w:instrText xml:space="preserve">O</w:instrText>
      </w:r>
      <w:r>
        <w:rPr>
          <w:rFonts w:hint="eastAsia"/>
        </w:rPr>
        <w:instrText xml:space="preserve">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20</w:instrText>
      </w:r>
      <w:r>
        <w:fldChar w:fldCharType="end"/>
      </w:r>
      <w:r>
        <w:rPr>
          <w:rFonts w:hint="eastAsia"/>
        </w:rPr>
        <w:instrText xml:space="preserve">)</w:instrText>
      </w:r>
      <w:r>
        <w:fldChar w:fldCharType="separate"/>
      </w:r>
      <w:r>
        <w:rPr>
          <w:rFonts w:hint="eastAsia"/>
        </w:rPr>
        <w:fldChar w:fldCharType="end"/>
      </w:r>
    </w:p>
    <w:p w14:paraId="5FAD782C">
      <w:r>
        <w:rPr>
          <w:rFonts w:hint="eastAsia"/>
        </w:rPr>
        <w:t>其中，</w:t>
      </w:r>
      <w:r>
        <w:rPr>
          <w:position w:val="-12"/>
        </w:rPr>
        <w:object>
          <v:shape id="_x0000_i1110" o:spt="75" type="#_x0000_t75" style="height:18.7pt;width:20.55pt;" o:ole="t" filled="f" o:preferrelative="t" stroked="f" coordsize="21600,21600">
            <v:path/>
            <v:fill on="f" focussize="0,0"/>
            <v:stroke on="f" joinstyle="miter"/>
            <v:imagedata r:id="rId178" o:title=""/>
            <o:lock v:ext="edit" aspectratio="t"/>
            <w10:wrap type="none"/>
            <w10:anchorlock/>
          </v:shape>
          <o:OLEObject Type="Embed" ProgID="Equation.DSMT4" ShapeID="_x0000_i1110" DrawAspect="Content" ObjectID="_1468075810" r:id="rId177">
            <o:LockedField>false</o:LockedField>
          </o:OLEObject>
        </w:object>
      </w:r>
      <w:r>
        <w:rPr>
          <w:rFonts w:hint="eastAsia"/>
        </w:rPr>
        <w:t xml:space="preserve"> 为温度下界，</w:t>
      </w:r>
      <w:r>
        <w:rPr>
          <w:position w:val="-12"/>
        </w:rPr>
        <w:object>
          <v:shape id="_x0000_i1111" o:spt="75" type="#_x0000_t75" style="height:18.7pt;width:19.65pt;" o:ole="t" filled="f" o:preferrelative="t" stroked="f" coordsize="21600,21600">
            <v:path/>
            <v:fill on="f" focussize="0,0"/>
            <v:stroke on="f" joinstyle="miter"/>
            <v:imagedata r:id="rId180" o:title=""/>
            <o:lock v:ext="edit" aspectratio="t"/>
            <w10:wrap type="none"/>
            <w10:anchorlock/>
          </v:shape>
          <o:OLEObject Type="Embed" ProgID="Equation.DSMT4" ShapeID="_x0000_i1111" DrawAspect="Content" ObjectID="_1468075811" r:id="rId179">
            <o:LockedField>false</o:LockedField>
          </o:OLEObject>
        </w:object>
      </w:r>
      <w:r>
        <w:rPr>
          <w:rFonts w:hint="eastAsia"/>
        </w:rPr>
        <w:t>为可学习参数。公式（20）使注意力分布的集中程度能够随退化状态进行调整。当样本处于不同循环阶段或不同估计退化水平时，模型可在较平缓的全局聚合与较集中的局部聚焦间自适应切换。</w:t>
      </w:r>
    </w:p>
    <w:p w14:paraId="11AD3262">
      <w:pPr>
        <w:ind w:firstLine="420" w:firstLineChars="200"/>
      </w:pPr>
      <w:r>
        <w:rPr>
          <w:rFonts w:hint="eastAsia"/>
        </w:rPr>
        <w:t xml:space="preserve"> 最后，利用带温度调节的归一化权重对时序隐状态进行聚合，</w:t>
      </w:r>
    </w:p>
    <w:p w14:paraId="0947FC2B">
      <w:pPr>
        <w:pStyle w:val="49"/>
        <w:ind w:firstLine="420" w:firstLineChars="200"/>
      </w:pPr>
      <w:r>
        <w:rPr>
          <w:rFonts w:hint="eastAsia"/>
        </w:rPr>
        <w:tab/>
      </w:r>
      <w:r>
        <w:rPr>
          <w:position w:val="-60"/>
        </w:rPr>
        <w:object>
          <v:shape id="_x0000_i1112" o:spt="75" type="#_x0000_t75" style="height:52.35pt;width:106.6pt;" o:ole="t" filled="f" o:preferrelative="t" stroked="f" coordsize="21600,21600">
            <v:path/>
            <v:fill on="f" focussize="0,0"/>
            <v:stroke on="f" joinstyle="miter"/>
            <v:imagedata r:id="rId182" o:title=""/>
            <o:lock v:ext="edit" aspectratio="t"/>
            <w10:wrap type="none"/>
            <w10:anchorlock/>
          </v:shape>
          <o:OLEObject Type="Embed" ProgID="Equation.DSMT4" ShapeID="_x0000_i1112" DrawAspect="Content" ObjectID="_1468075812" r:id="rId181">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w:instrText>
      </w:r>
      <w:r>
        <w:rPr>
          <w:rFonts w:hint="eastAsia"/>
          <w:position w:val="-4"/>
        </w:rPr>
        <w:instrText xml:space="preserve">O</w:instrText>
      </w:r>
      <w:r>
        <w:rPr>
          <w:rFonts w:hint="eastAsia"/>
        </w:rPr>
        <w:instrText xml:space="preserve">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21</w:instrText>
      </w:r>
      <w:r>
        <w:fldChar w:fldCharType="end"/>
      </w:r>
      <w:r>
        <w:rPr>
          <w:rFonts w:hint="eastAsia"/>
        </w:rPr>
        <w:instrText xml:space="preserve">)</w:instrText>
      </w:r>
      <w:r>
        <w:fldChar w:fldCharType="separate"/>
      </w:r>
      <w:r>
        <w:rPr>
          <w:rFonts w:hint="eastAsia"/>
        </w:rPr>
        <w:fldChar w:fldCharType="end"/>
      </w:r>
    </w:p>
    <w:p w14:paraId="3FF78646">
      <w:pPr>
        <w:pStyle w:val="49"/>
        <w:ind w:firstLine="420" w:firstLineChars="200"/>
      </w:pPr>
      <w:r>
        <w:rPr>
          <w:rFonts w:hint="eastAsia"/>
        </w:rPr>
        <w:tab/>
      </w:r>
      <w:r>
        <w:rPr>
          <w:position w:val="-28"/>
        </w:rPr>
        <w:object>
          <v:shape id="_x0000_i1113" o:spt="75" type="#_x0000_t75" style="height:34.6pt;width:67.3pt;" o:ole="t" filled="f" o:preferrelative="t" stroked="f" coordsize="21600,21600">
            <v:path/>
            <v:fill on="f" focussize="0,0"/>
            <v:stroke on="f" joinstyle="miter"/>
            <v:imagedata r:id="rId184" o:title=""/>
            <o:lock v:ext="edit" aspectratio="t"/>
            <w10:wrap type="none"/>
            <w10:anchorlock/>
          </v:shape>
          <o:OLEObject Type="Embed" ProgID="Equation.DSMT4" ShapeID="_x0000_i1113" DrawAspect="Content" ObjectID="_1468075813" r:id="rId183">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rPr>
          <w:rFonts w:hint="eastAsia"/>
        </w:rPr>
        <w:fldChar w:fldCharType="begin"/>
      </w:r>
      <w:r>
        <w:rPr>
          <w:rFonts w:hint="eastAsia"/>
        </w:rPr>
        <w:instrText xml:space="preserve"> SEQ MTEqn \h \* MERGEFORMAT </w:instrText>
      </w:r>
      <w:r>
        <w:rPr>
          <w:rFonts w:hint="eastAsia"/>
        </w:rP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22</w:instrText>
      </w:r>
      <w:r>
        <w:fldChar w:fldCharType="end"/>
      </w:r>
      <w:r>
        <w:rPr>
          <w:rFonts w:hint="eastAsia"/>
        </w:rPr>
        <w:instrText xml:space="preserve">)</w:instrText>
      </w:r>
      <w:r>
        <w:fldChar w:fldCharType="separate"/>
      </w:r>
      <w:r>
        <w:rPr>
          <w:rFonts w:hint="eastAsia"/>
        </w:rPr>
        <w:fldChar w:fldCharType="end"/>
      </w:r>
    </w:p>
    <w:p w14:paraId="261A1BDD">
      <w:r>
        <w:t>其中，</w:t>
      </w:r>
      <w:r>
        <w:rPr>
          <w:position w:val="-14"/>
        </w:rPr>
        <w:object>
          <v:shape id="_x0000_i1114" o:spt="75" type="#_x0000_t75" style="height:19.65pt;width:18.7pt;" o:ole="t" filled="f" o:preferrelative="t" stroked="f" coordsize="21600,21600">
            <v:path/>
            <v:fill on="f" focussize="0,0"/>
            <v:stroke on="f" joinstyle="miter"/>
            <v:imagedata r:id="rId186" o:title=""/>
            <o:lock v:ext="edit" aspectratio="t"/>
            <w10:wrap type="none"/>
            <w10:anchorlock/>
          </v:shape>
          <o:OLEObject Type="Embed" ProgID="Equation.DSMT4" ShapeID="_x0000_i1114" DrawAspect="Content" ObjectID="_1468075814" r:id="rId185">
            <o:LockedField>false</o:LockedField>
          </o:OLEObject>
        </w:object>
      </w:r>
      <w:r>
        <w:t>表示第 t 个局部位置的注意力权重，</w:t>
      </w:r>
      <w:r>
        <w:rPr>
          <w:position w:val="-12"/>
        </w:rPr>
        <w:object>
          <v:shape id="_x0000_i1115" o:spt="75" type="#_x0000_t75" style="height:18.7pt;width:9.35pt;" o:ole="t" filled="f" o:preferrelative="t" stroked="f" coordsize="21600,21600">
            <v:path/>
            <v:fill on="f" focussize="0,0"/>
            <v:stroke on="f" joinstyle="miter"/>
            <v:imagedata r:id="rId188" o:title=""/>
            <o:lock v:ext="edit" aspectratio="t"/>
            <w10:wrap type="none"/>
            <w10:anchorlock/>
          </v:shape>
          <o:OLEObject Type="Embed" ProgID="Equation.DSMT4" ShapeID="_x0000_i1115" DrawAspect="Content" ObjectID="_1468075815" r:id="rId187">
            <o:LockedField>false</o:LockedField>
          </o:OLEObject>
        </w:object>
      </w:r>
      <w:r>
        <w:t xml:space="preserve"> 为聚合后的残差时序表示，并输入后续回归层以获得残差校正项。该模块作为 physical-residual SOH 建模策略中的辅助表示单元，有助于模型在保持整体结构简洁的同时，增强对关键局部退化片段的表达能力。</w:t>
      </w:r>
    </w:p>
    <w:p w14:paraId="4EA741D6">
      <w:pPr>
        <w:jc w:val="center"/>
        <w:rPr>
          <w:rFonts w:cs="Times New Roman"/>
          <w:sz w:val="18"/>
          <w:szCs w:val="18"/>
        </w:rPr>
      </w:pPr>
      <w:r>
        <w:rPr>
          <w:rFonts w:hint="eastAsia" w:cs="Times New Roman"/>
          <w:sz w:val="18"/>
          <w:szCs w:val="18"/>
        </w:rPr>
        <w:drawing>
          <wp:inline distT="0" distB="0" distL="114300" distR="114300">
            <wp:extent cx="6645910" cy="4262120"/>
            <wp:effectExtent l="0" t="0" r="2540" b="5080"/>
            <wp:docPr id="18" name="图片 18" descr="C:/Users/ROG/Desktop/paper/codex/adaptive-attention-mechanism-ablation-v1/figures/fig06_adaptive_attention_mechanism_response_surface.tifffig06_adaptive_attention_mechanism_response_su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ROG/Desktop/paper/codex/adaptive-attention-mechanism-ablation-v1/figures/fig06_adaptive_attention_mechanism_response_surface.tifffig06_adaptive_attention_mechanism_response_surface"/>
                    <pic:cNvPicPr>
                      <a:picLocks noChangeAspect="1"/>
                    </pic:cNvPicPr>
                  </pic:nvPicPr>
                  <pic:blipFill>
                    <a:blip r:embed="rId189"/>
                    <a:srcRect l="7" r="7"/>
                    <a:stretch>
                      <a:fillRect/>
                    </a:stretch>
                  </pic:blipFill>
                  <pic:spPr>
                    <a:xfrm>
                      <a:off x="0" y="0"/>
                      <a:ext cx="6645910" cy="4262120"/>
                    </a:xfrm>
                    <a:prstGeom prst="rect">
                      <a:avLst/>
                    </a:prstGeom>
                  </pic:spPr>
                </pic:pic>
              </a:graphicData>
            </a:graphic>
          </wp:inline>
        </w:drawing>
      </w:r>
    </w:p>
    <w:p w14:paraId="33E91F3D">
      <w:pPr>
        <w:jc w:val="center"/>
        <w:rPr>
          <w:rFonts w:cs="Times New Roman"/>
          <w:sz w:val="18"/>
          <w:szCs w:val="18"/>
        </w:rPr>
      </w:pPr>
      <w:r>
        <w:rPr>
          <w:rFonts w:cs="Times New Roman"/>
          <w:b/>
          <w:bCs/>
          <w:color w:val="203864" w:themeColor="accent1" w:themeShade="80"/>
          <w:sz w:val="18"/>
          <w:szCs w:val="18"/>
        </w:rPr>
        <w:t>Fig.</w:t>
      </w:r>
      <w:r>
        <w:rPr>
          <w:rFonts w:hint="eastAsia" w:cs="Times New Roman"/>
          <w:b/>
          <w:bCs/>
          <w:color w:val="203864" w:themeColor="accent1" w:themeShade="80"/>
          <w:sz w:val="18"/>
          <w:szCs w:val="18"/>
        </w:rPr>
        <w:t>6</w:t>
      </w:r>
      <w:r>
        <w:rPr>
          <w:rFonts w:hint="eastAsia" w:cs="Times New Roman"/>
          <w:sz w:val="18"/>
          <w:szCs w:val="18"/>
        </w:rPr>
        <w:t>. Mechanistic visualization of degradation-state-guided adaptive curve attention</w:t>
      </w:r>
    </w:p>
    <w:p w14:paraId="67508546">
      <w:pPr>
        <w:ind w:firstLine="420" w:firstLineChars="200"/>
        <w:rPr>
          <w:szCs w:val="21"/>
        </w:rPr>
      </w:pPr>
      <w:r>
        <w:rPr>
          <w:rFonts w:cs="Times New Roman"/>
          <w:szCs w:val="21"/>
        </w:rPr>
        <w:t>图</w:t>
      </w:r>
      <w:r>
        <w:rPr>
          <w:rFonts w:hint="eastAsia" w:cs="Times New Roman"/>
          <w:szCs w:val="21"/>
        </w:rPr>
        <w:t>6</w:t>
      </w:r>
      <w:r>
        <w:rPr>
          <w:rFonts w:cs="Times New Roman"/>
          <w:szCs w:val="21"/>
        </w:rPr>
        <w:t>展示了退化状态引导曲线注意力机制的内部响应。</w:t>
      </w:r>
      <w:r>
        <w:rPr>
          <w:rFonts w:hint="eastAsia" w:cs="Times New Roman"/>
          <w:szCs w:val="21"/>
        </w:rPr>
        <w:t>图</w:t>
      </w:r>
      <w:r>
        <w:rPr>
          <w:rFonts w:cs="Times New Roman"/>
          <w:szCs w:val="21"/>
        </w:rPr>
        <w:t>a代表性电压曲线 token 及其注意力高亮位置，橙色短线表示该阶段内注意力较高的局部片段。</w:t>
      </w:r>
      <w:r>
        <w:rPr>
          <w:rFonts w:hint="eastAsia" w:cs="Times New Roman"/>
          <w:szCs w:val="21"/>
        </w:rPr>
        <w:t>图</w:t>
      </w:r>
      <w:r>
        <w:rPr>
          <w:rFonts w:cs="Times New Roman"/>
          <w:szCs w:val="21"/>
        </w:rPr>
        <w:t>b</w:t>
      </w:r>
      <w:r>
        <w:rPr>
          <w:rFonts w:hint="eastAsia" w:cs="Times New Roman"/>
          <w:szCs w:val="21"/>
        </w:rPr>
        <w:t>为</w:t>
      </w:r>
      <w:r>
        <w:rPr>
          <w:rFonts w:cs="Times New Roman"/>
          <w:szCs w:val="21"/>
        </w:rPr>
        <w:t>不同退化阶段的平均注意力分布，晚期阶段的注意力峰值更加集中。</w:t>
      </w:r>
      <w:r>
        <w:rPr>
          <w:rFonts w:hint="eastAsia" w:cs="Times New Roman"/>
          <w:szCs w:val="21"/>
        </w:rPr>
        <w:t>图</w:t>
      </w:r>
      <w:r>
        <w:rPr>
          <w:rFonts w:cs="Times New Roman"/>
          <w:szCs w:val="21"/>
        </w:rPr>
        <w:t>c</w:t>
      </w:r>
      <w:r>
        <w:rPr>
          <w:rFonts w:hint="eastAsia" w:cs="Times New Roman"/>
          <w:szCs w:val="21"/>
        </w:rPr>
        <w:t>为</w:t>
      </w:r>
      <w:r>
        <w:rPr>
          <w:rFonts w:cs="Times New Roman"/>
          <w:szCs w:val="21"/>
        </w:rPr>
        <w:t>随循环归一化位置增加，注意力温度</w:t>
      </w:r>
      <w:r>
        <w:rPr>
          <w:rFonts w:hint="eastAsia" w:cs="Times New Roman"/>
          <w:szCs w:val="21"/>
        </w:rPr>
        <w:t>与</w:t>
      </w:r>
      <w:r>
        <w:rPr>
          <w:rFonts w:cs="Times New Roman"/>
          <w:szCs w:val="21"/>
        </w:rPr>
        <w:t>熵整体下降，表明模型在退化加剧时采用更尖锐的聚焦策略。</w:t>
      </w:r>
      <w:r>
        <w:rPr>
          <w:rFonts w:hint="eastAsia" w:cs="Times New Roman"/>
          <w:szCs w:val="21"/>
        </w:rPr>
        <w:t>图</w:t>
      </w:r>
      <w:r>
        <w:rPr>
          <w:rFonts w:cs="Times New Roman"/>
          <w:szCs w:val="21"/>
        </w:rPr>
        <w:t>d-f</w:t>
      </w:r>
      <w:r>
        <w:rPr>
          <w:rFonts w:hint="eastAsia" w:cs="Times New Roman"/>
          <w:szCs w:val="21"/>
        </w:rPr>
        <w:t>为</w:t>
      </w:r>
      <w:r>
        <w:rPr>
          <w:rFonts w:cs="Times New Roman"/>
          <w:szCs w:val="21"/>
        </w:rPr>
        <w:t>在固定晚期退化状态</w:t>
      </w:r>
      <w:r>
        <w:rPr>
          <w:rFonts w:hint="eastAsia" w:cs="Times New Roman"/>
          <w:szCs w:val="21"/>
        </w:rPr>
        <w:t>与</w:t>
      </w:r>
      <w:r>
        <w:rPr>
          <w:rFonts w:cs="Times New Roman"/>
          <w:szCs w:val="21"/>
        </w:rPr>
        <w:t xml:space="preserve">隐藏上下文后，展示电压水平 V、斜率 ΔV </w:t>
      </w:r>
      <w:r>
        <w:rPr>
          <w:rFonts w:hint="eastAsia" w:cs="Times New Roman"/>
          <w:szCs w:val="21"/>
        </w:rPr>
        <w:t>以及</w:t>
      </w:r>
      <w:r>
        <w:rPr>
          <w:rFonts w:cs="Times New Roman"/>
          <w:szCs w:val="21"/>
        </w:rPr>
        <w:t>曲率 Δ²V 对注意力兼容性的响应面</w:t>
      </w:r>
      <w:r>
        <w:rPr>
          <w:rFonts w:hint="eastAsia" w:cs="Times New Roman"/>
          <w:szCs w:val="21"/>
        </w:rPr>
        <w:t>。</w:t>
      </w:r>
      <w:r>
        <w:rPr>
          <w:rFonts w:cs="Times New Roman"/>
          <w:szCs w:val="21"/>
        </w:rPr>
        <w:t>黑色散点为</w:t>
      </w:r>
      <w:r>
        <w:rPr>
          <w:rFonts w:hint="eastAsia" w:cs="Times New Roman"/>
          <w:szCs w:val="21"/>
        </w:rPr>
        <w:t>锂电池</w:t>
      </w:r>
      <w:r>
        <w:rPr>
          <w:rFonts w:cs="Times New Roman"/>
          <w:szCs w:val="21"/>
        </w:rPr>
        <w:t>晚期高注意力 curve token，橙色点为注意力加权中心。</w:t>
      </w:r>
    </w:p>
    <w:p w14:paraId="45CA2DEB">
      <w:pPr>
        <w:rPr>
          <w:rFonts w:cs="Times New Roman"/>
          <w:b/>
          <w:bCs/>
          <w:color w:val="2F5496"/>
          <w:szCs w:val="21"/>
        </w:rPr>
      </w:pPr>
      <w:r>
        <w:rPr>
          <w:rFonts w:hint="eastAsia" w:cs="Times New Roman"/>
          <w:b/>
          <w:bCs/>
          <w:color w:val="2F5496"/>
          <w:szCs w:val="21"/>
        </w:rPr>
        <w:t xml:space="preserve">3.5 </w:t>
      </w:r>
      <w:r>
        <w:rPr>
          <w:rFonts w:cs="Times New Roman"/>
          <w:b/>
          <w:bCs/>
          <w:color w:val="2F5496"/>
          <w:szCs w:val="21"/>
        </w:rPr>
        <w:t>生命周期</w:t>
      </w:r>
      <w:r>
        <w:rPr>
          <w:rFonts w:hint="eastAsia" w:cs="Times New Roman"/>
          <w:b/>
          <w:bCs/>
          <w:color w:val="2F5496"/>
          <w:szCs w:val="21"/>
        </w:rPr>
        <w:t>指数</w:t>
      </w:r>
      <w:r>
        <w:rPr>
          <w:rFonts w:cs="Times New Roman"/>
          <w:b/>
          <w:bCs/>
          <w:color w:val="2F5496"/>
          <w:szCs w:val="21"/>
        </w:rPr>
        <w:t>退化</w:t>
      </w:r>
      <w:r>
        <w:rPr>
          <w:rFonts w:hint="eastAsia" w:cs="Times New Roman"/>
          <w:b/>
          <w:bCs/>
          <w:color w:val="2F5496"/>
          <w:szCs w:val="21"/>
        </w:rPr>
        <w:t>感知</w:t>
      </w:r>
      <w:r>
        <w:rPr>
          <w:rFonts w:cs="Times New Roman"/>
          <w:b/>
          <w:bCs/>
          <w:color w:val="2F5496"/>
          <w:szCs w:val="21"/>
        </w:rPr>
        <w:t>MMD正则化策略</w:t>
      </w:r>
    </w:p>
    <w:p w14:paraId="6D6A176C">
      <w:pPr>
        <w:ind w:firstLine="420" w:firstLineChars="200"/>
        <w:rPr>
          <w:rFonts w:cs="Times New Roman"/>
        </w:rPr>
      </w:pPr>
      <w:r>
        <w:rPr>
          <w:rFonts w:cs="Times New Roman"/>
        </w:rPr>
        <w:t>在跨批次SOH预测中，源域历史批次与目标新批次间</w:t>
      </w:r>
      <w:r>
        <w:rPr>
          <w:rFonts w:hint="eastAsia" w:cs="Times New Roman"/>
        </w:rPr>
        <w:t>通常</w:t>
      </w:r>
      <w:r>
        <w:rPr>
          <w:rFonts w:cs="Times New Roman"/>
        </w:rPr>
        <w:t>存在特征分布</w:t>
      </w:r>
      <w:r>
        <w:rPr>
          <w:rFonts w:hint="eastAsia" w:cs="Times New Roman"/>
        </w:rPr>
        <w:t>偏移</w:t>
      </w:r>
      <w:r>
        <w:rPr>
          <w:rFonts w:cs="Times New Roman"/>
        </w:rPr>
        <w:t>。</w:t>
      </w:r>
      <w:r>
        <w:rPr>
          <w:rFonts w:hint="eastAsia" w:cs="Times New Roman"/>
        </w:rPr>
        <w:t>尽管</w:t>
      </w:r>
      <w:r>
        <w:rPr>
          <w:rFonts w:cs="Times New Roman"/>
        </w:rPr>
        <w:t>不同批次电池</w:t>
      </w:r>
      <w:r>
        <w:rPr>
          <w:rFonts w:hint="eastAsia" w:cs="Times New Roman"/>
        </w:rPr>
        <w:t>遵守</w:t>
      </w:r>
      <w:r>
        <w:rPr>
          <w:rFonts w:cs="Times New Roman"/>
        </w:rPr>
        <w:t>相似的整体退化</w:t>
      </w:r>
      <w:r>
        <w:rPr>
          <w:rFonts w:hint="eastAsia" w:cs="Times New Roman"/>
        </w:rPr>
        <w:t>规律</w:t>
      </w:r>
      <w:r>
        <w:rPr>
          <w:rFonts w:cs="Times New Roman"/>
        </w:rPr>
        <w:t>，</w:t>
      </w:r>
      <w:r>
        <w:rPr>
          <w:rFonts w:hint="eastAsia" w:cs="Times New Roman"/>
        </w:rPr>
        <w:t>但</w:t>
      </w:r>
      <w:r>
        <w:rPr>
          <w:rFonts w:cs="Times New Roman"/>
        </w:rPr>
        <w:t>其</w:t>
      </w:r>
      <w:r>
        <w:rPr>
          <w:rFonts w:hint="eastAsia" w:cs="Times New Roman"/>
        </w:rPr>
        <w:t>充电</w:t>
      </w:r>
      <w:r>
        <w:rPr>
          <w:rFonts w:cs="Times New Roman"/>
        </w:rPr>
        <w:t>电压轨迹、容量衰减</w:t>
      </w:r>
      <w:r>
        <w:rPr>
          <w:rFonts w:hint="eastAsia" w:cs="Times New Roman"/>
        </w:rPr>
        <w:t>速率以及</w:t>
      </w:r>
      <w:r>
        <w:rPr>
          <w:rFonts w:cs="Times New Roman"/>
        </w:rPr>
        <w:t>阶段性</w:t>
      </w:r>
      <w:r>
        <w:rPr>
          <w:rFonts w:hint="eastAsia" w:cs="Times New Roman"/>
        </w:rPr>
        <w:t>退化特征</w:t>
      </w:r>
      <w:r>
        <w:rPr>
          <w:rFonts w:cs="Times New Roman"/>
        </w:rPr>
        <w:t>仍存在</w:t>
      </w:r>
      <w:r>
        <w:rPr>
          <w:rFonts w:hint="eastAsia" w:cs="Times New Roman"/>
        </w:rPr>
        <w:t>显著差异，从而影响模型的跨域泛化</w:t>
      </w:r>
      <w:r>
        <w:rPr>
          <w:rFonts w:cs="Times New Roman"/>
        </w:rPr>
        <w:t>。为</w:t>
      </w:r>
      <w:r>
        <w:rPr>
          <w:rFonts w:hint="eastAsia" w:cs="Times New Roman"/>
        </w:rPr>
        <w:t>解决上述</w:t>
      </w:r>
      <w:r>
        <w:rPr>
          <w:rFonts w:cs="Times New Roman"/>
        </w:rPr>
        <w:t>问题，在训练阶段</w:t>
      </w:r>
      <w:r>
        <w:rPr>
          <w:rFonts w:hint="eastAsia" w:cs="Times New Roman"/>
        </w:rPr>
        <w:t>构建</w:t>
      </w:r>
      <w:r>
        <w:rPr>
          <w:rFonts w:cs="Times New Roman"/>
        </w:rPr>
        <w:t>生命周期</w:t>
      </w:r>
      <w:r>
        <w:rPr>
          <w:rFonts w:hint="eastAsia" w:cs="Times New Roman"/>
        </w:rPr>
        <w:t>指数感知</w:t>
      </w:r>
      <w:r>
        <w:rPr>
          <w:rFonts w:cs="Times New Roman"/>
        </w:rPr>
        <w:t>MMD（Maximum Mean Discrepancy）正则化策略，对源域与目标域的潜在特征分布进行约束</w:t>
      </w:r>
      <w:r>
        <w:rPr>
          <w:rFonts w:hint="eastAsia" w:cs="Times New Roman"/>
        </w:rPr>
        <w:t>，以缩小跨批次特征分布差异，如图7所示。</w:t>
      </w:r>
    </w:p>
    <w:p w14:paraId="3F3A87AA">
      <w:pPr>
        <w:ind w:firstLine="420" w:firstLineChars="200"/>
        <w:jc w:val="center"/>
        <w:rPr>
          <w:rFonts w:cs="Times New Roman"/>
        </w:rPr>
      </w:pPr>
      <w:r>
        <w:rPr>
          <w:rFonts w:hint="eastAsia" w:cs="Times New Roman"/>
        </w:rPr>
        <w:drawing>
          <wp:inline distT="0" distB="0" distL="114300" distR="114300">
            <wp:extent cx="2004060" cy="2557145"/>
            <wp:effectExtent l="0" t="0" r="15240" b="14605"/>
            <wp:docPr id="24" name="图片 24" descr="新mmd_redraw_v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新mmd_redraw_v8"/>
                    <pic:cNvPicPr>
                      <a:picLocks noChangeAspect="1"/>
                    </pic:cNvPicPr>
                  </pic:nvPicPr>
                  <pic:blipFill>
                    <a:blip r:embed="rId190"/>
                    <a:stretch>
                      <a:fillRect/>
                    </a:stretch>
                  </pic:blipFill>
                  <pic:spPr>
                    <a:xfrm>
                      <a:off x="0" y="0"/>
                      <a:ext cx="2004060" cy="2557145"/>
                    </a:xfrm>
                    <a:prstGeom prst="rect">
                      <a:avLst/>
                    </a:prstGeom>
                  </pic:spPr>
                </pic:pic>
              </a:graphicData>
            </a:graphic>
          </wp:inline>
        </w:drawing>
      </w:r>
    </w:p>
    <w:p w14:paraId="64B72EC0">
      <w:pPr>
        <w:jc w:val="center"/>
        <w:rPr>
          <w:rFonts w:cs="Times New Roman"/>
          <w:sz w:val="18"/>
          <w:szCs w:val="18"/>
        </w:rPr>
      </w:pPr>
      <w:r>
        <w:rPr>
          <w:rFonts w:cs="Times New Roman"/>
          <w:b/>
          <w:bCs/>
          <w:color w:val="203864" w:themeColor="accent1" w:themeShade="80"/>
          <w:sz w:val="18"/>
          <w:szCs w:val="18"/>
        </w:rPr>
        <w:t>Fig.</w:t>
      </w:r>
      <w:r>
        <w:rPr>
          <w:rFonts w:hint="eastAsia" w:cs="Times New Roman"/>
          <w:b/>
          <w:bCs/>
          <w:color w:val="203864" w:themeColor="accent1" w:themeShade="80"/>
          <w:sz w:val="18"/>
          <w:szCs w:val="18"/>
        </w:rPr>
        <w:t>7</w:t>
      </w:r>
      <w:r>
        <w:rPr>
          <w:rFonts w:cs="Times New Roman"/>
          <w:sz w:val="18"/>
          <w:szCs w:val="18"/>
        </w:rPr>
        <w:t xml:space="preserve"> Mechanism of degradation-aware MMD regularization for cross-batch feature alignment</w:t>
      </w:r>
    </w:p>
    <w:p w14:paraId="3E190189">
      <w:pPr>
        <w:ind w:firstLine="420"/>
      </w:pPr>
      <w:r>
        <w:rPr>
          <w:rFonts w:cs="Times New Roman"/>
        </w:rPr>
        <w:t>给定源域融合特征集合</w:t>
      </w:r>
      <w:r>
        <w:rPr>
          <w:position w:val="-12"/>
        </w:rPr>
        <w:object>
          <v:shape id="_x0000_i1116" o:spt="75" type="#_x0000_t75" style="height:18.7pt;width:58.9pt;" o:ole="t" filled="f" o:preferrelative="t" stroked="f" coordsize="21600,21600">
            <v:path/>
            <v:fill on="f" focussize="0,0"/>
            <v:stroke on="f" joinstyle="miter"/>
            <v:imagedata r:id="rId192" o:title=""/>
            <o:lock v:ext="edit" aspectratio="t"/>
            <w10:wrap type="none"/>
            <w10:anchorlock/>
          </v:shape>
          <o:OLEObject Type="Embed" ProgID="Equation.DSMT4" ShapeID="_x0000_i1116" DrawAspect="Content" ObjectID="_1468075816" r:id="rId191">
            <o:LockedField>false</o:LockedField>
          </o:OLEObject>
        </w:object>
      </w:r>
      <w:r>
        <w:rPr>
          <w:rFonts w:hint="eastAsia" w:cs="Times New Roman"/>
        </w:rPr>
        <w:t>与</w:t>
      </w:r>
      <w:r>
        <w:rPr>
          <w:rFonts w:cs="Times New Roman"/>
        </w:rPr>
        <w:t>目标域融合特征集合</w:t>
      </w:r>
      <w:r>
        <w:rPr>
          <w:position w:val="-14"/>
        </w:rPr>
        <w:object>
          <v:shape id="_x0000_i1117" o:spt="75" type="#_x0000_t75" style="height:19.65pt;width:62.65pt;" o:ole="t" filled="f" o:preferrelative="t" stroked="f" coordsize="21600,21600">
            <v:path/>
            <v:fill on="f" focussize="0,0"/>
            <v:stroke on="f" joinstyle="miter"/>
            <v:imagedata r:id="rId194" o:title=""/>
            <o:lock v:ext="edit" aspectratio="t"/>
            <w10:wrap type="none"/>
            <w10:anchorlock/>
          </v:shape>
          <o:OLEObject Type="Embed" ProgID="Equation.DSMT4" ShapeID="_x0000_i1117" DrawAspect="Content" ObjectID="_1468075817" r:id="rId193">
            <o:LockedField>false</o:LockedField>
          </o:OLEObject>
        </w:object>
      </w:r>
      <w:r>
        <w:rPr>
          <w:rFonts w:cs="Times New Roman"/>
        </w:rPr>
        <w:t>，</w:t>
      </w:r>
      <w:r>
        <w:rPr>
          <w:rFonts w:hint="eastAsia" w:cs="Times New Roman"/>
        </w:rPr>
        <w:t>通过</w:t>
      </w:r>
      <w:r>
        <w:rPr>
          <w:rFonts w:cs="Times New Roman"/>
        </w:rPr>
        <w:t>MMD度量两域在再生核希尔伯特空间中的均值嵌入，其</w:t>
      </w:r>
      <w:r>
        <w:rPr>
          <w:rFonts w:hint="eastAsia" w:cs="Times New Roman"/>
        </w:rPr>
        <w:t>一般</w:t>
      </w:r>
      <w:r>
        <w:rPr>
          <w:rFonts w:cs="Times New Roman"/>
        </w:rPr>
        <w:t>形式可表示为</w:t>
      </w:r>
      <w:r>
        <w:rPr>
          <w:rFonts w:hint="eastAsia" w:cs="Times New Roman"/>
        </w:rPr>
        <w:t>，</w:t>
      </w:r>
    </w:p>
    <w:p w14:paraId="605CAA3A">
      <w:pPr>
        <w:pStyle w:val="49"/>
      </w:pPr>
      <w:r>
        <w:rPr>
          <w:rFonts w:hint="eastAsia"/>
        </w:rPr>
        <w:tab/>
      </w:r>
      <w:r>
        <w:rPr>
          <w:position w:val="-34"/>
        </w:rPr>
        <w:object>
          <v:shape id="_x0000_i1118" o:spt="75" type="#_x0000_t75" style="height:42.1pt;width:230.05pt;" o:ole="t" filled="f" o:preferrelative="t" stroked="f" coordsize="21600,21600">
            <v:path/>
            <v:fill on="f" focussize="0,0"/>
            <v:stroke on="f" joinstyle="miter"/>
            <v:imagedata r:id="rId196" o:title=""/>
            <o:lock v:ext="edit" aspectratio="t"/>
            <w10:wrap type="none"/>
            <w10:anchorlock/>
          </v:shape>
          <o:OLEObject Type="Embed" ProgID="Equation.DSMT4" ShapeID="_x0000_i1118" DrawAspect="Content" ObjectID="_1468075818" r:id="rId195">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w:instrText>
      </w:r>
      <w:r>
        <w:rPr>
          <w:rFonts w:hint="eastAsia"/>
          <w:position w:val="-4"/>
        </w:rPr>
        <w:instrText xml:space="preserve">R</w:instrText>
      </w:r>
      <w:r>
        <w:rPr>
          <w:rFonts w:hint="eastAsia"/>
        </w:rPr>
        <w:instrText xml:space="preserve">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23</w:instrText>
      </w:r>
      <w:r>
        <w:fldChar w:fldCharType="end"/>
      </w:r>
      <w:r>
        <w:rPr>
          <w:rFonts w:hint="eastAsia"/>
        </w:rPr>
        <w:instrText xml:space="preserve">)</w:instrText>
      </w:r>
      <w:r>
        <w:fldChar w:fldCharType="separate"/>
      </w:r>
      <w:r>
        <w:rPr>
          <w:rFonts w:hint="eastAsia"/>
        </w:rPr>
        <w:fldChar w:fldCharType="end"/>
      </w:r>
    </w:p>
    <w:p w14:paraId="5DFB5B85">
      <w:pPr>
        <w:rPr>
          <w:rFonts w:cs="Times New Roman"/>
        </w:rPr>
      </w:pPr>
      <w:r>
        <w:rPr>
          <w:rFonts w:cs="Times New Roman"/>
        </w:rPr>
        <w:t>其中，</w:t>
      </w:r>
      <w:r>
        <w:rPr>
          <w:position w:val="-10"/>
        </w:rPr>
        <w:object>
          <v:shape id="_x0000_i1119" o:spt="75" type="#_x0000_t75" style="height:15.9pt;width:23.4pt;" o:ole="t" filled="f" o:preferrelative="t" stroked="f" coordsize="21600,21600">
            <v:path/>
            <v:fill on="f" focussize="0,0"/>
            <v:stroke on="f" joinstyle="miter"/>
            <v:imagedata r:id="rId198" o:title=""/>
            <o:lock v:ext="edit" aspectratio="t"/>
            <w10:wrap type="none"/>
            <w10:anchorlock/>
          </v:shape>
          <o:OLEObject Type="Embed" ProgID="Equation.DSMT4" ShapeID="_x0000_i1119" DrawAspect="Content" ObjectID="_1468075819" r:id="rId197">
            <o:LockedField>false</o:LockedField>
          </o:OLEObject>
        </w:object>
      </w:r>
      <w:r>
        <w:rPr>
          <w:rFonts w:cs="Times New Roman"/>
        </w:rPr>
        <w:t>表示特征映射，</w:t>
      </w:r>
      <w:r>
        <w:rPr>
          <w:position w:val="-6"/>
        </w:rPr>
        <w:object>
          <v:shape id="_x0000_i1120" o:spt="75" type="#_x0000_t75" style="height:14.05pt;width:14.05pt;" o:ole="t" filled="f" o:preferrelative="t" stroked="f" coordsize="21600,21600">
            <v:path/>
            <v:fill on="f" focussize="0,0"/>
            <v:stroke on="f" joinstyle="miter"/>
            <v:imagedata r:id="rId200" o:title=""/>
            <o:lock v:ext="edit" aspectratio="t"/>
            <w10:wrap type="none"/>
            <w10:anchorlock/>
          </v:shape>
          <o:OLEObject Type="Embed" ProgID="Equation.DSMT4" ShapeID="_x0000_i1120" DrawAspect="Content" ObjectID="_1468075820" r:id="rId199">
            <o:LockedField>false</o:LockedField>
          </o:OLEObject>
        </w:object>
      </w:r>
      <w:r>
        <w:rPr>
          <w:rFonts w:hint="eastAsia" w:cs="Times New Roman"/>
        </w:rPr>
        <w:t>为</w:t>
      </w:r>
      <w:r>
        <w:rPr>
          <w:rFonts w:cs="Times New Roman"/>
        </w:rPr>
        <w:t>再生核希尔伯特空间。基于核函数展开后，MMD可写为</w:t>
      </w:r>
      <w:r>
        <w:rPr>
          <w:rFonts w:hint="eastAsia" w:cs="Times New Roman"/>
        </w:rPr>
        <w:t>，</w:t>
      </w:r>
    </w:p>
    <w:p w14:paraId="16659D7F">
      <w:pPr>
        <w:pStyle w:val="49"/>
      </w:pPr>
      <w:r>
        <w:rPr>
          <w:rFonts w:hint="eastAsia"/>
        </w:rPr>
        <w:tab/>
      </w:r>
      <w:r>
        <w:rPr>
          <w:position w:val="-30"/>
        </w:rPr>
        <w:object>
          <v:shape id="_x0000_i1121" o:spt="75" type="#_x0000_t75" style="height:36.45pt;width:341.3pt;" o:ole="t" filled="f" o:preferrelative="t" stroked="f" coordsize="21600,21600">
            <v:path/>
            <v:fill on="f" focussize="0,0"/>
            <v:stroke on="f" joinstyle="miter"/>
            <v:imagedata r:id="rId202" o:title=""/>
            <o:lock v:ext="edit" aspectratio="t"/>
            <w10:wrap type="none"/>
            <w10:anchorlock/>
          </v:shape>
          <o:OLEObject Type="Embed" ProgID="Equation.DSMT4" ShapeID="_x0000_i1121" DrawAspect="Content" ObjectID="_1468075821" r:id="rId201">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w:instrText>
      </w:r>
      <w:r>
        <w:rPr>
          <w:rFonts w:hint="eastAsia"/>
          <w:position w:val="-4"/>
        </w:rPr>
        <w:instrText xml:space="preserve">R</w:instrText>
      </w:r>
      <w:r>
        <w:rPr>
          <w:rFonts w:hint="eastAsia"/>
        </w:rPr>
        <w:instrText xml:space="preserve">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24</w:instrText>
      </w:r>
      <w:r>
        <w:fldChar w:fldCharType="end"/>
      </w:r>
      <w:r>
        <w:rPr>
          <w:rFonts w:hint="eastAsia"/>
        </w:rPr>
        <w:instrText xml:space="preserve">)</w:instrText>
      </w:r>
      <w:r>
        <w:fldChar w:fldCharType="separate"/>
      </w:r>
      <w:r>
        <w:rPr>
          <w:rFonts w:hint="eastAsia"/>
        </w:rPr>
        <w:fldChar w:fldCharType="end"/>
      </w:r>
    </w:p>
    <w:p w14:paraId="5357DBB1">
      <w:r>
        <w:rPr>
          <w:rFonts w:hint="eastAsia" w:cs="Times New Roman"/>
        </w:rPr>
        <w:t>其中，</w:t>
      </w:r>
      <w:r>
        <w:rPr>
          <w:position w:val="-10"/>
        </w:rPr>
        <w:object>
          <v:shape id="_x0000_i1122" o:spt="75" type="#_x0000_t75" style="height:15.9pt;width:27.1pt;" o:ole="t" filled="f" o:preferrelative="t" stroked="f" coordsize="21600,21600">
            <v:path/>
            <v:fill on="f" focussize="0,0"/>
            <v:stroke on="f" joinstyle="miter"/>
            <v:imagedata r:id="rId204" o:title=""/>
            <o:lock v:ext="edit" aspectratio="t"/>
            <w10:wrap type="none"/>
            <w10:anchorlock/>
          </v:shape>
          <o:OLEObject Type="Embed" ProgID="Equation.DSMT4" ShapeID="_x0000_i1122" DrawAspect="Content" ObjectID="_1468075822" r:id="rId203">
            <o:LockedField>false</o:LockedField>
          </o:OLEObject>
        </w:object>
      </w:r>
      <w:r>
        <w:rPr>
          <w:rFonts w:hint="eastAsia" w:cs="Times New Roman"/>
        </w:rPr>
        <w:t>为核函数。采用多核高斯核以增强不同尺度下的分布差异刻画能力，</w:t>
      </w:r>
    </w:p>
    <w:p w14:paraId="6C93E4DF">
      <w:pPr>
        <w:pStyle w:val="49"/>
      </w:pPr>
      <w:r>
        <w:rPr>
          <w:rFonts w:hint="eastAsia"/>
        </w:rPr>
        <w:tab/>
      </w:r>
      <w:r>
        <w:rPr>
          <w:position w:val="-32"/>
        </w:rPr>
        <w:object>
          <v:shape id="_x0000_i1123" o:spt="75" type="#_x0000_t75" style="height:38.35pt;width:144.95pt;" o:ole="t" filled="f" o:preferrelative="t" stroked="f" coordsize="21600,21600">
            <v:path/>
            <v:fill on="f" focussize="0,0"/>
            <v:stroke on="f" joinstyle="miter"/>
            <v:imagedata r:id="rId206" o:title=""/>
            <o:lock v:ext="edit" aspectratio="t"/>
            <w10:wrap type="none"/>
            <w10:anchorlock/>
          </v:shape>
          <o:OLEObject Type="Embed" ProgID="Equation.DSMT4" ShapeID="_x0000_i1123" DrawAspect="Content" ObjectID="_1468075823" r:id="rId205">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w:instrText>
      </w:r>
      <w:r>
        <w:rPr>
          <w:rFonts w:hint="eastAsia"/>
          <w:position w:val="-4"/>
        </w:rPr>
        <w:instrText xml:space="preserve">R</w:instrText>
      </w:r>
      <w:r>
        <w:rPr>
          <w:rFonts w:hint="eastAsia"/>
        </w:rPr>
        <w:instrText xml:space="preserve">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25</w:instrText>
      </w:r>
      <w:r>
        <w:fldChar w:fldCharType="end"/>
      </w:r>
      <w:r>
        <w:rPr>
          <w:rFonts w:hint="eastAsia"/>
        </w:rPr>
        <w:instrText xml:space="preserve">)</w:instrText>
      </w:r>
      <w:r>
        <w:fldChar w:fldCharType="separate"/>
      </w:r>
      <w:r>
        <w:rPr>
          <w:rFonts w:hint="eastAsia"/>
        </w:rPr>
        <w:fldChar w:fldCharType="end"/>
      </w:r>
    </w:p>
    <w:p w14:paraId="00C03B79">
      <w:pPr>
        <w:ind w:firstLine="420"/>
      </w:pPr>
      <w:r>
        <w:rPr>
          <w:rFonts w:hint="eastAsia" w:cs="Times New Roman"/>
        </w:rPr>
        <w:t>传统MMD对不同退化阶段施加相同强度的对齐约束，难以反应电池退化过程中跨批次分布偏移的阶段差异。考虑到电池低SOH阶段通常表现出更显著的退化不确定性与批次间差异，进一步构建指数退化感知权重，使跨域特征对齐强度能够随目标域估计SOH的降低而增强。具体而言，对于一个训练batch，目标域的平均SOH表示为，</w:t>
      </w:r>
    </w:p>
    <w:p w14:paraId="69B63931">
      <w:pPr>
        <w:pStyle w:val="49"/>
      </w:pPr>
      <w:r>
        <w:rPr>
          <w:rFonts w:hint="eastAsia"/>
        </w:rPr>
        <w:tab/>
      </w:r>
      <w:r>
        <w:rPr>
          <w:position w:val="-30"/>
        </w:rPr>
        <w:object>
          <v:shape id="_x0000_i1124" o:spt="75" type="#_x0000_t75" style="height:36.45pt;width:106.6pt;" o:ole="t" filled="f" o:preferrelative="t" stroked="f" coordsize="21600,21600">
            <v:path/>
            <v:fill on="f" focussize="0,0"/>
            <v:stroke on="f" joinstyle="miter"/>
            <v:imagedata r:id="rId208" o:title=""/>
            <o:lock v:ext="edit" aspectratio="t"/>
            <w10:wrap type="none"/>
            <w10:anchorlock/>
          </v:shape>
          <o:OLEObject Type="Embed" ProgID="Equation.DSMT4" ShapeID="_x0000_i1124" DrawAspect="Content" ObjectID="_1468075824" r:id="rId207">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MERGEFORMAT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26</w:instrText>
      </w:r>
      <w:r>
        <w:fldChar w:fldCharType="end"/>
      </w:r>
      <w:r>
        <w:rPr>
          <w:rFonts w:hint="eastAsia"/>
        </w:rPr>
        <w:instrText xml:space="preserve">)</w:instrText>
      </w:r>
      <w:r>
        <w:fldChar w:fldCharType="separate"/>
      </w:r>
      <w:r>
        <w:rPr>
          <w:rFonts w:hint="eastAsia"/>
        </w:rPr>
        <w:fldChar w:fldCharType="end"/>
      </w:r>
    </w:p>
    <w:p w14:paraId="0EBCFB66">
      <w:pPr>
        <w:ind w:firstLine="420"/>
      </w:pPr>
      <w:r>
        <w:rPr>
          <w:rFonts w:hint="eastAsia" w:cs="Times New Roman"/>
        </w:rPr>
        <w:t>基于该退化状态，指数退化感知权重定义为，</w:t>
      </w:r>
    </w:p>
    <w:p w14:paraId="03053AE5">
      <w:pPr>
        <w:pStyle w:val="49"/>
      </w:pPr>
      <w:r>
        <w:rPr>
          <w:rFonts w:hint="eastAsia"/>
        </w:rPr>
        <w:tab/>
      </w:r>
      <w:r>
        <w:rPr>
          <w:position w:val="-18"/>
        </w:rPr>
        <w:object>
          <v:shape id="_x0000_i1125" o:spt="75" type="#_x0000_t75" style="height:24.3pt;width:115.95pt;" o:ole="t" filled="f" o:preferrelative="t" stroked="f" coordsize="21600,21600">
            <v:path/>
            <v:fill on="f" focussize="0,0"/>
            <v:stroke on="f" joinstyle="miter"/>
            <v:imagedata r:id="rId210" o:title=""/>
            <o:lock v:ext="edit" aspectratio="t"/>
            <w10:wrap type="none"/>
            <w10:anchorlock/>
          </v:shape>
          <o:OLEObject Type="Embed" ProgID="Equation.DSMT4" ShapeID="_x0000_i1125" DrawAspect="Content" ObjectID="_1468075825" r:id="rId209">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w:instrText>
      </w:r>
      <w:r>
        <w:rPr>
          <w:rFonts w:hint="eastAsia"/>
          <w:position w:val="-4"/>
        </w:rPr>
        <w:instrText xml:space="preserve">R</w:instrText>
      </w:r>
      <w:r>
        <w:rPr>
          <w:rFonts w:hint="eastAsia"/>
        </w:rPr>
        <w:instrText xml:space="preserve">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27</w:instrText>
      </w:r>
      <w:r>
        <w:fldChar w:fldCharType="end"/>
      </w:r>
      <w:r>
        <w:rPr>
          <w:rFonts w:hint="eastAsia"/>
        </w:rPr>
        <w:instrText xml:space="preserve">)</w:instrText>
      </w:r>
      <w:r>
        <w:fldChar w:fldCharType="separate"/>
      </w:r>
      <w:r>
        <w:rPr>
          <w:rFonts w:hint="eastAsia"/>
        </w:rPr>
        <w:fldChar w:fldCharType="end"/>
      </w:r>
    </w:p>
    <w:p w14:paraId="7AB11790">
      <w:r>
        <w:rPr>
          <w:rFonts w:hint="eastAsia" w:cs="Times New Roman"/>
        </w:rPr>
        <w:t>其中，</w:t>
      </w:r>
      <w:r>
        <w:rPr>
          <w:position w:val="-10"/>
        </w:rPr>
        <w:object>
          <v:shape id="_x0000_i1126" o:spt="75" type="#_x0000_t75" style="height:13.1pt;width:9.35pt;" o:ole="t" filled="f" o:preferrelative="t" stroked="f" coordsize="21600,21600">
            <v:path/>
            <v:fill on="f" focussize="0,0"/>
            <v:stroke on="f" joinstyle="miter"/>
            <v:imagedata r:id="rId212" o:title=""/>
            <o:lock v:ext="edit" aspectratio="t"/>
            <w10:wrap type="none"/>
            <w10:anchorlock/>
          </v:shape>
          <o:OLEObject Type="Embed" ProgID="Equation.DSMT4" ShapeID="_x0000_i1126" DrawAspect="Content" ObjectID="_1468075826" r:id="rId211">
            <o:LockedField>false</o:LockedField>
          </o:OLEObject>
        </w:object>
      </w:r>
      <w:r>
        <w:rPr>
          <w:rFonts w:hint="eastAsia" w:cs="Times New Roman"/>
        </w:rPr>
        <w:t>为退化感知系数。最终的退化感知MMD正则项可表示为，</w:t>
      </w:r>
    </w:p>
    <w:p w14:paraId="76E1EE3E">
      <w:pPr>
        <w:pStyle w:val="49"/>
      </w:pPr>
      <w:r>
        <w:rPr>
          <w:rFonts w:hint="eastAsia"/>
        </w:rPr>
        <w:tab/>
      </w:r>
      <w:r>
        <w:rPr>
          <w:position w:val="-16"/>
        </w:rPr>
        <w:object>
          <v:shape id="_x0000_i1127" o:spt="75" type="#_x0000_t75" style="height:23.4pt;width:153.35pt;" o:ole="t" filled="f" o:preferrelative="t" stroked="f" coordsize="21600,21600">
            <v:path/>
            <v:fill on="f" focussize="0,0"/>
            <v:stroke on="f" joinstyle="miter"/>
            <v:imagedata r:id="rId214" o:title=""/>
            <o:lock v:ext="edit" aspectratio="t"/>
            <w10:wrap type="none"/>
            <w10:anchorlock/>
          </v:shape>
          <o:OLEObject Type="Embed" ProgID="Equation.DSMT4" ShapeID="_x0000_i1127" DrawAspect="Content" ObjectID="_1468075827" r:id="rId213">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w:instrText>
      </w:r>
      <w:r>
        <w:rPr>
          <w:rFonts w:hint="eastAsia"/>
          <w:position w:val="-4"/>
        </w:rPr>
        <w:instrText xml:space="preserve">R</w:instrText>
      </w:r>
      <w:r>
        <w:rPr>
          <w:rFonts w:hint="eastAsia"/>
        </w:rPr>
        <w:instrText xml:space="preserve">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28</w:instrText>
      </w:r>
      <w:r>
        <w:fldChar w:fldCharType="end"/>
      </w:r>
      <w:r>
        <w:rPr>
          <w:rFonts w:hint="eastAsia"/>
        </w:rPr>
        <w:instrText xml:space="preserve">)</w:instrText>
      </w:r>
      <w:r>
        <w:fldChar w:fldCharType="separate"/>
      </w:r>
      <w:r>
        <w:rPr>
          <w:rFonts w:hint="eastAsia"/>
        </w:rPr>
        <w:fldChar w:fldCharType="end"/>
      </w:r>
    </w:p>
    <w:p w14:paraId="547DA5E7">
      <w:pPr>
        <w:ind w:firstLine="420"/>
        <w:rPr>
          <w:rFonts w:cs="Times New Roman"/>
        </w:rPr>
      </w:pPr>
      <w:r>
        <w:rPr>
          <w:rFonts w:hint="eastAsia" w:cs="Times New Roman"/>
        </w:rPr>
        <w:t>因此，整体训练损失为，</w:t>
      </w:r>
    </w:p>
    <w:p w14:paraId="73525F9D">
      <w:pPr>
        <w:pStyle w:val="49"/>
        <w:rPr>
          <w:rFonts w:cs="Times New Roman"/>
        </w:rPr>
      </w:pPr>
      <w:r>
        <w:rPr>
          <w:rFonts w:hint="eastAsia"/>
        </w:rPr>
        <w:tab/>
      </w:r>
      <w:r>
        <w:rPr>
          <w:position w:val="-30"/>
        </w:rPr>
        <w:object>
          <v:shape id="_x0000_i1128" o:spt="75" type="#_x0000_t75" style="height:36.45pt;width:182.35pt;" o:ole="t" filled="f" o:preferrelative="t" stroked="f" coordsize="21600,21600">
            <v:path/>
            <v:fill on="f" focussize="0,0"/>
            <v:stroke on="f" joinstyle="miter"/>
            <v:imagedata r:id="rId216" o:title=""/>
            <o:lock v:ext="edit" aspectratio="t"/>
            <w10:wrap type="none"/>
            <w10:anchorlock/>
          </v:shape>
          <o:OLEObject Type="Embed" ProgID="Equation.DSMT4" ShapeID="_x0000_i1128" DrawAspect="Content" ObjectID="_1468075828" r:id="rId215">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w:instrText>
      </w:r>
      <w:r>
        <w:rPr>
          <w:rFonts w:hint="eastAsia"/>
          <w:position w:val="-4"/>
        </w:rPr>
        <w:instrText xml:space="preserve">R</w:instrText>
      </w:r>
      <w:r>
        <w:rPr>
          <w:rFonts w:hint="eastAsia"/>
        </w:rPr>
        <w:instrText xml:space="preserve">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29</w:instrText>
      </w:r>
      <w:r>
        <w:fldChar w:fldCharType="end"/>
      </w:r>
      <w:r>
        <w:rPr>
          <w:rFonts w:hint="eastAsia"/>
        </w:rPr>
        <w:instrText xml:space="preserve">)</w:instrText>
      </w:r>
      <w:r>
        <w:fldChar w:fldCharType="separate"/>
      </w:r>
      <w:r>
        <w:rPr>
          <w:rFonts w:hint="eastAsia"/>
        </w:rPr>
        <w:fldChar w:fldCharType="end"/>
      </w:r>
    </w:p>
    <w:p w14:paraId="7B0700CE">
      <w:pPr>
        <w:rPr>
          <w:rFonts w:cs="Times New Roman"/>
        </w:rPr>
      </w:pPr>
      <w:r>
        <w:rPr>
          <w:rFonts w:hint="eastAsia" w:cs="Times New Roman"/>
        </w:rPr>
        <w:t>其中，第一项为源域SOH监督损失，第二项为源域与目标域间的退化感知特征对齐正则项。</w:t>
      </w:r>
    </w:p>
    <w:p w14:paraId="50E034DA">
      <w:pPr>
        <w:jc w:val="center"/>
        <w:rPr>
          <w:rFonts w:cs="Times New Roman"/>
        </w:rPr>
      </w:pPr>
      <w:r>
        <w:rPr>
          <w:rFonts w:hint="eastAsia" w:cs="Times New Roman"/>
        </w:rPr>
        <w:drawing>
          <wp:inline distT="0" distB="0" distL="114300" distR="114300">
            <wp:extent cx="5298440" cy="2908300"/>
            <wp:effectExtent l="0" t="0" r="16510" b="6350"/>
            <wp:docPr id="21" name="图片 21" descr="fig_mmd_loss_weight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ig_mmd_loss_weight_comparison"/>
                    <pic:cNvPicPr>
                      <a:picLocks noChangeAspect="1"/>
                    </pic:cNvPicPr>
                  </pic:nvPicPr>
                  <pic:blipFill>
                    <a:blip r:embed="rId217"/>
                    <a:stretch>
                      <a:fillRect/>
                    </a:stretch>
                  </pic:blipFill>
                  <pic:spPr>
                    <a:xfrm>
                      <a:off x="0" y="0"/>
                      <a:ext cx="5298440" cy="2908300"/>
                    </a:xfrm>
                    <a:prstGeom prst="rect">
                      <a:avLst/>
                    </a:prstGeom>
                  </pic:spPr>
                </pic:pic>
              </a:graphicData>
            </a:graphic>
          </wp:inline>
        </w:drawing>
      </w:r>
    </w:p>
    <w:p w14:paraId="6B9CB5F4">
      <w:pPr>
        <w:jc w:val="center"/>
        <w:rPr>
          <w:rFonts w:cs="Times New Roman"/>
        </w:rPr>
      </w:pPr>
      <w:r>
        <w:rPr>
          <w:rFonts w:cs="Times New Roman"/>
          <w:b/>
          <w:bCs/>
          <w:color w:val="203864" w:themeColor="accent1" w:themeShade="80"/>
          <w:sz w:val="18"/>
          <w:szCs w:val="18"/>
        </w:rPr>
        <w:t>Fig.</w:t>
      </w:r>
      <w:r>
        <w:rPr>
          <w:rFonts w:hint="eastAsia" w:cs="Times New Roman"/>
          <w:b/>
          <w:bCs/>
          <w:color w:val="203864" w:themeColor="accent1" w:themeShade="80"/>
          <w:sz w:val="18"/>
          <w:szCs w:val="18"/>
        </w:rPr>
        <w:t xml:space="preserve">8 </w:t>
      </w:r>
      <w:r>
        <w:rPr>
          <w:rFonts w:hint="eastAsia" w:cs="Times New Roman"/>
        </w:rPr>
        <w:t>Training trajectories of unweighted and degradation-aware weighted MMD losses</w:t>
      </w:r>
    </w:p>
    <w:p w14:paraId="44466893">
      <w:pPr>
        <w:rPr>
          <w:rFonts w:cs="Times New Roman"/>
        </w:rPr>
      </w:pPr>
      <w:r>
        <w:rPr>
          <w:rFonts w:hint="eastAsia" w:cs="Times New Roman"/>
        </w:rPr>
        <w:t>The gray dashed curve denotes the static MMD loss without degradation-dependent weighting, while the blue curve denotes the exponential degradation-aware weighted MMD loss. The shaded region represents mean ± s.e.m. over three random seeds. The highlighted interval corresponds to the MMD-guided training stage, and the inset magnifies the late active window.</w:t>
      </w:r>
    </w:p>
    <w:p w14:paraId="3A2AFBED">
      <w:pPr>
        <w:ind w:firstLine="420" w:firstLineChars="200"/>
        <w:rPr>
          <w:rFonts w:cs="Times New Roman"/>
        </w:rPr>
      </w:pPr>
      <w:r>
        <w:rPr>
          <w:rFonts w:hint="eastAsia" w:cs="Times New Roman"/>
        </w:rPr>
        <w:t>为进一步说明指数退化权重对 MMD 正则项训练行为的影响，图 8给出了无权重 MMD 与指数退化感知加权 MMD 的 loss 轨迹对比。可以看到，在 MMD 引导训练区间内，两类 MMD loss 均随训练过程逐步下降。相比无权重 MMD，加权 MMD 在后期退化阶段保持更低的对齐损失水平。该结果说明，指数退化权重并未改变 MMD 的基本度量形式，而是在训练过程中调节跨批次特征对齐强度，使模型在退化程度较高的阶段获得更充分的分布约束。</w:t>
      </w:r>
    </w:p>
    <w:p w14:paraId="1AB58606">
      <w:pPr>
        <w:rPr>
          <w:rFonts w:cs="Times New Roman"/>
          <w:b/>
          <w:bCs/>
          <w:color w:val="2F5496"/>
          <w:szCs w:val="21"/>
        </w:rPr>
      </w:pPr>
      <w:r>
        <w:rPr>
          <w:rFonts w:hint="eastAsia" w:cs="Times New Roman"/>
          <w:b/>
          <w:bCs/>
          <w:color w:val="2F5496"/>
          <w:szCs w:val="21"/>
        </w:rPr>
        <w:t>3.6 Implementation Details</w:t>
      </w:r>
    </w:p>
    <w:p w14:paraId="30F361EE">
      <w:pPr>
        <w:ind w:firstLine="420" w:firstLineChars="200"/>
        <w:rPr>
          <w:rFonts w:cs="Times New Roman"/>
        </w:rPr>
      </w:pPr>
      <w:r>
        <w:rPr>
          <w:rFonts w:hint="eastAsia" w:cs="Times New Roman"/>
        </w:rPr>
        <w:t xml:space="preserve">模型以长度为 100 的充电电压轨迹与归一化循环位置作为输入，其中低阶非线性退化先验的系数仅在源域训练样本上拟合。第一、二层的残差分支的将输入通道分别映射为 16、32个特征通道，其中两层均采用 kernel size 为 3 的一维卷积，并结合 batch normalization、ReLU 激活以及最大池化。同时，循环单元的隐藏维度设置为 64。注意力模块同时接收时序隐状态、退化状态向量以及由电压值、一阶差分以及二阶差分构成的曲线形态 token。退化状态向量由归一化循环位置、低阶退化先验输出及相对退化程度组成。模型训练采用 Adam 优化器，初始学习率设置为 </w:t>
      </w:r>
      <w:r>
        <w:rPr>
          <w:position w:val="-6"/>
        </w:rPr>
        <w:object>
          <v:shape id="_x0000_i1129" o:spt="75" type="#_x0000_t75" style="height:15.9pt;width:34.6pt;" o:ole="t" filled="f" o:preferrelative="t" stroked="f" coordsize="21600,21600">
            <v:path/>
            <v:fill on="f" focussize="0,0"/>
            <v:stroke on="f" joinstyle="miter"/>
            <v:imagedata r:id="rId219" o:title=""/>
            <o:lock v:ext="edit" aspectratio="t"/>
            <w10:wrap type="none"/>
            <w10:anchorlock/>
          </v:shape>
          <o:OLEObject Type="Embed" ProgID="Equation.DSMT4" ShapeID="_x0000_i1129" DrawAspect="Content" ObjectID="_1468075829" r:id="rId218">
            <o:LockedField>false</o:LockedField>
          </o:OLEObject>
        </w:object>
      </w:r>
      <w:r>
        <w:rPr>
          <w:rFonts w:hint="eastAsia" w:cs="Times New Roman"/>
        </w:rPr>
        <w:t xml:space="preserve">，batch size 设置为 128，总训练轮数为 150，更多超参数细节见表1。MMD 外层权重设置为 </w:t>
      </w:r>
      <w:r>
        <w:rPr>
          <w:position w:val="-6"/>
        </w:rPr>
        <w:object>
          <v:shape id="_x0000_i1130" o:spt="75" type="#_x0000_t75" style="height:15.9pt;width:37.4pt;" o:ole="t" filled="f" o:preferrelative="t" stroked="f" coordsize="21600,21600">
            <v:path/>
            <v:fill on="f" focussize="0,0"/>
            <v:stroke on="f" joinstyle="miter"/>
            <v:imagedata r:id="rId221" o:title=""/>
            <o:lock v:ext="edit" aspectratio="t"/>
            <w10:wrap type="none"/>
            <w10:anchorlock/>
          </v:shape>
          <o:OLEObject Type="Embed" ProgID="Equation.DSMT4" ShapeID="_x0000_i1130" DrawAspect="Content" ObjectID="_1468075830" r:id="rId220">
            <o:LockedField>false</o:LockedField>
          </o:OLEObject>
        </w:object>
      </w:r>
      <w:r>
        <w:rPr>
          <w:rFonts w:hint="eastAsia" w:cs="Times New Roman"/>
        </w:rPr>
        <w:t>，退化感知系数设置为</w:t>
      </w:r>
      <w:r>
        <w:rPr>
          <w:position w:val="-10"/>
        </w:rPr>
        <w:object>
          <v:shape id="_x0000_i1131" o:spt="75" type="#_x0000_t75" style="height:15.9pt;width:37.4pt;" o:ole="t" filled="f" o:preferrelative="t" stroked="f" coordsize="21600,21600">
            <v:path/>
            <v:fill on="f" focussize="0,0"/>
            <v:stroke on="f" joinstyle="miter"/>
            <v:imagedata r:id="rId223" o:title=""/>
            <o:lock v:ext="edit" aspectratio="t"/>
            <w10:wrap type="none"/>
            <w10:anchorlock/>
          </v:shape>
          <o:OLEObject Type="Embed" ProgID="Equation.DSMT4" ShapeID="_x0000_i1131" DrawAspect="Content" ObjectID="_1468075831" r:id="rId222">
            <o:LockedField>false</o:LockedField>
          </o:OLEObject>
        </w:object>
      </w:r>
      <w:r>
        <w:rPr>
          <w:rFonts w:hint="eastAsia" w:cs="Times New Roman"/>
        </w:rPr>
        <w:t>。所提方法的整体训练流程如算法1所示。</w:t>
      </w:r>
    </w:p>
    <w:p w14:paraId="1B527C17">
      <w:pPr>
        <w:spacing w:line="240" w:lineRule="auto"/>
        <w:ind w:firstLine="320" w:firstLineChars="200"/>
        <w:jc w:val="center"/>
        <w:rPr>
          <w:rFonts w:cs="Times New Roman"/>
        </w:rPr>
      </w:pPr>
      <w:r>
        <w:rPr>
          <w:rFonts w:cs="Times New Roman"/>
          <w:b/>
          <w:bCs/>
          <w:color w:val="1F3864"/>
          <w:kern w:val="0"/>
          <w:sz w:val="16"/>
          <w:szCs w:val="16"/>
          <w:lang w:eastAsia="en-US"/>
        </w:rPr>
        <w:t>TABLE</w:t>
      </w:r>
      <w:r>
        <w:rPr>
          <w:rFonts w:hint="eastAsia" w:cs="Times New Roman"/>
          <w:b/>
          <w:bCs/>
          <w:color w:val="1F3864"/>
          <w:kern w:val="0"/>
          <w:sz w:val="16"/>
          <w:szCs w:val="16"/>
        </w:rPr>
        <w:t>1.</w:t>
      </w:r>
      <w:r>
        <w:rPr>
          <w:rFonts w:cs="Times New Roman"/>
          <w:b/>
          <w:bCs/>
          <w:color w:val="1F3864"/>
          <w:kern w:val="0"/>
          <w:sz w:val="16"/>
          <w:szCs w:val="16"/>
          <w:lang w:eastAsia="en-US"/>
        </w:rPr>
        <w:t xml:space="preserve"> </w:t>
      </w:r>
      <w:r>
        <w:rPr>
          <w:rFonts w:hint="eastAsia" w:cs="Times New Roman"/>
          <w:color w:val="000000" w:themeColor="text1"/>
          <w:kern w:val="0"/>
          <w:sz w:val="18"/>
          <w:szCs w:val="18"/>
          <w:lang w:eastAsia="en-US"/>
          <w14:textFill>
            <w14:solidFill>
              <w14:schemeClr w14:val="tx1"/>
            </w14:solidFill>
          </w14:textFill>
        </w:rPr>
        <w:t>Implementation settings and hyperparameters</w:t>
      </w:r>
    </w:p>
    <w:tbl>
      <w:tblPr>
        <w:tblStyle w:val="55"/>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60"/>
        <w:gridCol w:w="2153"/>
        <w:gridCol w:w="2193"/>
        <w:gridCol w:w="3838"/>
      </w:tblGrid>
      <w:tr w14:paraId="180C5A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8" w:space="0"/>
              <w:left w:val="nil"/>
              <w:bottom w:val="single" w:color="auto" w:sz="8" w:space="0"/>
              <w:right w:val="nil"/>
              <w:insideH w:val="single" w:sz="8" w:space="0"/>
              <w:insideV w:val="nil"/>
              <w:tl2br w:val="nil"/>
              <w:tr2bl w:val="nil"/>
            </w:tcBorders>
            <w:vAlign w:val="center"/>
          </w:tcPr>
          <w:p w14:paraId="6786D3C1">
            <w:pPr>
              <w:jc w:val="left"/>
              <w:rPr>
                <w:rFonts w:ascii="Times New Roman" w:hAnsi="Times New Roman" w:cs="Times New Roman"/>
                <w:b/>
                <w:bCs/>
              </w:rPr>
            </w:pPr>
            <w:r>
              <w:rPr>
                <w:rFonts w:ascii="Times New Roman" w:hAnsi="Times New Roman" w:cs="Times New Roman"/>
                <w:b/>
                <w:bCs/>
              </w:rPr>
              <w:t>Category</w:t>
            </w:r>
          </w:p>
        </w:tc>
        <w:tc>
          <w:tcPr>
            <w:tcW w:w="0" w:type="auto"/>
            <w:tcBorders>
              <w:top w:val="single" w:color="auto" w:sz="8" w:space="0"/>
              <w:bottom w:val="single" w:color="auto" w:sz="8" w:space="0"/>
              <w:right w:val="nil"/>
              <w:insideH w:val="single" w:sz="8" w:space="0"/>
              <w:insideV w:val="nil"/>
              <w:tl2br w:val="nil"/>
              <w:tr2bl w:val="nil"/>
            </w:tcBorders>
            <w:vAlign w:val="center"/>
          </w:tcPr>
          <w:p w14:paraId="3A76793E">
            <w:pPr>
              <w:jc w:val="left"/>
              <w:rPr>
                <w:rFonts w:ascii="Times New Roman" w:hAnsi="Times New Roman" w:cs="Times New Roman"/>
                <w:b/>
                <w:bCs/>
              </w:rPr>
            </w:pPr>
            <w:r>
              <w:rPr>
                <w:rFonts w:ascii="Times New Roman" w:hAnsi="Times New Roman" w:cs="Times New Roman"/>
                <w:b/>
                <w:bCs/>
              </w:rPr>
              <w:t>Parameter</w:t>
            </w:r>
          </w:p>
        </w:tc>
        <w:tc>
          <w:tcPr>
            <w:tcW w:w="0" w:type="auto"/>
            <w:tcBorders>
              <w:top w:val="single" w:color="auto" w:sz="8" w:space="0"/>
              <w:bottom w:val="single" w:color="auto" w:sz="8" w:space="0"/>
              <w:right w:val="nil"/>
              <w:insideH w:val="single" w:sz="8" w:space="0"/>
              <w:insideV w:val="nil"/>
              <w:tl2br w:val="nil"/>
              <w:tr2bl w:val="nil"/>
            </w:tcBorders>
            <w:vAlign w:val="center"/>
          </w:tcPr>
          <w:p w14:paraId="6E16201B">
            <w:pPr>
              <w:jc w:val="left"/>
              <w:rPr>
                <w:rFonts w:ascii="Times New Roman" w:hAnsi="Times New Roman" w:cs="Times New Roman"/>
                <w:b/>
                <w:bCs/>
              </w:rPr>
            </w:pPr>
            <w:r>
              <w:rPr>
                <w:rFonts w:ascii="Times New Roman" w:hAnsi="Times New Roman" w:cs="Times New Roman"/>
                <w:b/>
                <w:bCs/>
              </w:rPr>
              <w:t>Setting</w:t>
            </w:r>
          </w:p>
        </w:tc>
        <w:tc>
          <w:tcPr>
            <w:tcW w:w="0" w:type="auto"/>
            <w:tcBorders>
              <w:top w:val="single" w:color="auto" w:sz="8" w:space="0"/>
              <w:bottom w:val="single" w:color="auto" w:sz="8" w:space="0"/>
              <w:right w:val="nil"/>
              <w:insideH w:val="single" w:sz="8" w:space="0"/>
              <w:insideV w:val="nil"/>
              <w:tl2br w:val="nil"/>
              <w:tr2bl w:val="nil"/>
            </w:tcBorders>
            <w:vAlign w:val="center"/>
          </w:tcPr>
          <w:p w14:paraId="61DA8AD1">
            <w:pPr>
              <w:jc w:val="left"/>
              <w:rPr>
                <w:rFonts w:ascii="Times New Roman" w:hAnsi="Times New Roman" w:cs="Times New Roman"/>
                <w:b/>
                <w:bCs/>
              </w:rPr>
            </w:pPr>
            <w:r>
              <w:rPr>
                <w:rFonts w:ascii="Times New Roman" w:hAnsi="Times New Roman" w:cs="Times New Roman"/>
                <w:b/>
                <w:bCs/>
              </w:rPr>
              <w:t>Description</w:t>
            </w:r>
          </w:p>
        </w:tc>
      </w:tr>
      <w:tr w14:paraId="2A96C01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CE794AB">
            <w:pPr>
              <w:jc w:val="left"/>
              <w:rPr>
                <w:rFonts w:cs="Times New Roman"/>
                <w:szCs w:val="21"/>
              </w:rPr>
            </w:pPr>
            <w:r>
              <w:rPr>
                <w:rFonts w:cs="Times New Roman"/>
                <w:szCs w:val="21"/>
              </w:rPr>
              <w:t>Input</w:t>
            </w:r>
          </w:p>
        </w:tc>
        <w:tc>
          <w:tcPr>
            <w:tcW w:w="0" w:type="auto"/>
            <w:vAlign w:val="center"/>
          </w:tcPr>
          <w:p w14:paraId="4B3F25D5">
            <w:pPr>
              <w:jc w:val="left"/>
              <w:rPr>
                <w:rFonts w:cs="Times New Roman"/>
              </w:rPr>
            </w:pPr>
            <w:r>
              <w:rPr>
                <w:rFonts w:cs="Times New Roman"/>
              </w:rPr>
              <w:t>Voltage sequence</w:t>
            </w:r>
          </w:p>
        </w:tc>
        <w:tc>
          <w:tcPr>
            <w:tcW w:w="0" w:type="auto"/>
            <w:vAlign w:val="center"/>
          </w:tcPr>
          <w:p w14:paraId="509B41AE">
            <w:pPr>
              <w:jc w:val="left"/>
              <w:rPr>
                <w:rFonts w:cs="Times New Roman"/>
              </w:rPr>
            </w:pPr>
            <w:r>
              <w:rPr>
                <w:rFonts w:cs="Times New Roman"/>
              </w:rPr>
              <w:t>100 points</w:t>
            </w:r>
          </w:p>
        </w:tc>
        <w:tc>
          <w:tcPr>
            <w:tcW w:w="0" w:type="auto"/>
            <w:vAlign w:val="center"/>
          </w:tcPr>
          <w:p w14:paraId="6F33A03A">
            <w:pPr>
              <w:jc w:val="left"/>
              <w:rPr>
                <w:rFonts w:cs="Times New Roman"/>
              </w:rPr>
            </w:pPr>
            <w:r>
              <w:rPr>
                <w:rFonts w:cs="Times New Roman"/>
              </w:rPr>
              <w:t>Interpolated</w:t>
            </w:r>
            <w:r>
              <w:rPr>
                <w:rFonts w:hint="eastAsia" w:cs="Times New Roman"/>
              </w:rPr>
              <w:t xml:space="preserve"> </w:t>
            </w:r>
            <w:r>
              <w:rPr>
                <w:rFonts w:cs="Times New Roman"/>
              </w:rPr>
              <w:t>charging-voltage trajectory</w:t>
            </w:r>
          </w:p>
        </w:tc>
      </w:tr>
      <w:tr w14:paraId="3696A3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454F9DD">
            <w:pPr>
              <w:jc w:val="left"/>
              <w:rPr>
                <w:rFonts w:cs="Times New Roman"/>
              </w:rPr>
            </w:pPr>
            <w:r>
              <w:rPr>
                <w:rFonts w:cs="Times New Roman"/>
              </w:rPr>
              <w:t>Input</w:t>
            </w:r>
          </w:p>
        </w:tc>
        <w:tc>
          <w:tcPr>
            <w:tcW w:w="0" w:type="auto"/>
            <w:vAlign w:val="center"/>
          </w:tcPr>
          <w:p w14:paraId="7B02919C">
            <w:pPr>
              <w:jc w:val="left"/>
              <w:rPr>
                <w:rFonts w:cs="Times New Roman"/>
              </w:rPr>
            </w:pPr>
            <w:r>
              <w:rPr>
                <w:rFonts w:cs="Times New Roman"/>
              </w:rPr>
              <w:t>Cycle position</w:t>
            </w:r>
          </w:p>
        </w:tc>
        <w:tc>
          <w:tcPr>
            <w:tcW w:w="0" w:type="auto"/>
            <w:vAlign w:val="center"/>
          </w:tcPr>
          <w:p w14:paraId="2C991777">
            <w:pPr>
              <w:jc w:val="left"/>
              <w:rPr>
                <w:rFonts w:cs="Times New Roman"/>
              </w:rPr>
            </w:pPr>
            <w:r>
              <w:rPr>
                <w:rFonts w:cs="Times New Roman"/>
              </w:rPr>
              <w:t>Normalized p</w:t>
            </w:r>
          </w:p>
        </w:tc>
        <w:tc>
          <w:tcPr>
            <w:tcW w:w="0" w:type="auto"/>
            <w:vAlign w:val="center"/>
          </w:tcPr>
          <w:p w14:paraId="08260B92">
            <w:pPr>
              <w:jc w:val="left"/>
              <w:rPr>
                <w:rFonts w:cs="Times New Roman"/>
              </w:rPr>
            </w:pPr>
            <w:r>
              <w:rPr>
                <w:rFonts w:cs="Times New Roman"/>
              </w:rPr>
              <w:t>Used for degradation prior and statevector</w:t>
            </w:r>
          </w:p>
        </w:tc>
      </w:tr>
      <w:tr w14:paraId="10B1A7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C1004D2">
            <w:pPr>
              <w:jc w:val="left"/>
              <w:rPr>
                <w:rFonts w:cs="Times New Roman"/>
              </w:rPr>
            </w:pPr>
            <w:r>
              <w:rPr>
                <w:rFonts w:cs="Times New Roman"/>
              </w:rPr>
              <w:t>Physical prior</w:t>
            </w:r>
          </w:p>
        </w:tc>
        <w:tc>
          <w:tcPr>
            <w:tcW w:w="0" w:type="auto"/>
            <w:vAlign w:val="center"/>
          </w:tcPr>
          <w:p w14:paraId="1D95C202">
            <w:pPr>
              <w:jc w:val="left"/>
              <w:rPr>
                <w:rFonts w:cs="Times New Roman"/>
              </w:rPr>
            </w:pPr>
            <w:r>
              <w:rPr>
                <w:rFonts w:cs="Times New Roman"/>
              </w:rPr>
              <w:t>Prior form</w:t>
            </w:r>
          </w:p>
        </w:tc>
        <w:tc>
          <w:tcPr>
            <w:tcW w:w="0" w:type="auto"/>
            <w:vAlign w:val="center"/>
          </w:tcPr>
          <w:p w14:paraId="154098C7">
            <w:pPr>
              <w:jc w:val="left"/>
              <w:rPr>
                <w:rFonts w:cs="Times New Roman"/>
              </w:rPr>
            </w:pPr>
            <w:r>
              <w:rPr>
                <w:rFonts w:cs="Times New Roman"/>
              </w:rPr>
              <w:t>Cubic polynomial</w:t>
            </w:r>
          </w:p>
        </w:tc>
        <w:tc>
          <w:tcPr>
            <w:tcW w:w="0" w:type="auto"/>
            <w:vAlign w:val="center"/>
          </w:tcPr>
          <w:p w14:paraId="6A31B9CC">
            <w:pPr>
              <w:jc w:val="left"/>
              <w:rPr>
                <w:rFonts w:cs="Times New Roman"/>
              </w:rPr>
            </w:pPr>
            <w:r>
              <w:rPr>
                <w:rFonts w:cs="Times New Roman"/>
              </w:rPr>
              <w:t>Fitted using source-domain samples</w:t>
            </w:r>
          </w:p>
        </w:tc>
      </w:tr>
      <w:tr w14:paraId="0CEBD8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A641159">
            <w:pPr>
              <w:jc w:val="left"/>
              <w:rPr>
                <w:rFonts w:cs="Times New Roman"/>
              </w:rPr>
            </w:pPr>
            <w:r>
              <w:rPr>
                <w:rFonts w:cs="Times New Roman"/>
              </w:rPr>
              <w:t>CNN block</w:t>
            </w:r>
          </w:p>
        </w:tc>
        <w:tc>
          <w:tcPr>
            <w:tcW w:w="0" w:type="auto"/>
            <w:vAlign w:val="center"/>
          </w:tcPr>
          <w:p w14:paraId="3BFA3DB4">
            <w:pPr>
              <w:jc w:val="left"/>
              <w:rPr>
                <w:rFonts w:cs="Times New Roman"/>
              </w:rPr>
            </w:pPr>
            <w:r>
              <w:rPr>
                <w:rFonts w:cs="Times New Roman"/>
              </w:rPr>
              <w:t>Conv. channels</w:t>
            </w:r>
          </w:p>
        </w:tc>
        <w:tc>
          <w:tcPr>
            <w:tcW w:w="0" w:type="auto"/>
            <w:vAlign w:val="center"/>
          </w:tcPr>
          <w:p w14:paraId="0A1DE8FA">
            <w:pPr>
              <w:jc w:val="left"/>
              <w:rPr>
                <w:rFonts w:cs="Times New Roman"/>
              </w:rPr>
            </w:pPr>
            <w:r>
              <w:rPr>
                <w:rFonts w:cs="Times New Roman"/>
              </w:rPr>
              <w:t>16-&gt;32</w:t>
            </w:r>
          </w:p>
        </w:tc>
        <w:tc>
          <w:tcPr>
            <w:tcW w:w="0" w:type="auto"/>
            <w:vAlign w:val="center"/>
          </w:tcPr>
          <w:p w14:paraId="387F7658">
            <w:pPr>
              <w:jc w:val="left"/>
              <w:rPr>
                <w:rFonts w:cs="Times New Roman"/>
              </w:rPr>
            </w:pPr>
            <w:r>
              <w:rPr>
                <w:rFonts w:cs="Times New Roman"/>
              </w:rPr>
              <w:t>Local voltage feature extraction</w:t>
            </w:r>
          </w:p>
        </w:tc>
      </w:tr>
      <w:tr w14:paraId="250259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ED5BCA4">
            <w:pPr>
              <w:jc w:val="left"/>
              <w:rPr>
                <w:rFonts w:cs="Times New Roman"/>
              </w:rPr>
            </w:pPr>
            <w:r>
              <w:rPr>
                <w:rFonts w:cs="Times New Roman"/>
              </w:rPr>
              <w:t>CNN block</w:t>
            </w:r>
          </w:p>
        </w:tc>
        <w:tc>
          <w:tcPr>
            <w:tcW w:w="0" w:type="auto"/>
            <w:vAlign w:val="center"/>
          </w:tcPr>
          <w:p w14:paraId="78B2C208">
            <w:pPr>
              <w:jc w:val="left"/>
              <w:rPr>
                <w:rFonts w:cs="Times New Roman"/>
              </w:rPr>
            </w:pPr>
            <w:r>
              <w:rPr>
                <w:rFonts w:cs="Times New Roman"/>
              </w:rPr>
              <w:t>Kernel/ pooling</w:t>
            </w:r>
          </w:p>
        </w:tc>
        <w:tc>
          <w:tcPr>
            <w:tcW w:w="0" w:type="auto"/>
            <w:vAlign w:val="center"/>
          </w:tcPr>
          <w:p w14:paraId="7CCAA0AB">
            <w:pPr>
              <w:jc w:val="left"/>
              <w:rPr>
                <w:rFonts w:cs="Times New Roman"/>
              </w:rPr>
            </w:pPr>
            <w:r>
              <w:rPr>
                <w:rFonts w:cs="Times New Roman"/>
              </w:rPr>
              <w:t>k = 3; MaxPool(2)</w:t>
            </w:r>
          </w:p>
        </w:tc>
        <w:tc>
          <w:tcPr>
            <w:tcW w:w="0" w:type="auto"/>
            <w:vAlign w:val="center"/>
          </w:tcPr>
          <w:p w14:paraId="0482B264">
            <w:pPr>
              <w:jc w:val="left"/>
              <w:rPr>
                <w:rFonts w:cs="Times New Roman"/>
              </w:rPr>
            </w:pPr>
            <w:r>
              <w:rPr>
                <w:rFonts w:cs="Times New Roman"/>
              </w:rPr>
              <w:t>Applied in each convolutional block</w:t>
            </w:r>
          </w:p>
        </w:tc>
      </w:tr>
      <w:tr w14:paraId="434CE6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641C53F">
            <w:pPr>
              <w:jc w:val="left"/>
              <w:rPr>
                <w:rFonts w:cs="Times New Roman"/>
              </w:rPr>
            </w:pPr>
            <w:r>
              <w:rPr>
                <w:rFonts w:cs="Times New Roman"/>
              </w:rPr>
              <w:t>Temporal encoder</w:t>
            </w:r>
          </w:p>
        </w:tc>
        <w:tc>
          <w:tcPr>
            <w:tcW w:w="0" w:type="auto"/>
            <w:vAlign w:val="center"/>
          </w:tcPr>
          <w:p w14:paraId="0438F967">
            <w:pPr>
              <w:jc w:val="left"/>
              <w:rPr>
                <w:rFonts w:cs="Times New Roman"/>
              </w:rPr>
            </w:pPr>
            <w:r>
              <w:rPr>
                <w:rFonts w:cs="Times New Roman"/>
              </w:rPr>
              <w:t>Recurrent unit</w:t>
            </w:r>
          </w:p>
        </w:tc>
        <w:tc>
          <w:tcPr>
            <w:tcW w:w="0" w:type="auto"/>
            <w:vAlign w:val="center"/>
          </w:tcPr>
          <w:p w14:paraId="18C48D08">
            <w:pPr>
              <w:jc w:val="left"/>
              <w:rPr>
                <w:rFonts w:cs="Times New Roman"/>
              </w:rPr>
            </w:pPr>
            <w:r>
              <w:rPr>
                <w:rFonts w:cs="Times New Roman"/>
              </w:rPr>
              <w:t>Hidden size =64</w:t>
            </w:r>
          </w:p>
        </w:tc>
        <w:tc>
          <w:tcPr>
            <w:tcW w:w="0" w:type="auto"/>
            <w:vAlign w:val="center"/>
          </w:tcPr>
          <w:p w14:paraId="4763309E">
            <w:pPr>
              <w:jc w:val="left"/>
              <w:rPr>
                <w:rFonts w:cs="Times New Roman"/>
              </w:rPr>
            </w:pPr>
            <w:r>
              <w:rPr>
                <w:rFonts w:cs="Times New Roman"/>
              </w:rPr>
              <w:t>Encodes local temporal states</w:t>
            </w:r>
          </w:p>
        </w:tc>
      </w:tr>
      <w:tr w14:paraId="051C30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834ADAB">
            <w:pPr>
              <w:jc w:val="left"/>
              <w:rPr>
                <w:rFonts w:cs="Times New Roman"/>
              </w:rPr>
            </w:pPr>
            <w:r>
              <w:rPr>
                <w:rFonts w:cs="Times New Roman"/>
              </w:rPr>
              <w:t>Attention</w:t>
            </w:r>
          </w:p>
        </w:tc>
        <w:tc>
          <w:tcPr>
            <w:tcW w:w="0" w:type="auto"/>
            <w:vAlign w:val="center"/>
          </w:tcPr>
          <w:p w14:paraId="17F77727">
            <w:pPr>
              <w:jc w:val="left"/>
              <w:rPr>
                <w:rFonts w:cs="Times New Roman"/>
              </w:rPr>
            </w:pPr>
            <w:r>
              <w:rPr>
                <w:rFonts w:cs="Times New Roman"/>
              </w:rPr>
              <w:t>State vector</w:t>
            </w:r>
          </w:p>
        </w:tc>
        <w:tc>
          <w:tcPr>
            <w:tcW w:w="0" w:type="auto"/>
            <w:vAlign w:val="center"/>
          </w:tcPr>
          <w:p w14:paraId="0BA2DABA">
            <w:pPr>
              <w:jc w:val="left"/>
              <w:rPr>
                <w:rFonts w:cs="Times New Roman"/>
              </w:rPr>
            </w:pPr>
            <w:r>
              <w:rPr>
                <w:rFonts w:cs="Times New Roman"/>
              </w:rPr>
              <w:t>dim=3</w:t>
            </w:r>
          </w:p>
        </w:tc>
        <w:tc>
          <w:tcPr>
            <w:tcW w:w="0" w:type="auto"/>
            <w:vAlign w:val="center"/>
          </w:tcPr>
          <w:p w14:paraId="01ADD6F5">
            <w:pPr>
              <w:jc w:val="left"/>
              <w:rPr>
                <w:rFonts w:cs="Times New Roman"/>
              </w:rPr>
            </w:pPr>
            <w:r>
              <w:rPr>
                <w:rFonts w:cs="Times New Roman"/>
              </w:rPr>
              <w:t>[p,y_base, 1 -y_base]</w:t>
            </w:r>
          </w:p>
        </w:tc>
      </w:tr>
      <w:tr w14:paraId="0F63DC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56EFB2B">
            <w:pPr>
              <w:jc w:val="left"/>
              <w:rPr>
                <w:rFonts w:cs="Times New Roman"/>
              </w:rPr>
            </w:pPr>
            <w:r>
              <w:rPr>
                <w:rFonts w:cs="Times New Roman"/>
              </w:rPr>
              <w:t>Attention</w:t>
            </w:r>
          </w:p>
        </w:tc>
        <w:tc>
          <w:tcPr>
            <w:tcW w:w="0" w:type="auto"/>
            <w:vAlign w:val="center"/>
          </w:tcPr>
          <w:p w14:paraId="2DA66C4A">
            <w:pPr>
              <w:jc w:val="left"/>
              <w:rPr>
                <w:rFonts w:cs="Times New Roman"/>
              </w:rPr>
            </w:pPr>
            <w:r>
              <w:rPr>
                <w:rFonts w:cs="Times New Roman"/>
              </w:rPr>
              <w:t>Curve token</w:t>
            </w:r>
          </w:p>
        </w:tc>
        <w:tc>
          <w:tcPr>
            <w:tcW w:w="0" w:type="auto"/>
            <w:vAlign w:val="center"/>
          </w:tcPr>
          <w:p w14:paraId="64952F01">
            <w:pPr>
              <w:jc w:val="left"/>
              <w:rPr>
                <w:rFonts w:cs="Times New Roman"/>
              </w:rPr>
            </w:pPr>
            <w:r>
              <w:rPr>
                <w:rFonts w:cs="Times New Roman"/>
              </w:rPr>
              <w:t>dim=3</w:t>
            </w:r>
          </w:p>
        </w:tc>
        <w:tc>
          <w:tcPr>
            <w:tcW w:w="0" w:type="auto"/>
            <w:vAlign w:val="center"/>
          </w:tcPr>
          <w:p w14:paraId="4A3932EF">
            <w:pPr>
              <w:jc w:val="left"/>
              <w:rPr>
                <w:rFonts w:cs="Times New Roman"/>
              </w:rPr>
            </w:pPr>
            <w:r>
              <w:rPr>
                <w:rFonts w:cs="Times New Roman"/>
              </w:rPr>
              <w:t>[V, Delta V, Delta^2 V]</w:t>
            </w:r>
          </w:p>
        </w:tc>
      </w:tr>
      <w:tr w14:paraId="760B2B3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51BA156">
            <w:pPr>
              <w:jc w:val="left"/>
              <w:rPr>
                <w:rFonts w:cs="Times New Roman"/>
              </w:rPr>
            </w:pPr>
            <w:r>
              <w:rPr>
                <w:rFonts w:cs="Times New Roman"/>
              </w:rPr>
              <w:t>Regression head</w:t>
            </w:r>
          </w:p>
        </w:tc>
        <w:tc>
          <w:tcPr>
            <w:tcW w:w="0" w:type="auto"/>
            <w:vAlign w:val="center"/>
          </w:tcPr>
          <w:p w14:paraId="10091E70">
            <w:pPr>
              <w:jc w:val="left"/>
              <w:rPr>
                <w:rFonts w:cs="Times New Roman"/>
              </w:rPr>
            </w:pPr>
            <w:r>
              <w:rPr>
                <w:rFonts w:cs="Times New Roman"/>
              </w:rPr>
              <w:t>Dropout</w:t>
            </w:r>
          </w:p>
        </w:tc>
        <w:tc>
          <w:tcPr>
            <w:tcW w:w="0" w:type="auto"/>
            <w:vAlign w:val="center"/>
          </w:tcPr>
          <w:p w14:paraId="48E15906">
            <w:pPr>
              <w:jc w:val="left"/>
              <w:rPr>
                <w:rFonts w:cs="Times New Roman"/>
              </w:rPr>
            </w:pPr>
            <w:r>
              <w:rPr>
                <w:rFonts w:cs="Times New Roman"/>
              </w:rPr>
              <w:t>0.2</w:t>
            </w:r>
          </w:p>
        </w:tc>
        <w:tc>
          <w:tcPr>
            <w:tcW w:w="0" w:type="auto"/>
            <w:vAlign w:val="center"/>
          </w:tcPr>
          <w:p w14:paraId="082106B6">
            <w:pPr>
              <w:jc w:val="left"/>
              <w:rPr>
                <w:rFonts w:cs="Times New Roman"/>
              </w:rPr>
            </w:pPr>
            <w:r>
              <w:rPr>
                <w:rFonts w:cs="Times New Roman"/>
              </w:rPr>
              <w:t>Used before residual SOH regression</w:t>
            </w:r>
          </w:p>
        </w:tc>
      </w:tr>
      <w:tr w14:paraId="71DE28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584BDAF">
            <w:pPr>
              <w:jc w:val="left"/>
              <w:rPr>
                <w:rFonts w:cs="Times New Roman"/>
              </w:rPr>
            </w:pPr>
            <w:r>
              <w:rPr>
                <w:rFonts w:cs="Times New Roman"/>
              </w:rPr>
              <w:t>Optimizer</w:t>
            </w:r>
          </w:p>
        </w:tc>
        <w:tc>
          <w:tcPr>
            <w:tcW w:w="0" w:type="auto"/>
            <w:vAlign w:val="center"/>
          </w:tcPr>
          <w:p w14:paraId="706DB61E">
            <w:pPr>
              <w:jc w:val="left"/>
              <w:rPr>
                <w:rFonts w:cs="Times New Roman"/>
              </w:rPr>
            </w:pPr>
            <w:r>
              <w:rPr>
                <w:rFonts w:cs="Times New Roman"/>
              </w:rPr>
              <w:t>Optimizer</w:t>
            </w:r>
          </w:p>
        </w:tc>
        <w:tc>
          <w:tcPr>
            <w:tcW w:w="0" w:type="auto"/>
            <w:vAlign w:val="center"/>
          </w:tcPr>
          <w:p w14:paraId="3BF08B0B">
            <w:pPr>
              <w:jc w:val="left"/>
              <w:rPr>
                <w:rFonts w:cs="Times New Roman"/>
              </w:rPr>
            </w:pPr>
            <w:r>
              <w:rPr>
                <w:rFonts w:cs="Times New Roman"/>
              </w:rPr>
              <w:t>Adam</w:t>
            </w:r>
          </w:p>
        </w:tc>
        <w:tc>
          <w:tcPr>
            <w:tcW w:w="0" w:type="auto"/>
            <w:vAlign w:val="center"/>
          </w:tcPr>
          <w:p w14:paraId="1612FF70">
            <w:pPr>
              <w:jc w:val="left"/>
              <w:rPr>
                <w:rFonts w:cs="Times New Roman"/>
              </w:rPr>
            </w:pPr>
            <w:r>
              <w:rPr>
                <w:rFonts w:cs="Times New Roman"/>
              </w:rPr>
              <w:t>Applied to all trainable modules</w:t>
            </w:r>
          </w:p>
        </w:tc>
      </w:tr>
      <w:tr w14:paraId="7A22867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2BFF005">
            <w:pPr>
              <w:jc w:val="left"/>
              <w:rPr>
                <w:rFonts w:cs="Times New Roman"/>
              </w:rPr>
            </w:pPr>
            <w:r>
              <w:rPr>
                <w:rFonts w:cs="Times New Roman"/>
              </w:rPr>
              <w:t>Training</w:t>
            </w:r>
          </w:p>
        </w:tc>
        <w:tc>
          <w:tcPr>
            <w:tcW w:w="0" w:type="auto"/>
            <w:vAlign w:val="center"/>
          </w:tcPr>
          <w:p w14:paraId="4867E77A">
            <w:pPr>
              <w:jc w:val="left"/>
              <w:rPr>
                <w:rFonts w:cs="Times New Roman"/>
              </w:rPr>
            </w:pPr>
            <w:r>
              <w:rPr>
                <w:rFonts w:cs="Times New Roman"/>
              </w:rPr>
              <w:t>Epochs /batch size</w:t>
            </w:r>
          </w:p>
        </w:tc>
        <w:tc>
          <w:tcPr>
            <w:tcW w:w="0" w:type="auto"/>
            <w:vAlign w:val="center"/>
          </w:tcPr>
          <w:p w14:paraId="5528104E">
            <w:pPr>
              <w:jc w:val="left"/>
              <w:rPr>
                <w:rFonts w:cs="Times New Roman"/>
              </w:rPr>
            </w:pPr>
            <w:r>
              <w:rPr>
                <w:rFonts w:cs="Times New Roman"/>
              </w:rPr>
              <w:t>150/128</w:t>
            </w:r>
          </w:p>
        </w:tc>
        <w:tc>
          <w:tcPr>
            <w:tcW w:w="0" w:type="auto"/>
            <w:vAlign w:val="center"/>
          </w:tcPr>
          <w:p w14:paraId="7D066A22">
            <w:pPr>
              <w:jc w:val="left"/>
              <w:rPr>
                <w:rFonts w:cs="Times New Roman"/>
              </w:rPr>
            </w:pPr>
            <w:r>
              <w:rPr>
                <w:rFonts w:cs="Times New Roman"/>
              </w:rPr>
              <w:t>Fixed for all retained experiments</w:t>
            </w:r>
          </w:p>
        </w:tc>
      </w:tr>
      <w:tr w14:paraId="324E2ED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98DADFF">
            <w:pPr>
              <w:jc w:val="left"/>
              <w:rPr>
                <w:rFonts w:cs="Times New Roman"/>
              </w:rPr>
            </w:pPr>
            <w:r>
              <w:rPr>
                <w:rFonts w:cs="Times New Roman"/>
              </w:rPr>
              <w:t>Learning rate</w:t>
            </w:r>
          </w:p>
        </w:tc>
        <w:tc>
          <w:tcPr>
            <w:tcW w:w="0" w:type="auto"/>
            <w:vAlign w:val="center"/>
          </w:tcPr>
          <w:p w14:paraId="6B58C19D">
            <w:pPr>
              <w:jc w:val="left"/>
              <w:rPr>
                <w:rFonts w:cs="Times New Roman"/>
              </w:rPr>
            </w:pPr>
            <w:r>
              <w:rPr>
                <w:rFonts w:cs="Times New Roman"/>
              </w:rPr>
              <w:t>Initial/decay</w:t>
            </w:r>
          </w:p>
        </w:tc>
        <w:tc>
          <w:tcPr>
            <w:tcW w:w="0" w:type="auto"/>
            <w:vAlign w:val="center"/>
          </w:tcPr>
          <w:p w14:paraId="470883CB">
            <w:pPr>
              <w:jc w:val="left"/>
              <w:rPr>
                <w:rFonts w:cs="Times New Roman"/>
              </w:rPr>
            </w:pPr>
            <w:r>
              <w:rPr>
                <w:rFonts w:hint="eastAsia" w:cs="Times New Roman"/>
              </w:rPr>
              <w:t>1</w:t>
            </w:r>
            <w:r>
              <w:rPr>
                <w:rFonts w:cs="Times New Roman"/>
              </w:rPr>
              <w:t>e-3; x0.1 at epoch 100</w:t>
            </w:r>
          </w:p>
        </w:tc>
        <w:tc>
          <w:tcPr>
            <w:tcW w:w="0" w:type="auto"/>
            <w:vAlign w:val="center"/>
          </w:tcPr>
          <w:p w14:paraId="2CB4E1FB">
            <w:pPr>
              <w:jc w:val="left"/>
              <w:rPr>
                <w:rFonts w:cs="Times New Roman"/>
              </w:rPr>
            </w:pPr>
            <w:r>
              <w:rPr>
                <w:rFonts w:cs="Times New Roman"/>
              </w:rPr>
              <w:t>Late-stage training stabilization</w:t>
            </w:r>
          </w:p>
        </w:tc>
      </w:tr>
      <w:tr w14:paraId="3C7A7E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C6844C6">
            <w:pPr>
              <w:jc w:val="left"/>
              <w:rPr>
                <w:rFonts w:cs="Times New Roman"/>
              </w:rPr>
            </w:pPr>
            <w:r>
              <w:rPr>
                <w:rFonts w:cs="Times New Roman"/>
              </w:rPr>
              <w:t>MMD regularization</w:t>
            </w:r>
          </w:p>
        </w:tc>
        <w:tc>
          <w:tcPr>
            <w:tcW w:w="0" w:type="auto"/>
            <w:vAlign w:val="center"/>
          </w:tcPr>
          <w:p w14:paraId="47234921">
            <w:pPr>
              <w:jc w:val="left"/>
              <w:rPr>
                <w:rFonts w:cs="Times New Roman"/>
              </w:rPr>
            </w:pPr>
            <w:r>
              <w:rPr>
                <w:rFonts w:cs="Times New Roman"/>
              </w:rPr>
              <w:t>Active epochs</w:t>
            </w:r>
          </w:p>
        </w:tc>
        <w:tc>
          <w:tcPr>
            <w:tcW w:w="0" w:type="auto"/>
            <w:vAlign w:val="center"/>
          </w:tcPr>
          <w:p w14:paraId="2FB951BA">
            <w:pPr>
              <w:jc w:val="left"/>
              <w:rPr>
                <w:rFonts w:cs="Times New Roman"/>
              </w:rPr>
            </w:pPr>
            <w:r>
              <w:rPr>
                <w:rFonts w:cs="Times New Roman"/>
              </w:rPr>
              <w:t>21-120</w:t>
            </w:r>
          </w:p>
        </w:tc>
        <w:tc>
          <w:tcPr>
            <w:tcW w:w="0" w:type="auto"/>
            <w:vAlign w:val="center"/>
          </w:tcPr>
          <w:p w14:paraId="73812522">
            <w:pPr>
              <w:jc w:val="left"/>
              <w:rPr>
                <w:rFonts w:cs="Times New Roman"/>
              </w:rPr>
            </w:pPr>
            <w:r>
              <w:rPr>
                <w:rFonts w:cs="Times New Roman"/>
              </w:rPr>
              <w:t>Warm-up and sprint stages exclude MMD</w:t>
            </w:r>
          </w:p>
        </w:tc>
      </w:tr>
      <w:tr w14:paraId="5D722D3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2413240">
            <w:pPr>
              <w:jc w:val="left"/>
              <w:rPr>
                <w:rFonts w:cs="Times New Roman"/>
              </w:rPr>
            </w:pPr>
            <w:r>
              <w:rPr>
                <w:rFonts w:cs="Times New Roman"/>
              </w:rPr>
              <w:t>MMD regularization</w:t>
            </w:r>
          </w:p>
        </w:tc>
        <w:tc>
          <w:tcPr>
            <w:tcW w:w="0" w:type="auto"/>
            <w:vAlign w:val="center"/>
          </w:tcPr>
          <w:p w14:paraId="5A319013">
            <w:pPr>
              <w:jc w:val="left"/>
              <w:rPr>
                <w:rFonts w:cs="Times New Roman"/>
              </w:rPr>
            </w:pPr>
            <w:r>
              <w:rPr>
                <w:rFonts w:cs="Times New Roman"/>
              </w:rPr>
              <w:t>lambda_mmd / gamma</w:t>
            </w:r>
          </w:p>
        </w:tc>
        <w:tc>
          <w:tcPr>
            <w:tcW w:w="0" w:type="auto"/>
            <w:vAlign w:val="center"/>
          </w:tcPr>
          <w:p w14:paraId="3A71060A">
            <w:pPr>
              <w:jc w:val="left"/>
              <w:rPr>
                <w:rFonts w:cs="Times New Roman"/>
              </w:rPr>
            </w:pPr>
            <w:r>
              <w:rPr>
                <w:rFonts w:cs="Times New Roman"/>
              </w:rPr>
              <w:t>5e-5/5.5</w:t>
            </w:r>
          </w:p>
        </w:tc>
        <w:tc>
          <w:tcPr>
            <w:tcW w:w="0" w:type="auto"/>
            <w:vAlign w:val="center"/>
          </w:tcPr>
          <w:p w14:paraId="1D017F02">
            <w:pPr>
              <w:jc w:val="left"/>
              <w:rPr>
                <w:rFonts w:cs="Times New Roman"/>
              </w:rPr>
            </w:pPr>
            <w:r>
              <w:rPr>
                <w:rFonts w:cs="Times New Roman"/>
              </w:rPr>
              <w:t>Outer MMD weight and degradation factor</w:t>
            </w:r>
          </w:p>
        </w:tc>
      </w:tr>
    </w:tbl>
    <w:p w14:paraId="6F8CC8C8">
      <w:pPr>
        <w:rPr>
          <w:rFonts w:cs="Times New Roman"/>
          <w:szCs w:val="21"/>
        </w:rPr>
      </w:pPr>
      <w:r>
        <w:rPr>
          <w:rFonts w:hint="eastAsia" w:cs="Times New Roman"/>
          <w:b/>
          <w:bCs/>
          <w:color w:val="1F3864"/>
          <w:kern w:val="0"/>
          <w:sz w:val="16"/>
          <w:szCs w:val="16"/>
        </w:rPr>
        <w:tab/>
      </w:r>
      <w:r>
        <w:rPr>
          <w:rFonts w:hint="eastAsia" w:cs="Times New Roman"/>
          <w:b/>
          <w:bCs/>
          <w:color w:val="1F3864"/>
          <w:kern w:val="0"/>
          <w:sz w:val="16"/>
          <w:szCs w:val="16"/>
        </w:rPr>
        <w:tab/>
      </w:r>
    </w:p>
    <w:p w14:paraId="06FF93FA">
      <w:pPr>
        <w:jc w:val="center"/>
        <w:rPr>
          <w:rFonts w:cs="Times New Roman"/>
        </w:rPr>
      </w:pPr>
      <w:r>
        <w:rPr>
          <w:rFonts w:cs="Times New Roman"/>
        </w:rPr>
        <w:drawing>
          <wp:inline distT="0" distB="0" distL="114300" distR="114300">
            <wp:extent cx="5031105" cy="4798695"/>
            <wp:effectExtent l="0" t="0" r="17145" b="1905"/>
            <wp:docPr id="4" name="图片 4" descr="算法伪代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算法伪代码图"/>
                    <pic:cNvPicPr>
                      <a:picLocks noChangeAspect="1"/>
                    </pic:cNvPicPr>
                  </pic:nvPicPr>
                  <pic:blipFill>
                    <a:blip r:embed="rId224"/>
                    <a:stretch>
                      <a:fillRect/>
                    </a:stretch>
                  </pic:blipFill>
                  <pic:spPr>
                    <a:xfrm>
                      <a:off x="0" y="0"/>
                      <a:ext cx="5031105" cy="4798695"/>
                    </a:xfrm>
                    <a:prstGeom prst="rect">
                      <a:avLst/>
                    </a:prstGeom>
                  </pic:spPr>
                </pic:pic>
              </a:graphicData>
            </a:graphic>
          </wp:inline>
        </w:drawing>
      </w:r>
    </w:p>
    <w:p w14:paraId="15DC7FEA">
      <w:pPr>
        <w:rPr>
          <w:rFonts w:cs="Times New Roman"/>
        </w:rPr>
      </w:pPr>
      <w:r>
        <w:rPr>
          <w:rFonts w:hint="eastAsia" w:cs="Times New Roman"/>
          <w:b/>
          <w:bCs/>
          <w:color w:val="2F5496"/>
          <w:szCs w:val="21"/>
        </w:rPr>
        <w:t>4 实验与分析</w:t>
      </w:r>
    </w:p>
    <w:p w14:paraId="4B2BC6E9">
      <w:pPr>
        <w:rPr>
          <w:rFonts w:cs="Times New Roman"/>
          <w:b/>
          <w:bCs/>
          <w:color w:val="2F5496"/>
          <w:szCs w:val="21"/>
        </w:rPr>
      </w:pPr>
      <w:r>
        <w:rPr>
          <w:rFonts w:hint="eastAsia" w:cs="Times New Roman"/>
          <w:b/>
          <w:bCs/>
          <w:color w:val="2F5496"/>
          <w:szCs w:val="21"/>
        </w:rPr>
        <w:t>4.1 数据集描述</w:t>
      </w:r>
    </w:p>
    <w:p w14:paraId="1B922FF3">
      <w:pPr>
        <w:ind w:firstLine="420" w:firstLineChars="200"/>
      </w:pPr>
      <w:r>
        <w:rPr>
          <w:rFonts w:hint="eastAsia" w:cs="Times New Roman"/>
        </w:rPr>
        <w:t>采用Huazhong Artificial Intelligence Lab发布的公开锂离子电池数据集。该数据集包含77个商业电池单体，在不同放电协议下形成超过140000个充放电循环样本。数据划分在电池批次完成，其中Batch 1-8作为源域，包含61个电池与115256 个样本。Batch 9作为目标域，包含8个电池与16310个样本。Batch 10作为最终盲测集，包含8个电池与14556个样本，如表1所报道。图9展示了该数据集的可视化。为了量化实验结果，</w:t>
      </w:r>
      <w:r>
        <w:rPr>
          <w:rFonts w:cs="Times New Roman"/>
        </w:rPr>
        <w:t xml:space="preserve">采用 </w:t>
      </w:r>
      <w:r>
        <w:rPr>
          <w:rFonts w:hint="eastAsia" w:cs="Times New Roman"/>
        </w:rPr>
        <w:t>Average</w:t>
      </w:r>
      <w:r>
        <w:rPr>
          <w:rFonts w:cs="Times New Roman"/>
        </w:rPr>
        <w:t xml:space="preserve"> RMSE、MAE</w:t>
      </w:r>
      <w:r>
        <w:rPr>
          <w:rFonts w:hint="eastAsia" w:cs="Times New Roman"/>
        </w:rPr>
        <w:t>以及</w:t>
      </w:r>
      <w:r>
        <w:rPr>
          <w:rFonts w:cs="Times New Roman"/>
        </w:rPr>
        <w:t>MAPE作为评价指标。</w:t>
      </w:r>
      <w:r>
        <w:rPr>
          <w:rFonts w:hint="eastAsia" w:cs="Times New Roman"/>
        </w:rPr>
        <w:t>此外，</w:t>
      </w:r>
      <w:r>
        <w:rPr>
          <w:rFonts w:hint="eastAsia"/>
        </w:rPr>
        <w:t>考虑到不同电池的循环长度差异，仅采用上述指标容易受到样本数量较多电池的影响。因此，进一步采用Macro RMSE评估模型在不同电池上的平均预测误差。设Batch 10中共有</w:t>
      </w:r>
      <w:r>
        <w:rPr>
          <w:position w:val="-4"/>
        </w:rPr>
        <w:object>
          <v:shape id="_x0000_i1132" o:spt="75" type="#_x0000_t75" style="height:13.1pt;width:13.1pt;" o:ole="t" filled="f" o:preferrelative="t" stroked="f" coordsize="21600,21600">
            <v:path/>
            <v:fill on="f" focussize="0,0"/>
            <v:stroke on="f" joinstyle="miter"/>
            <v:imagedata r:id="rId226" o:title=""/>
            <o:lock v:ext="edit" aspectratio="t"/>
            <w10:wrap type="none"/>
            <w10:anchorlock/>
          </v:shape>
          <o:OLEObject Type="Embed" ProgID="Equation.DSMT4" ShapeID="_x0000_i1132" DrawAspect="Content" ObjectID="_1468075832" r:id="rId225">
            <o:LockedField>false</o:LockedField>
          </o:OLEObject>
        </w:object>
      </w:r>
      <w:r>
        <w:rPr>
          <w:rFonts w:hint="eastAsia"/>
        </w:rPr>
        <w:t>个电池，第</w:t>
      </w:r>
      <w:r>
        <w:rPr>
          <w:position w:val="-6"/>
        </w:rPr>
        <w:object>
          <v:shape id="_x0000_i1133" o:spt="75" type="#_x0000_t75" style="height:14.05pt;width:9.35pt;" o:ole="t" filled="f" o:preferrelative="t" stroked="f" coordsize="21600,21600">
            <v:path/>
            <v:fill on="f" focussize="0,0"/>
            <v:stroke on="f" joinstyle="miter"/>
            <v:imagedata r:id="rId228" o:title=""/>
            <o:lock v:ext="edit" aspectratio="t"/>
            <w10:wrap type="none"/>
            <w10:anchorlock/>
          </v:shape>
          <o:OLEObject Type="Embed" ProgID="Equation.DSMT4" ShapeID="_x0000_i1133" DrawAspect="Content" ObjectID="_1468075833" r:id="rId227">
            <o:LockedField>false</o:LockedField>
          </o:OLEObject>
        </w:object>
      </w:r>
      <w:r>
        <w:rPr>
          <w:rFonts w:hint="eastAsia"/>
        </w:rPr>
        <w:t>个电池包含</w:t>
      </w:r>
      <w:r>
        <w:rPr>
          <w:position w:val="-12"/>
        </w:rPr>
        <w:object>
          <v:shape id="_x0000_i1134" o:spt="75" type="#_x0000_t75" style="height:18.7pt;width:15.9pt;" o:ole="t" filled="f" o:preferrelative="t" stroked="f" coordsize="21600,21600">
            <v:path/>
            <v:fill on="f" focussize="0,0"/>
            <v:stroke on="f" joinstyle="miter"/>
            <v:imagedata r:id="rId230" o:title=""/>
            <o:lock v:ext="edit" aspectratio="t"/>
            <w10:wrap type="none"/>
            <w10:anchorlock/>
          </v:shape>
          <o:OLEObject Type="Embed" ProgID="Equation.DSMT4" ShapeID="_x0000_i1134" DrawAspect="Content" ObjectID="_1468075834" r:id="rId229">
            <o:LockedField>false</o:LockedField>
          </o:OLEObject>
        </w:object>
      </w:r>
      <w:r>
        <w:rPr>
          <w:rFonts w:hint="eastAsia"/>
        </w:rPr>
        <w:t>个循环样本，则Macro RMSE定义为，</w:t>
      </w:r>
    </w:p>
    <w:p w14:paraId="5246383F">
      <w:pPr>
        <w:pStyle w:val="49"/>
      </w:pPr>
      <w:r>
        <w:rPr>
          <w:rFonts w:hint="eastAsia"/>
        </w:rPr>
        <w:tab/>
      </w:r>
      <w:r>
        <w:rPr>
          <w:position w:val="-32"/>
        </w:rPr>
        <w:object>
          <v:shape id="_x0000_i1135" o:spt="75" type="#_x0000_t75" style="height:41.15pt;width:206.65pt;" o:ole="t" filled="f" o:preferrelative="t" stroked="f" coordsize="21600,21600">
            <v:path/>
            <v:fill on="f" focussize="0,0"/>
            <v:stroke on="f" joinstyle="miter"/>
            <v:imagedata r:id="rId232" o:title=""/>
            <o:lock v:ext="edit" aspectratio="t"/>
            <w10:wrap type="none"/>
            <w10:anchorlock/>
          </v:shape>
          <o:OLEObject Type="Embed" ProgID="Equation.DSMT4" ShapeID="_x0000_i1135" DrawAspect="Content" ObjectID="_1468075835" r:id="rId231">
            <o:LockedField>false</o:LockedField>
          </o:OLEObject>
        </w:object>
      </w:r>
      <w:r>
        <w:rPr>
          <w:rFonts w:hint="eastAsia"/>
        </w:rPr>
        <w:t xml:space="preserve"> </w:t>
      </w:r>
      <w:r>
        <w:rPr>
          <w:rFonts w:hint="eastAsia"/>
        </w:rPr>
        <w:tab/>
      </w:r>
      <w:r>
        <w:rPr>
          <w:rFonts w:hint="eastAsia"/>
        </w:rPr>
        <w:fldChar w:fldCharType="begin"/>
      </w:r>
      <w:r>
        <w:rPr>
          <w:rFonts w:hint="eastAsia"/>
        </w:rPr>
        <w:instrText xml:space="preserve"> MACROBUTTON MTPlaceRef \* MERGEFO</w:instrText>
      </w:r>
      <w:r>
        <w:rPr>
          <w:rFonts w:hint="eastAsia"/>
          <w:position w:val="-4"/>
        </w:rPr>
        <w:instrText xml:space="preserve">R</w:instrText>
      </w:r>
      <w:r>
        <w:rPr>
          <w:rFonts w:hint="eastAsia"/>
        </w:rPr>
        <w:instrText xml:space="preserve">MAT </w:instrText>
      </w:r>
      <w:r>
        <w:fldChar w:fldCharType="begin"/>
      </w:r>
      <w:r>
        <w:instrText xml:space="preserve"> SEQ MTEqn \h \* MERGEFORMAT </w:instrText>
      </w:r>
      <w:r>
        <w:fldChar w:fldCharType="end"/>
      </w:r>
      <w:r>
        <w:rPr>
          <w:rFonts w:hint="eastAsia"/>
        </w:rPr>
        <w:instrText xml:space="preserve">(</w:instrText>
      </w:r>
      <w:r>
        <w:fldChar w:fldCharType="begin"/>
      </w:r>
      <w:r>
        <w:instrText xml:space="preserve"> SEQ MTEqn \c \* Arabic \* MERGEFORMAT </w:instrText>
      </w:r>
      <w:r>
        <w:fldChar w:fldCharType="separate"/>
      </w:r>
      <w:r>
        <w:instrText xml:space="preserve">30</w:instrText>
      </w:r>
      <w:r>
        <w:fldChar w:fldCharType="end"/>
      </w:r>
      <w:r>
        <w:rPr>
          <w:rFonts w:hint="eastAsia"/>
        </w:rPr>
        <w:instrText xml:space="preserve">)</w:instrText>
      </w:r>
      <w:r>
        <w:fldChar w:fldCharType="separate"/>
      </w:r>
      <w:r>
        <w:rPr>
          <w:rFonts w:hint="eastAsia"/>
        </w:rPr>
        <w:fldChar w:fldCharType="end"/>
      </w:r>
    </w:p>
    <w:p w14:paraId="6AE8A0DA">
      <w:r>
        <w:rPr>
          <w:rFonts w:hint="eastAsia"/>
        </w:rPr>
        <w:t>其中，</w:t>
      </w:r>
      <w:r>
        <w:rPr>
          <w:position w:val="-14"/>
        </w:rPr>
        <w:object>
          <v:shape id="_x0000_i1136" o:spt="75" type="#_x0000_t75" style="height:18.7pt;width:18.7pt;" o:ole="t" filled="f" o:preferrelative="t" stroked="f" coordsize="21600,21600">
            <v:path/>
            <v:fill on="f" focussize="0,0"/>
            <v:stroke on="f" joinstyle="miter"/>
            <v:imagedata r:id="rId234" o:title=""/>
            <o:lock v:ext="edit" aspectratio="t"/>
            <w10:wrap type="none"/>
            <w10:anchorlock/>
          </v:shape>
          <o:OLEObject Type="Embed" ProgID="Equation.DSMT4" ShapeID="_x0000_i1136" DrawAspect="Content" ObjectID="_1468075836" r:id="rId233">
            <o:LockedField>false</o:LockedField>
          </o:OLEObject>
        </w:object>
      </w:r>
      <w:r>
        <w:rPr>
          <w:rFonts w:hint="eastAsia"/>
        </w:rPr>
        <w:t>与</w:t>
      </w:r>
      <w:r>
        <w:rPr>
          <w:position w:val="-14"/>
        </w:rPr>
        <w:object>
          <v:shape id="_x0000_i1137" o:spt="75" type="#_x0000_t75" style="height:18.7pt;width:18.7pt;" o:ole="t" filled="f" o:preferrelative="t" stroked="f" coordsize="21600,21600">
            <v:path/>
            <v:fill on="f" focussize="0,0"/>
            <v:stroke on="f" joinstyle="miter"/>
            <v:imagedata r:id="rId236" o:title=""/>
            <o:lock v:ext="edit" aspectratio="t"/>
            <w10:wrap type="none"/>
            <w10:anchorlock/>
          </v:shape>
          <o:OLEObject Type="Embed" ProgID="Equation.DSMT4" ShapeID="_x0000_i1137" DrawAspect="Content" ObjectID="_1468075837" r:id="rId235">
            <o:LockedField>false</o:LockedField>
          </o:OLEObject>
        </w:object>
      </w:r>
      <w:r>
        <w:rPr>
          <w:rFonts w:hint="eastAsia"/>
        </w:rPr>
        <w:t>分别表示第</w:t>
      </w:r>
      <w:r>
        <w:rPr>
          <w:position w:val="-6"/>
        </w:rPr>
        <w:object>
          <v:shape id="_x0000_i1138" o:spt="75" type="#_x0000_t75" style="height:14.05pt;width:9.35pt;" o:ole="t" filled="f" o:preferrelative="t" stroked="f" coordsize="21600,21600">
            <v:path/>
            <v:fill on="f" focussize="0,0"/>
            <v:stroke on="f" joinstyle="miter"/>
            <v:imagedata r:id="rId238" o:title=""/>
            <o:lock v:ext="edit" aspectratio="t"/>
            <w10:wrap type="none"/>
            <w10:anchorlock/>
          </v:shape>
          <o:OLEObject Type="Embed" ProgID="Equation.DSMT4" ShapeID="_x0000_i1138" DrawAspect="Content" ObjectID="_1468075838" r:id="rId237">
            <o:LockedField>false</o:LockedField>
          </o:OLEObject>
        </w:object>
      </w:r>
      <w:r>
        <w:rPr>
          <w:rFonts w:hint="eastAsia"/>
        </w:rPr>
        <w:t>个电池中第</w:t>
      </w:r>
      <w:r>
        <w:rPr>
          <w:position w:val="-6"/>
        </w:rPr>
        <w:object>
          <v:shape id="_x0000_i1139" o:spt="75" type="#_x0000_t75" style="height:13.1pt;width:6.55pt;" o:ole="t" filled="f" o:preferrelative="t" stroked="f" coordsize="21600,21600">
            <v:path/>
            <v:fill on="f" focussize="0,0"/>
            <v:stroke on="f" joinstyle="miter"/>
            <v:imagedata r:id="rId240" o:title=""/>
            <o:lock v:ext="edit" aspectratio="t"/>
            <w10:wrap type="none"/>
            <w10:anchorlock/>
          </v:shape>
          <o:OLEObject Type="Embed" ProgID="Equation.DSMT4" ShapeID="_x0000_i1139" DrawAspect="Content" ObjectID="_1468075839" r:id="rId239">
            <o:LockedField>false</o:LockedField>
          </o:OLEObject>
        </w:object>
      </w:r>
      <w:r>
        <w:rPr>
          <w:rFonts w:hint="eastAsia"/>
        </w:rPr>
        <w:t>个循环样本的真实SOH与预测SOH。</w:t>
      </w:r>
    </w:p>
    <w:p w14:paraId="25995424">
      <w:pPr>
        <w:jc w:val="center"/>
        <w:rPr>
          <w:rFonts w:cs="Times New Roman"/>
        </w:rPr>
      </w:pPr>
      <w:r>
        <w:rPr>
          <w:rFonts w:hint="eastAsia" w:cs="Times New Roman"/>
        </w:rPr>
        <w:drawing>
          <wp:inline distT="0" distB="0" distL="114300" distR="114300">
            <wp:extent cx="6432550" cy="4705985"/>
            <wp:effectExtent l="0" t="0" r="6350" b="0"/>
            <wp:docPr id="19" name="图片 19" descr="Figure_dataset_overview_multi_panel_v2_sm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igure_dataset_overview_multi_panel_v2_smooth"/>
                    <pic:cNvPicPr>
                      <a:picLocks noChangeAspect="1"/>
                    </pic:cNvPicPr>
                  </pic:nvPicPr>
                  <pic:blipFill>
                    <a:blip r:embed="rId241"/>
                    <a:stretch>
                      <a:fillRect/>
                    </a:stretch>
                  </pic:blipFill>
                  <pic:spPr>
                    <a:xfrm>
                      <a:off x="0" y="0"/>
                      <a:ext cx="6452359" cy="4720212"/>
                    </a:xfrm>
                    <a:prstGeom prst="rect">
                      <a:avLst/>
                    </a:prstGeom>
                  </pic:spPr>
                </pic:pic>
              </a:graphicData>
            </a:graphic>
          </wp:inline>
        </w:drawing>
      </w:r>
    </w:p>
    <w:p w14:paraId="063DA613">
      <w:pPr>
        <w:jc w:val="center"/>
        <w:rPr>
          <w:rFonts w:cs="Times New Roman"/>
        </w:rPr>
      </w:pPr>
      <w:r>
        <w:rPr>
          <w:rFonts w:cs="Times New Roman"/>
          <w:b/>
          <w:bCs/>
          <w:color w:val="203864" w:themeColor="accent1" w:themeShade="80"/>
          <w:sz w:val="18"/>
          <w:szCs w:val="18"/>
        </w:rPr>
        <w:t>Fig.</w:t>
      </w:r>
      <w:r>
        <w:rPr>
          <w:rFonts w:hint="eastAsia" w:cs="Times New Roman"/>
          <w:b/>
          <w:bCs/>
          <w:color w:val="203864" w:themeColor="accent1" w:themeShade="80"/>
          <w:sz w:val="18"/>
          <w:szCs w:val="18"/>
        </w:rPr>
        <w:t>9</w:t>
      </w:r>
      <w:r>
        <w:rPr>
          <w:rFonts w:cs="Times New Roman"/>
          <w:sz w:val="18"/>
          <w:szCs w:val="18"/>
        </w:rPr>
        <w:t xml:space="preserve"> </w:t>
      </w:r>
      <w:r>
        <w:rPr>
          <w:rFonts w:hint="eastAsia" w:cs="Times New Roman"/>
          <w:sz w:val="18"/>
          <w:szCs w:val="18"/>
        </w:rPr>
        <w:t>Overview of the lithium-ion battery dataset and representative voltage-current degradation signals</w:t>
      </w:r>
    </w:p>
    <w:p w14:paraId="01A9D67C">
      <w:pPr>
        <w:ind w:left="240" w:hanging="240" w:hangingChars="150"/>
        <w:jc w:val="center"/>
        <w:rPr>
          <w:rFonts w:cs="Times New Roman"/>
        </w:rPr>
      </w:pPr>
      <w:bookmarkStart w:id="0" w:name="_Hlk97908763"/>
      <w:r>
        <w:rPr>
          <w:rFonts w:cs="Times New Roman"/>
          <w:b/>
          <w:bCs/>
          <w:color w:val="1F3864"/>
          <w:kern w:val="0"/>
          <w:sz w:val="16"/>
          <w:szCs w:val="16"/>
          <w:lang w:eastAsia="en-US"/>
        </w:rPr>
        <w:t xml:space="preserve">TABLE </w:t>
      </w:r>
      <w:r>
        <w:rPr>
          <w:rFonts w:hint="eastAsia" w:cs="Times New Roman"/>
          <w:b/>
          <w:bCs/>
          <w:color w:val="1F3864"/>
          <w:kern w:val="0"/>
          <w:sz w:val="16"/>
          <w:szCs w:val="16"/>
        </w:rPr>
        <w:t>2</w:t>
      </w:r>
      <w:r>
        <w:rPr>
          <w:rFonts w:cs="Times New Roman"/>
          <w:color w:val="1F3864"/>
          <w:kern w:val="0"/>
          <w:sz w:val="18"/>
          <w:szCs w:val="18"/>
          <w:lang w:eastAsia="en-US"/>
        </w:rPr>
        <w:t xml:space="preserve"> </w:t>
      </w:r>
      <w:bookmarkEnd w:id="0"/>
      <w:r>
        <w:rPr>
          <w:rFonts w:cs="Times New Roman"/>
          <w:color w:val="000000"/>
          <w:kern w:val="0"/>
          <w:sz w:val="18"/>
          <w:szCs w:val="18"/>
          <w:lang w:eastAsia="en-US"/>
        </w:rPr>
        <w:t>Fixed cross-batch split summary</w:t>
      </w:r>
    </w:p>
    <w:tbl>
      <w:tblPr>
        <w:tblStyle w:val="22"/>
        <w:tblpPr w:leftFromText="180" w:rightFromText="180" w:vertAnchor="text" w:horzAnchor="page" w:tblpX="793" w:tblpY="28"/>
        <w:tblOverlap w:val="never"/>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8"/>
        <w:gridCol w:w="1470"/>
        <w:gridCol w:w="1446"/>
        <w:gridCol w:w="1846"/>
        <w:gridCol w:w="1504"/>
        <w:gridCol w:w="1446"/>
        <w:gridCol w:w="1442"/>
      </w:tblGrid>
      <w:tr w14:paraId="647469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15" w:type="pct"/>
            <w:tcBorders>
              <w:top w:val="single" w:color="auto" w:sz="8" w:space="0"/>
              <w:bottom w:val="single" w:color="auto" w:sz="8" w:space="0"/>
            </w:tcBorders>
          </w:tcPr>
          <w:p w14:paraId="6B96041F">
            <w:pPr>
              <w:jc w:val="center"/>
              <w:rPr>
                <w:rFonts w:eastAsia="等线" w:cs="Times New Roman"/>
                <w:sz w:val="18"/>
                <w:szCs w:val="18"/>
              </w:rPr>
            </w:pPr>
            <w:r>
              <w:rPr>
                <w:rFonts w:eastAsia="宋体" w:cs="Times New Roman"/>
                <w:color w:val="000000"/>
                <w:kern w:val="0"/>
                <w:sz w:val="22"/>
                <w:lang w:bidi="ar"/>
              </w:rPr>
              <w:t>split</w:t>
            </w:r>
          </w:p>
        </w:tc>
        <w:tc>
          <w:tcPr>
            <w:tcW w:w="688" w:type="pct"/>
            <w:tcBorders>
              <w:top w:val="single" w:color="auto" w:sz="8" w:space="0"/>
              <w:bottom w:val="single" w:color="auto" w:sz="8" w:space="0"/>
            </w:tcBorders>
            <w:vAlign w:val="center"/>
          </w:tcPr>
          <w:p w14:paraId="7529187D">
            <w:pPr>
              <w:jc w:val="center"/>
              <w:rPr>
                <w:rFonts w:eastAsia="等线" w:cs="Times New Roman"/>
                <w:sz w:val="18"/>
                <w:szCs w:val="18"/>
              </w:rPr>
            </w:pPr>
            <w:r>
              <w:rPr>
                <w:rFonts w:eastAsia="宋体" w:cs="Times New Roman"/>
                <w:color w:val="000000"/>
                <w:kern w:val="0"/>
                <w:sz w:val="22"/>
                <w:lang w:bidi="ar"/>
              </w:rPr>
              <w:t>samples</w:t>
            </w:r>
          </w:p>
        </w:tc>
        <w:tc>
          <w:tcPr>
            <w:tcW w:w="677" w:type="pct"/>
            <w:tcBorders>
              <w:top w:val="single" w:color="auto" w:sz="8" w:space="0"/>
              <w:bottom w:val="single" w:color="auto" w:sz="8" w:space="0"/>
            </w:tcBorders>
            <w:vAlign w:val="center"/>
          </w:tcPr>
          <w:p w14:paraId="449D691F">
            <w:pPr>
              <w:jc w:val="center"/>
              <w:rPr>
                <w:rFonts w:eastAsia="等线" w:cs="Times New Roman"/>
                <w:sz w:val="18"/>
                <w:szCs w:val="18"/>
              </w:rPr>
            </w:pPr>
            <w:r>
              <w:rPr>
                <w:rFonts w:eastAsia="宋体" w:cs="Times New Roman"/>
                <w:color w:val="000000"/>
                <w:kern w:val="0"/>
                <w:sz w:val="22"/>
                <w:lang w:bidi="ar"/>
              </w:rPr>
              <w:t>cells</w:t>
            </w:r>
          </w:p>
        </w:tc>
        <w:tc>
          <w:tcPr>
            <w:tcW w:w="864" w:type="pct"/>
            <w:tcBorders>
              <w:top w:val="single" w:color="auto" w:sz="8" w:space="0"/>
              <w:bottom w:val="single" w:color="auto" w:sz="8" w:space="0"/>
            </w:tcBorders>
            <w:vAlign w:val="center"/>
          </w:tcPr>
          <w:p w14:paraId="65D6B1E3">
            <w:pPr>
              <w:jc w:val="center"/>
              <w:rPr>
                <w:rFonts w:eastAsia="等线" w:cs="Times New Roman"/>
                <w:sz w:val="18"/>
                <w:szCs w:val="18"/>
              </w:rPr>
            </w:pPr>
            <w:r>
              <w:rPr>
                <w:rFonts w:eastAsia="宋体" w:cs="Times New Roman"/>
                <w:color w:val="000000"/>
                <w:kern w:val="0"/>
                <w:sz w:val="22"/>
                <w:lang w:bidi="ar"/>
              </w:rPr>
              <w:t>batches</w:t>
            </w:r>
          </w:p>
        </w:tc>
        <w:tc>
          <w:tcPr>
            <w:tcW w:w="704" w:type="pct"/>
            <w:tcBorders>
              <w:top w:val="single" w:color="auto" w:sz="8" w:space="0"/>
              <w:bottom w:val="single" w:color="auto" w:sz="8" w:space="0"/>
            </w:tcBorders>
          </w:tcPr>
          <w:p w14:paraId="78733351">
            <w:pPr>
              <w:jc w:val="center"/>
              <w:rPr>
                <w:rFonts w:eastAsia="等线" w:cs="Times New Roman"/>
                <w:sz w:val="18"/>
                <w:szCs w:val="18"/>
              </w:rPr>
            </w:pPr>
            <w:r>
              <w:rPr>
                <w:rFonts w:eastAsia="宋体" w:cs="Times New Roman"/>
                <w:color w:val="000000"/>
                <w:kern w:val="0"/>
                <w:sz w:val="22"/>
                <w:lang w:bidi="ar"/>
              </w:rPr>
              <w:t>x</w:t>
            </w:r>
            <w:r>
              <w:rPr>
                <w:rFonts w:eastAsia="宋体" w:cs="Times New Roman"/>
                <w:color w:val="000000"/>
                <w:kern w:val="0"/>
                <w:sz w:val="22"/>
                <w:vertAlign w:val="subscript"/>
                <w:lang w:bidi="ar"/>
              </w:rPr>
              <w:t>shape</w:t>
            </w:r>
          </w:p>
        </w:tc>
        <w:tc>
          <w:tcPr>
            <w:tcW w:w="677" w:type="pct"/>
            <w:tcBorders>
              <w:top w:val="single" w:color="auto" w:sz="8" w:space="0"/>
              <w:bottom w:val="single" w:color="auto" w:sz="8" w:space="0"/>
            </w:tcBorders>
          </w:tcPr>
          <w:p w14:paraId="7684B32B">
            <w:pPr>
              <w:jc w:val="center"/>
              <w:rPr>
                <w:rFonts w:eastAsia="等线" w:cs="Times New Roman"/>
                <w:sz w:val="18"/>
                <w:szCs w:val="18"/>
              </w:rPr>
            </w:pPr>
            <w:r>
              <w:rPr>
                <w:rFonts w:eastAsia="宋体" w:cs="Times New Roman"/>
                <w:color w:val="000000"/>
                <w:kern w:val="0"/>
                <w:sz w:val="22"/>
                <w:lang w:bidi="ar"/>
              </w:rPr>
              <w:t>y</w:t>
            </w:r>
            <w:r>
              <w:rPr>
                <w:rFonts w:eastAsia="宋体" w:cs="Times New Roman"/>
                <w:color w:val="000000"/>
                <w:kern w:val="0"/>
                <w:sz w:val="22"/>
                <w:vertAlign w:val="subscript"/>
                <w:lang w:bidi="ar"/>
              </w:rPr>
              <w:t>min</w:t>
            </w:r>
          </w:p>
        </w:tc>
        <w:tc>
          <w:tcPr>
            <w:tcW w:w="676" w:type="pct"/>
            <w:tcBorders>
              <w:top w:val="single" w:color="auto" w:sz="8" w:space="0"/>
              <w:bottom w:val="single" w:color="auto" w:sz="8" w:space="0"/>
            </w:tcBorders>
          </w:tcPr>
          <w:p w14:paraId="5BDA657E">
            <w:pPr>
              <w:jc w:val="center"/>
              <w:rPr>
                <w:rFonts w:eastAsia="等线" w:cs="Times New Roman"/>
                <w:sz w:val="18"/>
                <w:szCs w:val="18"/>
              </w:rPr>
            </w:pPr>
            <w:r>
              <w:rPr>
                <w:rFonts w:eastAsia="宋体" w:cs="Times New Roman"/>
                <w:color w:val="000000"/>
                <w:kern w:val="0"/>
                <w:sz w:val="22"/>
                <w:lang w:bidi="ar"/>
              </w:rPr>
              <w:t>y</w:t>
            </w:r>
            <w:r>
              <w:rPr>
                <w:rFonts w:eastAsia="宋体" w:cs="Times New Roman"/>
                <w:color w:val="000000"/>
                <w:kern w:val="0"/>
                <w:sz w:val="22"/>
                <w:vertAlign w:val="subscript"/>
                <w:lang w:bidi="ar"/>
              </w:rPr>
              <w:t>max</w:t>
            </w:r>
          </w:p>
        </w:tc>
      </w:tr>
      <w:tr w14:paraId="7EB26E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15" w:type="pct"/>
            <w:tcBorders>
              <w:top w:val="single" w:color="auto" w:sz="8" w:space="0"/>
              <w:bottom w:val="nil"/>
            </w:tcBorders>
          </w:tcPr>
          <w:p w14:paraId="610A599F">
            <w:pPr>
              <w:jc w:val="center"/>
              <w:rPr>
                <w:rFonts w:eastAsia="等线" w:cs="Times New Roman"/>
                <w:sz w:val="18"/>
                <w:szCs w:val="18"/>
              </w:rPr>
            </w:pPr>
            <w:r>
              <w:rPr>
                <w:rFonts w:eastAsia="宋体" w:cs="Times New Roman"/>
                <w:color w:val="000000"/>
                <w:kern w:val="0"/>
                <w:sz w:val="22"/>
                <w:lang w:bidi="ar"/>
              </w:rPr>
              <w:t>source</w:t>
            </w:r>
          </w:p>
        </w:tc>
        <w:tc>
          <w:tcPr>
            <w:tcW w:w="688" w:type="pct"/>
            <w:tcBorders>
              <w:top w:val="single" w:color="auto" w:sz="8" w:space="0"/>
              <w:bottom w:val="nil"/>
            </w:tcBorders>
            <w:vAlign w:val="center"/>
          </w:tcPr>
          <w:p w14:paraId="651D054C">
            <w:pPr>
              <w:jc w:val="center"/>
              <w:rPr>
                <w:rFonts w:eastAsia="等线" w:cs="Times New Roman"/>
                <w:sz w:val="18"/>
                <w:szCs w:val="18"/>
              </w:rPr>
            </w:pPr>
            <w:r>
              <w:rPr>
                <w:rFonts w:eastAsia="宋体" w:cs="Times New Roman"/>
                <w:color w:val="000000"/>
                <w:kern w:val="0"/>
                <w:sz w:val="22"/>
                <w:lang w:bidi="ar"/>
              </w:rPr>
              <w:t>115256</w:t>
            </w:r>
          </w:p>
        </w:tc>
        <w:tc>
          <w:tcPr>
            <w:tcW w:w="677" w:type="pct"/>
            <w:tcBorders>
              <w:top w:val="single" w:color="auto" w:sz="8" w:space="0"/>
              <w:bottom w:val="nil"/>
            </w:tcBorders>
            <w:vAlign w:val="center"/>
          </w:tcPr>
          <w:p w14:paraId="25611AF7">
            <w:pPr>
              <w:jc w:val="center"/>
              <w:rPr>
                <w:rFonts w:eastAsia="等线" w:cs="Times New Roman"/>
                <w:sz w:val="18"/>
                <w:szCs w:val="18"/>
              </w:rPr>
            </w:pPr>
            <w:r>
              <w:rPr>
                <w:rFonts w:eastAsia="宋体" w:cs="Times New Roman"/>
                <w:color w:val="000000"/>
                <w:kern w:val="0"/>
                <w:sz w:val="22"/>
                <w:lang w:bidi="ar"/>
              </w:rPr>
              <w:t>61</w:t>
            </w:r>
          </w:p>
        </w:tc>
        <w:tc>
          <w:tcPr>
            <w:tcW w:w="864" w:type="pct"/>
            <w:tcBorders>
              <w:top w:val="single" w:color="auto" w:sz="8" w:space="0"/>
              <w:bottom w:val="nil"/>
            </w:tcBorders>
            <w:vAlign w:val="center"/>
          </w:tcPr>
          <w:p w14:paraId="19542DDB">
            <w:pPr>
              <w:jc w:val="center"/>
              <w:rPr>
                <w:rFonts w:eastAsia="等线" w:cs="Times New Roman"/>
                <w:sz w:val="18"/>
                <w:szCs w:val="18"/>
              </w:rPr>
            </w:pPr>
            <w:r>
              <w:rPr>
                <w:rFonts w:eastAsia="宋体" w:cs="Times New Roman"/>
                <w:color w:val="000000"/>
                <w:kern w:val="0"/>
                <w:sz w:val="22"/>
                <w:lang w:bidi="ar"/>
              </w:rPr>
              <w:t>1,2,3,4,5,6,7,8</w:t>
            </w:r>
          </w:p>
        </w:tc>
        <w:tc>
          <w:tcPr>
            <w:tcW w:w="704" w:type="pct"/>
            <w:tcBorders>
              <w:top w:val="single" w:color="auto" w:sz="8" w:space="0"/>
              <w:bottom w:val="nil"/>
            </w:tcBorders>
          </w:tcPr>
          <w:p w14:paraId="4D6FDFE8">
            <w:pPr>
              <w:jc w:val="center"/>
              <w:rPr>
                <w:rFonts w:eastAsia="等线" w:cs="Times New Roman"/>
                <w:sz w:val="18"/>
                <w:szCs w:val="18"/>
              </w:rPr>
            </w:pPr>
            <w:r>
              <w:rPr>
                <w:rFonts w:eastAsia="宋体" w:cs="Times New Roman"/>
                <w:color w:val="000000"/>
                <w:kern w:val="0"/>
                <w:sz w:val="22"/>
                <w:lang w:bidi="ar"/>
              </w:rPr>
              <w:t>115256x100</w:t>
            </w:r>
          </w:p>
        </w:tc>
        <w:tc>
          <w:tcPr>
            <w:tcW w:w="677" w:type="pct"/>
            <w:tcBorders>
              <w:top w:val="single" w:color="auto" w:sz="8" w:space="0"/>
              <w:bottom w:val="nil"/>
            </w:tcBorders>
          </w:tcPr>
          <w:p w14:paraId="57EDADB5">
            <w:pPr>
              <w:jc w:val="center"/>
              <w:rPr>
                <w:rFonts w:eastAsia="等线" w:cs="Times New Roman"/>
                <w:sz w:val="18"/>
                <w:szCs w:val="18"/>
              </w:rPr>
            </w:pPr>
            <w:r>
              <w:rPr>
                <w:rFonts w:eastAsia="宋体" w:cs="Times New Roman"/>
                <w:color w:val="000000"/>
                <w:kern w:val="0"/>
                <w:sz w:val="22"/>
                <w:lang w:bidi="ar"/>
              </w:rPr>
              <w:t>0.799</w:t>
            </w:r>
          </w:p>
        </w:tc>
        <w:tc>
          <w:tcPr>
            <w:tcW w:w="676" w:type="pct"/>
            <w:tcBorders>
              <w:top w:val="single" w:color="auto" w:sz="8" w:space="0"/>
              <w:bottom w:val="nil"/>
            </w:tcBorders>
          </w:tcPr>
          <w:p w14:paraId="542DDE35">
            <w:pPr>
              <w:jc w:val="center"/>
              <w:rPr>
                <w:rFonts w:eastAsia="等线" w:cs="Times New Roman"/>
                <w:sz w:val="18"/>
                <w:szCs w:val="18"/>
              </w:rPr>
            </w:pPr>
            <w:r>
              <w:rPr>
                <w:rFonts w:eastAsia="宋体" w:cs="Times New Roman"/>
                <w:color w:val="000000"/>
                <w:kern w:val="0"/>
                <w:sz w:val="22"/>
                <w:lang w:bidi="ar"/>
              </w:rPr>
              <w:t>1.119</w:t>
            </w:r>
          </w:p>
        </w:tc>
      </w:tr>
      <w:tr w14:paraId="1766E5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15" w:type="pct"/>
            <w:tcBorders>
              <w:top w:val="nil"/>
            </w:tcBorders>
          </w:tcPr>
          <w:p w14:paraId="1E533B46">
            <w:pPr>
              <w:jc w:val="center"/>
              <w:rPr>
                <w:rFonts w:eastAsia="等线" w:cs="Times New Roman"/>
                <w:sz w:val="18"/>
                <w:szCs w:val="18"/>
              </w:rPr>
            </w:pPr>
            <w:r>
              <w:rPr>
                <w:rFonts w:eastAsia="宋体" w:cs="Times New Roman"/>
                <w:color w:val="000000"/>
                <w:kern w:val="0"/>
                <w:sz w:val="22"/>
                <w:lang w:bidi="ar"/>
              </w:rPr>
              <w:t>target</w:t>
            </w:r>
            <w:r>
              <w:rPr>
                <w:rFonts w:eastAsia="宋体" w:cs="Times New Roman"/>
                <w:color w:val="000000"/>
                <w:kern w:val="0"/>
                <w:sz w:val="22"/>
                <w:vertAlign w:val="subscript"/>
                <w:lang w:bidi="ar"/>
              </w:rPr>
              <w:t>adapt</w:t>
            </w:r>
          </w:p>
        </w:tc>
        <w:tc>
          <w:tcPr>
            <w:tcW w:w="688" w:type="pct"/>
            <w:tcBorders>
              <w:top w:val="nil"/>
            </w:tcBorders>
            <w:vAlign w:val="center"/>
          </w:tcPr>
          <w:p w14:paraId="7A15A7FF">
            <w:pPr>
              <w:jc w:val="center"/>
              <w:rPr>
                <w:rFonts w:eastAsia="等线" w:cs="Times New Roman"/>
                <w:sz w:val="18"/>
                <w:szCs w:val="18"/>
              </w:rPr>
            </w:pPr>
            <w:r>
              <w:rPr>
                <w:rFonts w:eastAsia="宋体" w:cs="Times New Roman"/>
                <w:color w:val="000000"/>
                <w:kern w:val="0"/>
                <w:sz w:val="22"/>
                <w:lang w:bidi="ar"/>
              </w:rPr>
              <w:t>16310</w:t>
            </w:r>
          </w:p>
        </w:tc>
        <w:tc>
          <w:tcPr>
            <w:tcW w:w="677" w:type="pct"/>
            <w:tcBorders>
              <w:top w:val="nil"/>
            </w:tcBorders>
            <w:vAlign w:val="center"/>
          </w:tcPr>
          <w:p w14:paraId="2BDACAFD">
            <w:pPr>
              <w:jc w:val="center"/>
              <w:rPr>
                <w:rFonts w:eastAsia="等线" w:cs="Times New Roman"/>
                <w:sz w:val="18"/>
                <w:szCs w:val="18"/>
              </w:rPr>
            </w:pPr>
            <w:r>
              <w:rPr>
                <w:rFonts w:eastAsia="宋体" w:cs="Times New Roman"/>
                <w:color w:val="000000"/>
                <w:kern w:val="0"/>
                <w:sz w:val="22"/>
                <w:lang w:bidi="ar"/>
              </w:rPr>
              <w:t>8</w:t>
            </w:r>
          </w:p>
        </w:tc>
        <w:tc>
          <w:tcPr>
            <w:tcW w:w="864" w:type="pct"/>
            <w:tcBorders>
              <w:top w:val="nil"/>
            </w:tcBorders>
            <w:vAlign w:val="center"/>
          </w:tcPr>
          <w:p w14:paraId="03AA0E60">
            <w:pPr>
              <w:jc w:val="center"/>
              <w:rPr>
                <w:rFonts w:eastAsia="等线" w:cs="Times New Roman"/>
                <w:sz w:val="18"/>
                <w:szCs w:val="18"/>
              </w:rPr>
            </w:pPr>
            <w:r>
              <w:rPr>
                <w:rFonts w:eastAsia="宋体" w:cs="Times New Roman"/>
                <w:color w:val="000000"/>
                <w:kern w:val="0"/>
                <w:sz w:val="22"/>
                <w:lang w:bidi="ar"/>
              </w:rPr>
              <w:t>9</w:t>
            </w:r>
          </w:p>
        </w:tc>
        <w:tc>
          <w:tcPr>
            <w:tcW w:w="704" w:type="pct"/>
            <w:tcBorders>
              <w:top w:val="nil"/>
            </w:tcBorders>
          </w:tcPr>
          <w:p w14:paraId="2DF630C6">
            <w:pPr>
              <w:jc w:val="center"/>
              <w:rPr>
                <w:rFonts w:eastAsia="等线" w:cs="Times New Roman"/>
                <w:sz w:val="18"/>
                <w:szCs w:val="18"/>
              </w:rPr>
            </w:pPr>
            <w:r>
              <w:rPr>
                <w:rFonts w:eastAsia="宋体" w:cs="Times New Roman"/>
                <w:color w:val="000000"/>
                <w:kern w:val="0"/>
                <w:sz w:val="22"/>
                <w:lang w:bidi="ar"/>
              </w:rPr>
              <w:t>16310x100</w:t>
            </w:r>
          </w:p>
        </w:tc>
        <w:tc>
          <w:tcPr>
            <w:tcW w:w="677" w:type="pct"/>
            <w:tcBorders>
              <w:top w:val="nil"/>
            </w:tcBorders>
          </w:tcPr>
          <w:p w14:paraId="58B9E2BC">
            <w:pPr>
              <w:jc w:val="center"/>
              <w:rPr>
                <w:rFonts w:eastAsia="等线" w:cs="Times New Roman"/>
                <w:sz w:val="18"/>
                <w:szCs w:val="18"/>
              </w:rPr>
            </w:pPr>
            <w:r>
              <w:rPr>
                <w:rFonts w:eastAsia="宋体" w:cs="Times New Roman"/>
                <w:color w:val="000000"/>
                <w:kern w:val="0"/>
                <w:sz w:val="22"/>
                <w:lang w:bidi="ar"/>
              </w:rPr>
              <w:t>0.800</w:t>
            </w:r>
          </w:p>
        </w:tc>
        <w:tc>
          <w:tcPr>
            <w:tcW w:w="676" w:type="pct"/>
            <w:tcBorders>
              <w:top w:val="nil"/>
            </w:tcBorders>
          </w:tcPr>
          <w:p w14:paraId="6E3C3916">
            <w:pPr>
              <w:jc w:val="center"/>
              <w:rPr>
                <w:rFonts w:eastAsia="等线" w:cs="Times New Roman"/>
                <w:sz w:val="18"/>
                <w:szCs w:val="18"/>
              </w:rPr>
            </w:pPr>
            <w:r>
              <w:rPr>
                <w:rFonts w:eastAsia="宋体" w:cs="Times New Roman"/>
                <w:color w:val="000000"/>
                <w:kern w:val="0"/>
                <w:sz w:val="22"/>
                <w:lang w:bidi="ar"/>
              </w:rPr>
              <w:t>1.113</w:t>
            </w:r>
          </w:p>
        </w:tc>
      </w:tr>
      <w:tr w14:paraId="598EEA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715" w:type="pct"/>
          </w:tcPr>
          <w:p w14:paraId="61785D05">
            <w:pPr>
              <w:jc w:val="center"/>
              <w:rPr>
                <w:rFonts w:eastAsia="等线" w:cs="Times New Roman"/>
                <w:sz w:val="18"/>
                <w:szCs w:val="18"/>
              </w:rPr>
            </w:pPr>
            <w:r>
              <w:rPr>
                <w:rFonts w:eastAsia="宋体" w:cs="Times New Roman"/>
                <w:color w:val="000000"/>
                <w:kern w:val="0"/>
                <w:sz w:val="22"/>
                <w:lang w:bidi="ar"/>
              </w:rPr>
              <w:t>target</w:t>
            </w:r>
            <w:r>
              <w:rPr>
                <w:rFonts w:eastAsia="宋体" w:cs="Times New Roman"/>
                <w:color w:val="000000"/>
                <w:kern w:val="0"/>
                <w:sz w:val="22"/>
                <w:vertAlign w:val="subscript"/>
                <w:lang w:bidi="ar"/>
              </w:rPr>
              <w:t>test</w:t>
            </w:r>
          </w:p>
        </w:tc>
        <w:tc>
          <w:tcPr>
            <w:tcW w:w="688" w:type="pct"/>
            <w:vAlign w:val="center"/>
          </w:tcPr>
          <w:p w14:paraId="619567AD">
            <w:pPr>
              <w:jc w:val="center"/>
              <w:rPr>
                <w:rFonts w:eastAsia="等线" w:cs="Times New Roman"/>
                <w:sz w:val="18"/>
                <w:szCs w:val="18"/>
              </w:rPr>
            </w:pPr>
            <w:r>
              <w:rPr>
                <w:rFonts w:eastAsia="宋体" w:cs="Times New Roman"/>
                <w:color w:val="000000"/>
                <w:kern w:val="0"/>
                <w:sz w:val="22"/>
                <w:lang w:bidi="ar"/>
              </w:rPr>
              <w:t>14556</w:t>
            </w:r>
          </w:p>
        </w:tc>
        <w:tc>
          <w:tcPr>
            <w:tcW w:w="677" w:type="pct"/>
            <w:vAlign w:val="center"/>
          </w:tcPr>
          <w:p w14:paraId="3BB7300A">
            <w:pPr>
              <w:jc w:val="center"/>
              <w:rPr>
                <w:rFonts w:eastAsia="等线" w:cs="Times New Roman"/>
                <w:sz w:val="18"/>
                <w:szCs w:val="18"/>
              </w:rPr>
            </w:pPr>
            <w:r>
              <w:rPr>
                <w:rFonts w:eastAsia="宋体" w:cs="Times New Roman"/>
                <w:color w:val="000000"/>
                <w:kern w:val="0"/>
                <w:sz w:val="22"/>
                <w:lang w:bidi="ar"/>
              </w:rPr>
              <w:t>8</w:t>
            </w:r>
          </w:p>
        </w:tc>
        <w:tc>
          <w:tcPr>
            <w:tcW w:w="864" w:type="pct"/>
            <w:vAlign w:val="center"/>
          </w:tcPr>
          <w:p w14:paraId="7DBAC173">
            <w:pPr>
              <w:jc w:val="center"/>
              <w:rPr>
                <w:rFonts w:eastAsia="等线" w:cs="Times New Roman"/>
                <w:sz w:val="18"/>
                <w:szCs w:val="18"/>
              </w:rPr>
            </w:pPr>
            <w:r>
              <w:rPr>
                <w:rFonts w:eastAsia="宋体" w:cs="Times New Roman"/>
                <w:color w:val="000000"/>
                <w:kern w:val="0"/>
                <w:sz w:val="22"/>
                <w:lang w:bidi="ar"/>
              </w:rPr>
              <w:t>10</w:t>
            </w:r>
          </w:p>
        </w:tc>
        <w:tc>
          <w:tcPr>
            <w:tcW w:w="704" w:type="pct"/>
          </w:tcPr>
          <w:p w14:paraId="009C6679">
            <w:pPr>
              <w:jc w:val="center"/>
              <w:rPr>
                <w:rFonts w:eastAsia="等线" w:cs="Times New Roman"/>
                <w:sz w:val="18"/>
                <w:szCs w:val="18"/>
              </w:rPr>
            </w:pPr>
            <w:r>
              <w:rPr>
                <w:rFonts w:eastAsia="宋体" w:cs="Times New Roman"/>
                <w:color w:val="000000"/>
                <w:kern w:val="0"/>
                <w:sz w:val="22"/>
                <w:lang w:bidi="ar"/>
              </w:rPr>
              <w:t>14556x100</w:t>
            </w:r>
          </w:p>
        </w:tc>
        <w:tc>
          <w:tcPr>
            <w:tcW w:w="677" w:type="pct"/>
          </w:tcPr>
          <w:p w14:paraId="0B13CFA8">
            <w:pPr>
              <w:jc w:val="center"/>
              <w:rPr>
                <w:rFonts w:eastAsia="等线" w:cs="Times New Roman"/>
                <w:sz w:val="18"/>
                <w:szCs w:val="18"/>
              </w:rPr>
            </w:pPr>
            <w:r>
              <w:rPr>
                <w:rFonts w:eastAsia="宋体" w:cs="Times New Roman"/>
                <w:color w:val="000000"/>
                <w:kern w:val="0"/>
                <w:sz w:val="22"/>
                <w:lang w:bidi="ar"/>
              </w:rPr>
              <w:t>0.799</w:t>
            </w:r>
          </w:p>
        </w:tc>
        <w:tc>
          <w:tcPr>
            <w:tcW w:w="676" w:type="pct"/>
          </w:tcPr>
          <w:p w14:paraId="12120D24">
            <w:pPr>
              <w:jc w:val="center"/>
              <w:rPr>
                <w:rFonts w:eastAsia="等线" w:cs="Times New Roman"/>
                <w:sz w:val="18"/>
                <w:szCs w:val="18"/>
              </w:rPr>
            </w:pPr>
            <w:r>
              <w:rPr>
                <w:rFonts w:eastAsia="宋体" w:cs="Times New Roman"/>
                <w:color w:val="000000"/>
                <w:kern w:val="0"/>
                <w:sz w:val="22"/>
                <w:lang w:bidi="ar"/>
              </w:rPr>
              <w:t>1.122</w:t>
            </w:r>
          </w:p>
        </w:tc>
      </w:tr>
    </w:tbl>
    <w:p w14:paraId="2F2DFCBB">
      <w:pPr>
        <w:rPr>
          <w:rFonts w:cs="Times New Roman"/>
          <w:b/>
          <w:bCs/>
          <w:color w:val="2F5496"/>
          <w:szCs w:val="21"/>
        </w:rPr>
      </w:pPr>
      <w:r>
        <w:rPr>
          <w:rFonts w:hint="eastAsia" w:cs="Times New Roman"/>
          <w:b/>
          <w:bCs/>
          <w:color w:val="2F5496"/>
          <w:szCs w:val="21"/>
        </w:rPr>
        <w:t>4.2 SOH预测</w:t>
      </w:r>
    </w:p>
    <w:p w14:paraId="3BED3C81">
      <w:pPr>
        <w:ind w:firstLine="420"/>
        <w:rPr>
          <w:rFonts w:cs="Times New Roman"/>
        </w:rPr>
      </w:pPr>
      <w:r>
        <w:rPr>
          <w:rFonts w:hint="eastAsia" w:cs="Times New Roman"/>
        </w:rPr>
        <w:t>从表3中可清晰发现，所提出方法取得 Average RMSE 为 0.009278，macro RMSE 为 0.008216，MAE 为 0.005733，以及MAPE 为 0.614%。从误差量级看，该结果约对应 0.95% SOH 的 Average RMSE，说明模型能够在未参与训练与checkpoint 选择的新批次电池上保持较低的整体预测误差。进一步观察每个 Batch 10 电池的预测曲线可知，所提方法在多数电池上能够跟随 SOH的下降趋势，尤其在高 SOH 与中间退化阶段具有较好的轨迹跟踪能力，如图10所示。该结果表明，低阶退化先验与残差时序模块的组合能够在整体退化趋势与局部偏差间形成互补，使模型不完全依赖神经网络直接拟合完整 SOH 曲线。</w:t>
      </w:r>
    </w:p>
    <w:p w14:paraId="0A673213">
      <w:pPr>
        <w:jc w:val="center"/>
        <w:rPr>
          <w:rFonts w:cs="Times New Roman"/>
        </w:rPr>
      </w:pPr>
      <w:r>
        <w:rPr>
          <w:rStyle w:val="26"/>
          <w:rFonts w:cs="Times New Roman"/>
          <w:szCs w:val="22"/>
        </w:rPr>
        <w:drawing>
          <wp:inline distT="0" distB="0" distL="114300" distR="114300">
            <wp:extent cx="6634480" cy="3437890"/>
            <wp:effectExtent l="0" t="0" r="13970" b="10160"/>
            <wp:docPr id="2" name="图片 2" descr="C:/Users/ROG/Desktop/paper/codex/batch10-soh-prediction-figure-v1/figures/Figure_Batch10_per_cell_SOH_prediction_curves_enhanced_2x4.pngFigure_Batch10_per_cell_SOH_prediction_curves_enhanced_2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ROG/Desktop/paper/codex/batch10-soh-prediction-figure-v1/figures/Figure_Batch10_per_cell_SOH_prediction_curves_enhanced_2x4.pngFigure_Batch10_per_cell_SOH_prediction_curves_enhanced_2x4"/>
                    <pic:cNvPicPr>
                      <a:picLocks noChangeAspect="1"/>
                    </pic:cNvPicPr>
                  </pic:nvPicPr>
                  <pic:blipFill>
                    <a:blip r:embed="rId242"/>
                    <a:srcRect t="459" b="459"/>
                    <a:stretch>
                      <a:fillRect/>
                    </a:stretch>
                  </pic:blipFill>
                  <pic:spPr>
                    <a:xfrm>
                      <a:off x="0" y="0"/>
                      <a:ext cx="6634480" cy="3437890"/>
                    </a:xfrm>
                    <a:prstGeom prst="rect">
                      <a:avLst/>
                    </a:prstGeom>
                  </pic:spPr>
                </pic:pic>
              </a:graphicData>
            </a:graphic>
          </wp:inline>
        </w:drawing>
      </w:r>
    </w:p>
    <w:p w14:paraId="70F51EB5">
      <w:pPr>
        <w:jc w:val="center"/>
        <w:rPr>
          <w:rFonts w:cs="Times New Roman"/>
          <w:sz w:val="18"/>
          <w:szCs w:val="18"/>
        </w:rPr>
      </w:pPr>
      <w:r>
        <w:rPr>
          <w:rFonts w:cs="Times New Roman"/>
          <w:b/>
          <w:bCs/>
          <w:color w:val="203864" w:themeColor="accent1" w:themeShade="80"/>
          <w:sz w:val="18"/>
          <w:szCs w:val="18"/>
        </w:rPr>
        <w:t xml:space="preserve">Fig. </w:t>
      </w:r>
      <w:r>
        <w:rPr>
          <w:rFonts w:hint="eastAsia" w:cs="Times New Roman"/>
          <w:b/>
          <w:bCs/>
          <w:color w:val="203864" w:themeColor="accent1" w:themeShade="80"/>
          <w:sz w:val="18"/>
          <w:szCs w:val="18"/>
        </w:rPr>
        <w:t>10</w:t>
      </w:r>
      <w:r>
        <w:rPr>
          <w:rFonts w:hint="eastAsia" w:cs="Times New Roman"/>
        </w:rPr>
        <w:t xml:space="preserve"> </w:t>
      </w:r>
      <w:r>
        <w:rPr>
          <w:rFonts w:hint="eastAsia" w:cs="Times New Roman"/>
          <w:sz w:val="18"/>
          <w:szCs w:val="18"/>
        </w:rPr>
        <w:t>Batch10 per-cell SOH prediction curves</w:t>
      </w:r>
    </w:p>
    <w:p w14:paraId="3BB0F920">
      <w:pPr>
        <w:jc w:val="center"/>
        <w:rPr>
          <w:rStyle w:val="26"/>
          <w:rFonts w:cs="Times New Roman"/>
          <w:szCs w:val="22"/>
        </w:rPr>
      </w:pPr>
      <w:r>
        <w:rPr>
          <w:rFonts w:hint="eastAsia" w:cs="Times New Roman"/>
        </w:rPr>
        <w:t>表3 SOH预测的度量结果</w:t>
      </w:r>
    </w:p>
    <w:tbl>
      <w:tblPr>
        <w:tblStyle w:val="55"/>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59"/>
        <w:gridCol w:w="741"/>
        <w:gridCol w:w="1004"/>
        <w:gridCol w:w="1004"/>
        <w:gridCol w:w="1185"/>
      </w:tblGrid>
      <w:tr w14:paraId="6A815E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8" w:space="0"/>
              <w:left w:val="nil"/>
              <w:bottom w:val="single" w:color="auto" w:sz="8" w:space="0"/>
              <w:right w:val="nil"/>
              <w:insideH w:val="single" w:sz="8" w:space="0"/>
              <w:insideV w:val="nil"/>
              <w:tl2br w:val="nil"/>
              <w:tr2bl w:val="nil"/>
            </w:tcBorders>
            <w:vAlign w:val="center"/>
          </w:tcPr>
          <w:p w14:paraId="65FE3365">
            <w:pPr>
              <w:jc w:val="left"/>
              <w:rPr>
                <w:rFonts w:ascii="Times New Roman" w:hAnsi="Times New Roman" w:cs="Times New Roman"/>
                <w:b/>
                <w:bCs/>
              </w:rPr>
            </w:pPr>
            <w:r>
              <w:rPr>
                <w:rFonts w:hint="eastAsia" w:ascii="Times New Roman" w:hAnsi="Times New Roman" w:cs="Times New Roman"/>
                <w:b/>
                <w:bCs/>
              </w:rPr>
              <w:t>Battery Index</w:t>
            </w:r>
          </w:p>
        </w:tc>
        <w:tc>
          <w:tcPr>
            <w:tcW w:w="0" w:type="auto"/>
            <w:tcBorders>
              <w:top w:val="single" w:color="auto" w:sz="8" w:space="0"/>
              <w:bottom w:val="single" w:color="auto" w:sz="8" w:space="0"/>
              <w:right w:val="nil"/>
              <w:insideH w:val="single" w:sz="8" w:space="0"/>
              <w:insideV w:val="nil"/>
              <w:tl2br w:val="nil"/>
              <w:tr2bl w:val="nil"/>
            </w:tcBorders>
            <w:vAlign w:val="center"/>
          </w:tcPr>
          <w:p w14:paraId="67BDACC0">
            <w:pPr>
              <w:jc w:val="left"/>
              <w:rPr>
                <w:rFonts w:ascii="Times New Roman" w:hAnsi="Times New Roman" w:cs="Times New Roman"/>
                <w:b/>
                <w:bCs/>
              </w:rPr>
            </w:pPr>
            <w:r>
              <w:rPr>
                <w:rFonts w:hint="eastAsia" w:ascii="Times New Roman" w:hAnsi="Times New Roman" w:cs="Times New Roman"/>
                <w:b/>
                <w:bCs/>
              </w:rPr>
              <w:t>n</w:t>
            </w:r>
          </w:p>
        </w:tc>
        <w:tc>
          <w:tcPr>
            <w:tcW w:w="0" w:type="auto"/>
            <w:tcBorders>
              <w:top w:val="single" w:color="auto" w:sz="8" w:space="0"/>
              <w:bottom w:val="single" w:color="auto" w:sz="8" w:space="0"/>
              <w:right w:val="nil"/>
              <w:insideH w:val="single" w:sz="8" w:space="0"/>
              <w:insideV w:val="nil"/>
              <w:tl2br w:val="nil"/>
              <w:tr2bl w:val="nil"/>
            </w:tcBorders>
            <w:vAlign w:val="center"/>
          </w:tcPr>
          <w:p w14:paraId="5E7E5B12">
            <w:pPr>
              <w:jc w:val="left"/>
              <w:rPr>
                <w:rFonts w:ascii="Times New Roman" w:hAnsi="Times New Roman" w:cs="Times New Roman"/>
                <w:b/>
                <w:bCs/>
              </w:rPr>
            </w:pPr>
            <w:r>
              <w:rPr>
                <w:rFonts w:hint="eastAsia" w:ascii="Times New Roman" w:hAnsi="Times New Roman" w:cs="Times New Roman"/>
                <w:b/>
                <w:bCs/>
              </w:rPr>
              <w:t>RMSE</w:t>
            </w:r>
          </w:p>
        </w:tc>
        <w:tc>
          <w:tcPr>
            <w:tcW w:w="0" w:type="auto"/>
            <w:tcBorders>
              <w:top w:val="single" w:color="auto" w:sz="8" w:space="0"/>
              <w:bottom w:val="single" w:color="auto" w:sz="8" w:space="0"/>
              <w:right w:val="nil"/>
              <w:insideH w:val="single" w:sz="8" w:space="0"/>
              <w:insideV w:val="nil"/>
              <w:tl2br w:val="nil"/>
              <w:tr2bl w:val="nil"/>
            </w:tcBorders>
            <w:vAlign w:val="center"/>
          </w:tcPr>
          <w:p w14:paraId="0ADC7D36">
            <w:pPr>
              <w:jc w:val="left"/>
              <w:rPr>
                <w:rFonts w:ascii="Times New Roman" w:hAnsi="Times New Roman" w:cs="Times New Roman"/>
                <w:b/>
                <w:bCs/>
              </w:rPr>
            </w:pPr>
            <w:r>
              <w:rPr>
                <w:rFonts w:hint="eastAsia" w:ascii="Times New Roman" w:hAnsi="Times New Roman" w:cs="Times New Roman"/>
                <w:b/>
                <w:bCs/>
              </w:rPr>
              <w:t>MAE</w:t>
            </w:r>
          </w:p>
        </w:tc>
        <w:tc>
          <w:tcPr>
            <w:tcW w:w="0" w:type="auto"/>
            <w:tcBorders>
              <w:top w:val="single" w:color="auto" w:sz="8" w:space="0"/>
              <w:bottom w:val="single" w:color="auto" w:sz="8" w:space="0"/>
              <w:right w:val="nil"/>
              <w:insideH w:val="single" w:sz="8" w:space="0"/>
              <w:insideV w:val="nil"/>
              <w:tl2br w:val="nil"/>
              <w:tr2bl w:val="nil"/>
            </w:tcBorders>
            <w:vAlign w:val="center"/>
          </w:tcPr>
          <w:p w14:paraId="12E0FE23">
            <w:pPr>
              <w:jc w:val="left"/>
              <w:rPr>
                <w:rFonts w:ascii="Times New Roman" w:hAnsi="Times New Roman" w:cs="Times New Roman"/>
                <w:b/>
                <w:bCs/>
              </w:rPr>
            </w:pPr>
            <w:r>
              <w:rPr>
                <w:rFonts w:hint="eastAsia" w:ascii="Times New Roman" w:hAnsi="Times New Roman" w:cs="Times New Roman"/>
                <w:b/>
                <w:bCs/>
              </w:rPr>
              <w:t>MAPE(%)</w:t>
            </w:r>
          </w:p>
        </w:tc>
      </w:tr>
      <w:tr w14:paraId="6A8CB6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E4D1811">
            <w:pPr>
              <w:jc w:val="left"/>
              <w:rPr>
                <w:rFonts w:cs="Times New Roman"/>
                <w:szCs w:val="21"/>
              </w:rPr>
            </w:pPr>
            <w:r>
              <w:rPr>
                <w:rFonts w:hint="eastAsia" w:cs="Times New Roman"/>
                <w:szCs w:val="21"/>
              </w:rPr>
              <w:t>69</w:t>
            </w:r>
          </w:p>
        </w:tc>
        <w:tc>
          <w:tcPr>
            <w:tcW w:w="0" w:type="auto"/>
            <w:vAlign w:val="center"/>
          </w:tcPr>
          <w:p w14:paraId="4D48F1AA">
            <w:pPr>
              <w:jc w:val="left"/>
              <w:rPr>
                <w:rFonts w:cs="Times New Roman"/>
              </w:rPr>
            </w:pPr>
            <w:r>
              <w:rPr>
                <w:rFonts w:hint="eastAsia" w:cs="Times New Roman"/>
              </w:rPr>
              <w:t>1702</w:t>
            </w:r>
          </w:p>
        </w:tc>
        <w:tc>
          <w:tcPr>
            <w:tcW w:w="0" w:type="auto"/>
            <w:vAlign w:val="center"/>
          </w:tcPr>
          <w:p w14:paraId="13B6279B">
            <w:pPr>
              <w:jc w:val="left"/>
              <w:rPr>
                <w:rFonts w:cs="Times New Roman"/>
              </w:rPr>
            </w:pPr>
            <w:r>
              <w:rPr>
                <w:rFonts w:hint="eastAsia" w:cs="Times New Roman"/>
              </w:rPr>
              <w:t>0.011899</w:t>
            </w:r>
          </w:p>
        </w:tc>
        <w:tc>
          <w:tcPr>
            <w:tcW w:w="0" w:type="auto"/>
            <w:vAlign w:val="center"/>
          </w:tcPr>
          <w:p w14:paraId="64AE6498">
            <w:pPr>
              <w:jc w:val="left"/>
              <w:rPr>
                <w:rFonts w:cs="Times New Roman"/>
              </w:rPr>
            </w:pPr>
            <w:r>
              <w:rPr>
                <w:rFonts w:hint="eastAsia" w:cs="Times New Roman"/>
              </w:rPr>
              <w:t>0.007875</w:t>
            </w:r>
          </w:p>
        </w:tc>
        <w:tc>
          <w:tcPr>
            <w:tcW w:w="0" w:type="auto"/>
            <w:vAlign w:val="center"/>
          </w:tcPr>
          <w:p w14:paraId="5A59EC4C">
            <w:pPr>
              <w:jc w:val="left"/>
              <w:rPr>
                <w:rFonts w:cs="Times New Roman"/>
              </w:rPr>
            </w:pPr>
            <w:r>
              <w:rPr>
                <w:rFonts w:hint="eastAsia" w:cs="Times New Roman"/>
              </w:rPr>
              <w:t>0.845</w:t>
            </w:r>
          </w:p>
        </w:tc>
      </w:tr>
      <w:tr w14:paraId="13843C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52E0E75">
            <w:pPr>
              <w:jc w:val="left"/>
              <w:rPr>
                <w:rFonts w:cs="Times New Roman"/>
              </w:rPr>
            </w:pPr>
            <w:r>
              <w:rPr>
                <w:rFonts w:hint="eastAsia" w:cs="Times New Roman"/>
              </w:rPr>
              <w:t>70</w:t>
            </w:r>
          </w:p>
        </w:tc>
        <w:tc>
          <w:tcPr>
            <w:tcW w:w="0" w:type="auto"/>
            <w:vAlign w:val="center"/>
          </w:tcPr>
          <w:p w14:paraId="5CA9B137">
            <w:pPr>
              <w:jc w:val="left"/>
              <w:rPr>
                <w:rFonts w:cs="Times New Roman"/>
              </w:rPr>
            </w:pPr>
            <w:r>
              <w:rPr>
                <w:rFonts w:hint="eastAsia" w:cs="Times New Roman"/>
              </w:rPr>
              <w:t>1697</w:t>
            </w:r>
          </w:p>
        </w:tc>
        <w:tc>
          <w:tcPr>
            <w:tcW w:w="0" w:type="auto"/>
            <w:vAlign w:val="center"/>
          </w:tcPr>
          <w:p w14:paraId="5C910A05">
            <w:pPr>
              <w:jc w:val="left"/>
              <w:rPr>
                <w:rFonts w:cs="Times New Roman"/>
              </w:rPr>
            </w:pPr>
            <w:r>
              <w:rPr>
                <w:rFonts w:hint="eastAsia" w:cs="Times New Roman"/>
              </w:rPr>
              <w:t>0.006143</w:t>
            </w:r>
          </w:p>
        </w:tc>
        <w:tc>
          <w:tcPr>
            <w:tcW w:w="0" w:type="auto"/>
            <w:vAlign w:val="center"/>
          </w:tcPr>
          <w:p w14:paraId="7DA8E5AC">
            <w:pPr>
              <w:jc w:val="left"/>
              <w:rPr>
                <w:rFonts w:cs="Times New Roman"/>
              </w:rPr>
            </w:pPr>
            <w:r>
              <w:rPr>
                <w:rFonts w:hint="eastAsia" w:cs="Times New Roman"/>
              </w:rPr>
              <w:t>0.004690</w:t>
            </w:r>
          </w:p>
        </w:tc>
        <w:tc>
          <w:tcPr>
            <w:tcW w:w="0" w:type="auto"/>
            <w:vAlign w:val="center"/>
          </w:tcPr>
          <w:p w14:paraId="5CD96959">
            <w:pPr>
              <w:jc w:val="left"/>
              <w:rPr>
                <w:rFonts w:cs="Times New Roman"/>
              </w:rPr>
            </w:pPr>
            <w:r>
              <w:rPr>
                <w:rFonts w:hint="eastAsia" w:cs="Times New Roman"/>
              </w:rPr>
              <w:t>0.495</w:t>
            </w:r>
          </w:p>
        </w:tc>
      </w:tr>
      <w:tr w14:paraId="4A8A4E1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9682DE3">
            <w:pPr>
              <w:jc w:val="left"/>
              <w:rPr>
                <w:rFonts w:cs="Times New Roman"/>
              </w:rPr>
            </w:pPr>
            <w:r>
              <w:rPr>
                <w:rFonts w:hint="eastAsia" w:cs="Times New Roman"/>
              </w:rPr>
              <w:t>71</w:t>
            </w:r>
          </w:p>
        </w:tc>
        <w:tc>
          <w:tcPr>
            <w:tcW w:w="0" w:type="auto"/>
            <w:vAlign w:val="center"/>
          </w:tcPr>
          <w:p w14:paraId="7CE5BFF5">
            <w:pPr>
              <w:jc w:val="left"/>
              <w:rPr>
                <w:rFonts w:cs="Times New Roman"/>
              </w:rPr>
            </w:pPr>
            <w:r>
              <w:rPr>
                <w:rFonts w:hint="eastAsia" w:cs="Times New Roman"/>
              </w:rPr>
              <w:t>1848</w:t>
            </w:r>
          </w:p>
        </w:tc>
        <w:tc>
          <w:tcPr>
            <w:tcW w:w="0" w:type="auto"/>
            <w:vAlign w:val="center"/>
          </w:tcPr>
          <w:p w14:paraId="3A8D5C55">
            <w:pPr>
              <w:jc w:val="left"/>
              <w:rPr>
                <w:rFonts w:cs="Times New Roman"/>
              </w:rPr>
            </w:pPr>
            <w:r>
              <w:rPr>
                <w:rFonts w:hint="eastAsia" w:cs="Times New Roman"/>
              </w:rPr>
              <w:t>0.006891</w:t>
            </w:r>
          </w:p>
        </w:tc>
        <w:tc>
          <w:tcPr>
            <w:tcW w:w="0" w:type="auto"/>
            <w:vAlign w:val="center"/>
          </w:tcPr>
          <w:p w14:paraId="729E08B1">
            <w:pPr>
              <w:jc w:val="left"/>
              <w:rPr>
                <w:rFonts w:cs="Times New Roman"/>
              </w:rPr>
            </w:pPr>
            <w:r>
              <w:rPr>
                <w:rFonts w:hint="eastAsia" w:cs="Times New Roman"/>
              </w:rPr>
              <w:t>0.004697</w:t>
            </w:r>
          </w:p>
        </w:tc>
        <w:tc>
          <w:tcPr>
            <w:tcW w:w="0" w:type="auto"/>
            <w:vAlign w:val="center"/>
          </w:tcPr>
          <w:p w14:paraId="3B048508">
            <w:pPr>
              <w:jc w:val="left"/>
              <w:rPr>
                <w:rFonts w:cs="Times New Roman"/>
              </w:rPr>
            </w:pPr>
            <w:r>
              <w:rPr>
                <w:rFonts w:hint="eastAsia" w:cs="Times New Roman"/>
              </w:rPr>
              <w:t>0.503</w:t>
            </w:r>
          </w:p>
        </w:tc>
      </w:tr>
      <w:tr w14:paraId="24EB6A1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14E9772">
            <w:pPr>
              <w:jc w:val="left"/>
              <w:rPr>
                <w:rFonts w:cs="Times New Roman"/>
              </w:rPr>
            </w:pPr>
            <w:r>
              <w:rPr>
                <w:rFonts w:hint="eastAsia" w:cs="Times New Roman"/>
              </w:rPr>
              <w:t>72</w:t>
            </w:r>
          </w:p>
        </w:tc>
        <w:tc>
          <w:tcPr>
            <w:tcW w:w="0" w:type="auto"/>
            <w:vAlign w:val="center"/>
          </w:tcPr>
          <w:p w14:paraId="5DF0E0FF">
            <w:pPr>
              <w:jc w:val="left"/>
              <w:rPr>
                <w:rFonts w:cs="Times New Roman"/>
              </w:rPr>
            </w:pPr>
            <w:r>
              <w:rPr>
                <w:rFonts w:hint="eastAsia" w:cs="Times New Roman"/>
              </w:rPr>
              <w:t>1811</w:t>
            </w:r>
          </w:p>
        </w:tc>
        <w:tc>
          <w:tcPr>
            <w:tcW w:w="0" w:type="auto"/>
            <w:vAlign w:val="center"/>
          </w:tcPr>
          <w:p w14:paraId="19C12354">
            <w:pPr>
              <w:jc w:val="left"/>
              <w:rPr>
                <w:rFonts w:cs="Times New Roman"/>
              </w:rPr>
            </w:pPr>
            <w:r>
              <w:rPr>
                <w:rFonts w:hint="eastAsia" w:cs="Times New Roman"/>
              </w:rPr>
              <w:t>0.005218</w:t>
            </w:r>
          </w:p>
        </w:tc>
        <w:tc>
          <w:tcPr>
            <w:tcW w:w="0" w:type="auto"/>
            <w:vAlign w:val="center"/>
          </w:tcPr>
          <w:p w14:paraId="46A637A8">
            <w:pPr>
              <w:jc w:val="left"/>
              <w:rPr>
                <w:rFonts w:cs="Times New Roman"/>
              </w:rPr>
            </w:pPr>
            <w:r>
              <w:rPr>
                <w:rFonts w:hint="eastAsia" w:cs="Times New Roman"/>
              </w:rPr>
              <w:t>0.003429</w:t>
            </w:r>
          </w:p>
        </w:tc>
        <w:tc>
          <w:tcPr>
            <w:tcW w:w="0" w:type="auto"/>
            <w:vAlign w:val="center"/>
          </w:tcPr>
          <w:p w14:paraId="6A532699">
            <w:pPr>
              <w:jc w:val="left"/>
              <w:rPr>
                <w:rFonts w:cs="Times New Roman"/>
              </w:rPr>
            </w:pPr>
            <w:r>
              <w:rPr>
                <w:rFonts w:hint="eastAsia" w:cs="Times New Roman"/>
              </w:rPr>
              <w:t>0.369</w:t>
            </w:r>
          </w:p>
        </w:tc>
      </w:tr>
      <w:tr w14:paraId="254F111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DC9B7D2">
            <w:pPr>
              <w:jc w:val="left"/>
              <w:rPr>
                <w:rFonts w:cs="Times New Roman"/>
              </w:rPr>
            </w:pPr>
            <w:r>
              <w:rPr>
                <w:rFonts w:hint="eastAsia" w:cs="Times New Roman"/>
              </w:rPr>
              <w:t>73</w:t>
            </w:r>
          </w:p>
        </w:tc>
        <w:tc>
          <w:tcPr>
            <w:tcW w:w="0" w:type="auto"/>
            <w:vAlign w:val="center"/>
          </w:tcPr>
          <w:p w14:paraId="3EEAB4AA">
            <w:pPr>
              <w:jc w:val="left"/>
              <w:rPr>
                <w:rFonts w:cs="Times New Roman"/>
              </w:rPr>
            </w:pPr>
            <w:r>
              <w:rPr>
                <w:rFonts w:hint="eastAsia" w:cs="Times New Roman"/>
              </w:rPr>
              <w:t>2030</w:t>
            </w:r>
          </w:p>
        </w:tc>
        <w:tc>
          <w:tcPr>
            <w:tcW w:w="0" w:type="auto"/>
            <w:vAlign w:val="center"/>
          </w:tcPr>
          <w:p w14:paraId="250B5EF9">
            <w:pPr>
              <w:jc w:val="left"/>
              <w:rPr>
                <w:rFonts w:cs="Times New Roman"/>
              </w:rPr>
            </w:pPr>
            <w:r>
              <w:rPr>
                <w:rFonts w:hint="eastAsia" w:cs="Times New Roman"/>
              </w:rPr>
              <w:t>0.006332</w:t>
            </w:r>
          </w:p>
        </w:tc>
        <w:tc>
          <w:tcPr>
            <w:tcW w:w="0" w:type="auto"/>
            <w:vAlign w:val="center"/>
          </w:tcPr>
          <w:p w14:paraId="1FA1521B">
            <w:pPr>
              <w:jc w:val="left"/>
              <w:rPr>
                <w:rFonts w:cs="Times New Roman"/>
              </w:rPr>
            </w:pPr>
            <w:r>
              <w:rPr>
                <w:rFonts w:hint="eastAsia" w:cs="Times New Roman"/>
              </w:rPr>
              <w:t>0.003909</w:t>
            </w:r>
          </w:p>
        </w:tc>
        <w:tc>
          <w:tcPr>
            <w:tcW w:w="0" w:type="auto"/>
            <w:vAlign w:val="center"/>
          </w:tcPr>
          <w:p w14:paraId="1C9A8743">
            <w:pPr>
              <w:jc w:val="left"/>
              <w:rPr>
                <w:rFonts w:cs="Times New Roman"/>
              </w:rPr>
            </w:pPr>
            <w:r>
              <w:rPr>
                <w:rFonts w:hint="eastAsia" w:cs="Times New Roman"/>
              </w:rPr>
              <w:t>0.423</w:t>
            </w:r>
          </w:p>
        </w:tc>
      </w:tr>
      <w:tr w14:paraId="550B537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2348CF1">
            <w:pPr>
              <w:jc w:val="left"/>
              <w:rPr>
                <w:rFonts w:cs="Times New Roman"/>
              </w:rPr>
            </w:pPr>
            <w:r>
              <w:rPr>
                <w:rFonts w:hint="eastAsia" w:cs="Times New Roman"/>
              </w:rPr>
              <w:t>74</w:t>
            </w:r>
          </w:p>
        </w:tc>
        <w:tc>
          <w:tcPr>
            <w:tcW w:w="0" w:type="auto"/>
            <w:vAlign w:val="center"/>
          </w:tcPr>
          <w:p w14:paraId="5AB30CDA">
            <w:pPr>
              <w:jc w:val="left"/>
              <w:rPr>
                <w:rFonts w:cs="Times New Roman"/>
              </w:rPr>
            </w:pPr>
            <w:r>
              <w:rPr>
                <w:rFonts w:hint="eastAsia" w:cs="Times New Roman"/>
              </w:rPr>
              <w:t>2285</w:t>
            </w:r>
          </w:p>
        </w:tc>
        <w:tc>
          <w:tcPr>
            <w:tcW w:w="0" w:type="auto"/>
            <w:vAlign w:val="center"/>
          </w:tcPr>
          <w:p w14:paraId="449D960E">
            <w:pPr>
              <w:jc w:val="left"/>
              <w:rPr>
                <w:rFonts w:cs="Times New Roman"/>
              </w:rPr>
            </w:pPr>
            <w:r>
              <w:rPr>
                <w:rFonts w:hint="eastAsia" w:cs="Times New Roman"/>
              </w:rPr>
              <w:t>0.016069</w:t>
            </w:r>
          </w:p>
        </w:tc>
        <w:tc>
          <w:tcPr>
            <w:tcW w:w="0" w:type="auto"/>
            <w:vAlign w:val="center"/>
          </w:tcPr>
          <w:p w14:paraId="6588A281">
            <w:pPr>
              <w:jc w:val="left"/>
              <w:rPr>
                <w:rFonts w:cs="Times New Roman"/>
              </w:rPr>
            </w:pPr>
            <w:r>
              <w:rPr>
                <w:rFonts w:hint="eastAsia" w:cs="Times New Roman"/>
              </w:rPr>
              <w:t>0.011457</w:t>
            </w:r>
          </w:p>
        </w:tc>
        <w:tc>
          <w:tcPr>
            <w:tcW w:w="0" w:type="auto"/>
            <w:vAlign w:val="center"/>
          </w:tcPr>
          <w:p w14:paraId="54CB0F58">
            <w:pPr>
              <w:jc w:val="left"/>
              <w:rPr>
                <w:rFonts w:cs="Times New Roman"/>
              </w:rPr>
            </w:pPr>
            <w:r>
              <w:rPr>
                <w:rFonts w:hint="eastAsia" w:cs="Times New Roman"/>
              </w:rPr>
              <w:t>1.226</w:t>
            </w:r>
          </w:p>
        </w:tc>
      </w:tr>
      <w:tr w14:paraId="5281C3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B6BAE4F">
            <w:pPr>
              <w:jc w:val="left"/>
              <w:rPr>
                <w:rFonts w:cs="Times New Roman"/>
              </w:rPr>
            </w:pPr>
            <w:r>
              <w:rPr>
                <w:rFonts w:hint="eastAsia" w:cs="Times New Roman"/>
              </w:rPr>
              <w:t>75</w:t>
            </w:r>
          </w:p>
        </w:tc>
        <w:tc>
          <w:tcPr>
            <w:tcW w:w="0" w:type="auto"/>
            <w:vAlign w:val="center"/>
          </w:tcPr>
          <w:p w14:paraId="5473FA38">
            <w:pPr>
              <w:jc w:val="left"/>
              <w:rPr>
                <w:rFonts w:cs="Times New Roman"/>
              </w:rPr>
            </w:pPr>
            <w:r>
              <w:rPr>
                <w:rFonts w:hint="eastAsia" w:cs="Times New Roman"/>
              </w:rPr>
              <w:t>1783</w:t>
            </w:r>
          </w:p>
        </w:tc>
        <w:tc>
          <w:tcPr>
            <w:tcW w:w="0" w:type="auto"/>
            <w:vAlign w:val="center"/>
          </w:tcPr>
          <w:p w14:paraId="6AD083A2">
            <w:pPr>
              <w:jc w:val="left"/>
              <w:rPr>
                <w:rFonts w:cs="Times New Roman"/>
              </w:rPr>
            </w:pPr>
            <w:r>
              <w:rPr>
                <w:rFonts w:hint="eastAsia" w:cs="Times New Roman"/>
              </w:rPr>
              <w:t>0.004801</w:t>
            </w:r>
          </w:p>
        </w:tc>
        <w:tc>
          <w:tcPr>
            <w:tcW w:w="0" w:type="auto"/>
            <w:vAlign w:val="center"/>
          </w:tcPr>
          <w:p w14:paraId="11462D5F">
            <w:pPr>
              <w:jc w:val="left"/>
              <w:rPr>
                <w:rFonts w:cs="Times New Roman"/>
              </w:rPr>
            </w:pPr>
            <w:r>
              <w:rPr>
                <w:rFonts w:hint="eastAsia" w:cs="Times New Roman"/>
              </w:rPr>
              <w:t>0.003201</w:t>
            </w:r>
          </w:p>
        </w:tc>
        <w:tc>
          <w:tcPr>
            <w:tcW w:w="0" w:type="auto"/>
            <w:vAlign w:val="center"/>
          </w:tcPr>
          <w:p w14:paraId="1027849B">
            <w:pPr>
              <w:jc w:val="left"/>
              <w:rPr>
                <w:rFonts w:cs="Times New Roman"/>
              </w:rPr>
            </w:pPr>
            <w:r>
              <w:rPr>
                <w:rFonts w:hint="eastAsia" w:cs="Times New Roman"/>
              </w:rPr>
              <w:t>0.344</w:t>
            </w:r>
          </w:p>
        </w:tc>
      </w:tr>
      <w:tr w14:paraId="3C56EEF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auto" w:sz="4" w:space="0"/>
            </w:tcBorders>
            <w:vAlign w:val="center"/>
          </w:tcPr>
          <w:p w14:paraId="2B2AC8EA">
            <w:pPr>
              <w:jc w:val="left"/>
              <w:rPr>
                <w:rFonts w:cs="Times New Roman"/>
              </w:rPr>
            </w:pPr>
            <w:r>
              <w:rPr>
                <w:rFonts w:hint="eastAsia" w:cs="Times New Roman"/>
              </w:rPr>
              <w:t>76</w:t>
            </w:r>
          </w:p>
        </w:tc>
        <w:tc>
          <w:tcPr>
            <w:tcW w:w="0" w:type="auto"/>
            <w:tcBorders>
              <w:bottom w:val="single" w:color="auto" w:sz="4" w:space="0"/>
            </w:tcBorders>
            <w:vAlign w:val="center"/>
          </w:tcPr>
          <w:p w14:paraId="47B38773">
            <w:pPr>
              <w:jc w:val="left"/>
              <w:rPr>
                <w:rFonts w:cs="Times New Roman"/>
              </w:rPr>
            </w:pPr>
            <w:r>
              <w:rPr>
                <w:rFonts w:hint="eastAsia" w:cs="Times New Roman"/>
              </w:rPr>
              <w:t>1400</w:t>
            </w:r>
          </w:p>
        </w:tc>
        <w:tc>
          <w:tcPr>
            <w:tcW w:w="0" w:type="auto"/>
            <w:tcBorders>
              <w:bottom w:val="single" w:color="auto" w:sz="4" w:space="0"/>
            </w:tcBorders>
            <w:vAlign w:val="center"/>
          </w:tcPr>
          <w:p w14:paraId="2461F944">
            <w:pPr>
              <w:jc w:val="left"/>
              <w:rPr>
                <w:rFonts w:cs="Times New Roman"/>
              </w:rPr>
            </w:pPr>
            <w:r>
              <w:rPr>
                <w:rFonts w:hint="eastAsia" w:cs="Times New Roman"/>
              </w:rPr>
              <w:t>0.008379</w:t>
            </w:r>
          </w:p>
        </w:tc>
        <w:tc>
          <w:tcPr>
            <w:tcW w:w="0" w:type="auto"/>
            <w:tcBorders>
              <w:bottom w:val="single" w:color="auto" w:sz="4" w:space="0"/>
            </w:tcBorders>
            <w:vAlign w:val="center"/>
          </w:tcPr>
          <w:p w14:paraId="7A8246D4">
            <w:pPr>
              <w:jc w:val="left"/>
              <w:rPr>
                <w:rFonts w:cs="Times New Roman"/>
              </w:rPr>
            </w:pPr>
            <w:r>
              <w:rPr>
                <w:rFonts w:hint="eastAsia" w:cs="Times New Roman"/>
              </w:rPr>
              <w:t>0.005268</w:t>
            </w:r>
          </w:p>
        </w:tc>
        <w:tc>
          <w:tcPr>
            <w:tcW w:w="0" w:type="auto"/>
            <w:tcBorders>
              <w:bottom w:val="single" w:color="auto" w:sz="4" w:space="0"/>
            </w:tcBorders>
            <w:vAlign w:val="center"/>
          </w:tcPr>
          <w:p w14:paraId="24F3FD77">
            <w:pPr>
              <w:jc w:val="left"/>
              <w:rPr>
                <w:rFonts w:cs="Times New Roman"/>
              </w:rPr>
            </w:pPr>
            <w:r>
              <w:rPr>
                <w:rFonts w:hint="eastAsia" w:cs="Times New Roman"/>
              </w:rPr>
              <w:t>0.565</w:t>
            </w:r>
          </w:p>
        </w:tc>
      </w:tr>
      <w:tr w14:paraId="71B8A0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4" w:space="0"/>
              <w:bottom w:val="nil"/>
            </w:tcBorders>
            <w:vAlign w:val="center"/>
          </w:tcPr>
          <w:p w14:paraId="135C7093">
            <w:pPr>
              <w:jc w:val="left"/>
              <w:rPr>
                <w:rFonts w:cs="Times New Roman"/>
                <w:b/>
                <w:bCs/>
              </w:rPr>
            </w:pPr>
            <w:r>
              <w:rPr>
                <w:rFonts w:hint="eastAsia" w:cs="Times New Roman"/>
                <w:b/>
                <w:bCs/>
              </w:rPr>
              <w:t>Average</w:t>
            </w:r>
          </w:p>
        </w:tc>
        <w:tc>
          <w:tcPr>
            <w:tcW w:w="0" w:type="auto"/>
            <w:tcBorders>
              <w:top w:val="single" w:color="auto" w:sz="4" w:space="0"/>
              <w:bottom w:val="nil"/>
            </w:tcBorders>
            <w:vAlign w:val="center"/>
          </w:tcPr>
          <w:p w14:paraId="6348CC13">
            <w:pPr>
              <w:jc w:val="left"/>
              <w:rPr>
                <w:rFonts w:cs="Times New Roman"/>
                <w:b/>
                <w:bCs/>
              </w:rPr>
            </w:pPr>
            <w:r>
              <w:rPr>
                <w:rFonts w:hint="eastAsia" w:cs="Times New Roman"/>
                <w:b/>
                <w:bCs/>
              </w:rPr>
              <w:t>14556</w:t>
            </w:r>
          </w:p>
        </w:tc>
        <w:tc>
          <w:tcPr>
            <w:tcW w:w="0" w:type="auto"/>
            <w:tcBorders>
              <w:top w:val="single" w:color="auto" w:sz="4" w:space="0"/>
              <w:bottom w:val="nil"/>
            </w:tcBorders>
            <w:vAlign w:val="center"/>
          </w:tcPr>
          <w:p w14:paraId="2E50FF9A">
            <w:pPr>
              <w:jc w:val="left"/>
              <w:rPr>
                <w:rFonts w:cs="Times New Roman"/>
                <w:b/>
                <w:bCs/>
              </w:rPr>
            </w:pPr>
            <w:r>
              <w:rPr>
                <w:rFonts w:hint="eastAsia" w:cs="Times New Roman"/>
                <w:b/>
                <w:bCs/>
              </w:rPr>
              <w:t>0.009278</w:t>
            </w:r>
          </w:p>
        </w:tc>
        <w:tc>
          <w:tcPr>
            <w:tcW w:w="0" w:type="auto"/>
            <w:tcBorders>
              <w:top w:val="single" w:color="auto" w:sz="4" w:space="0"/>
              <w:bottom w:val="nil"/>
            </w:tcBorders>
            <w:vAlign w:val="center"/>
          </w:tcPr>
          <w:p w14:paraId="5CC4A77B">
            <w:pPr>
              <w:jc w:val="left"/>
              <w:rPr>
                <w:rFonts w:cs="Times New Roman"/>
                <w:b/>
                <w:bCs/>
              </w:rPr>
            </w:pPr>
            <w:r>
              <w:rPr>
                <w:rFonts w:hint="eastAsia" w:cs="Times New Roman"/>
                <w:b/>
                <w:bCs/>
              </w:rPr>
              <w:t>0.005733</w:t>
            </w:r>
          </w:p>
        </w:tc>
        <w:tc>
          <w:tcPr>
            <w:tcW w:w="0" w:type="auto"/>
            <w:tcBorders>
              <w:top w:val="single" w:color="auto" w:sz="4" w:space="0"/>
              <w:bottom w:val="nil"/>
            </w:tcBorders>
            <w:vAlign w:val="center"/>
          </w:tcPr>
          <w:p w14:paraId="540A1AB4">
            <w:pPr>
              <w:jc w:val="left"/>
              <w:rPr>
                <w:rFonts w:cs="Times New Roman"/>
                <w:b/>
                <w:bCs/>
              </w:rPr>
            </w:pPr>
            <w:r>
              <w:rPr>
                <w:rFonts w:hint="eastAsia" w:cs="Times New Roman"/>
                <w:b/>
                <w:bCs/>
              </w:rPr>
              <w:t>0.614</w:t>
            </w:r>
          </w:p>
        </w:tc>
      </w:tr>
      <w:tr w14:paraId="378EC6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nil"/>
              <w:bottom w:val="single" w:color="auto" w:sz="8" w:space="0"/>
            </w:tcBorders>
            <w:vAlign w:val="center"/>
          </w:tcPr>
          <w:p w14:paraId="778F2CA0">
            <w:pPr>
              <w:jc w:val="left"/>
              <w:rPr>
                <w:rFonts w:cs="Times New Roman"/>
                <w:b/>
                <w:bCs/>
              </w:rPr>
            </w:pPr>
            <w:r>
              <w:rPr>
                <w:rFonts w:hint="eastAsia" w:cs="Times New Roman"/>
                <w:b/>
                <w:bCs/>
              </w:rPr>
              <w:t>Macro mean</w:t>
            </w:r>
          </w:p>
        </w:tc>
        <w:tc>
          <w:tcPr>
            <w:tcW w:w="0" w:type="auto"/>
            <w:tcBorders>
              <w:top w:val="nil"/>
              <w:bottom w:val="single" w:color="auto" w:sz="8" w:space="0"/>
            </w:tcBorders>
            <w:vAlign w:val="center"/>
          </w:tcPr>
          <w:p w14:paraId="7067849B">
            <w:pPr>
              <w:jc w:val="left"/>
              <w:rPr>
                <w:rFonts w:cs="Times New Roman"/>
                <w:b/>
                <w:bCs/>
              </w:rPr>
            </w:pPr>
            <w:r>
              <w:rPr>
                <w:rFonts w:hint="eastAsia" w:cs="Times New Roman"/>
                <w:b/>
                <w:bCs/>
              </w:rPr>
              <w:t>8</w:t>
            </w:r>
          </w:p>
        </w:tc>
        <w:tc>
          <w:tcPr>
            <w:tcW w:w="0" w:type="auto"/>
            <w:tcBorders>
              <w:top w:val="nil"/>
              <w:bottom w:val="single" w:color="auto" w:sz="8" w:space="0"/>
            </w:tcBorders>
            <w:vAlign w:val="center"/>
          </w:tcPr>
          <w:p w14:paraId="35E8E3FE">
            <w:pPr>
              <w:jc w:val="left"/>
              <w:rPr>
                <w:rFonts w:cs="Times New Roman"/>
                <w:b/>
                <w:bCs/>
              </w:rPr>
            </w:pPr>
            <w:r>
              <w:rPr>
                <w:rFonts w:hint="eastAsia" w:cs="Times New Roman"/>
                <w:b/>
                <w:bCs/>
              </w:rPr>
              <w:t>0.008216</w:t>
            </w:r>
          </w:p>
        </w:tc>
        <w:tc>
          <w:tcPr>
            <w:tcW w:w="0" w:type="auto"/>
            <w:tcBorders>
              <w:top w:val="nil"/>
              <w:bottom w:val="single" w:color="auto" w:sz="8" w:space="0"/>
            </w:tcBorders>
            <w:vAlign w:val="center"/>
          </w:tcPr>
          <w:p w14:paraId="345651BB">
            <w:pPr>
              <w:jc w:val="left"/>
              <w:rPr>
                <w:rFonts w:cs="Times New Roman"/>
                <w:b/>
                <w:bCs/>
              </w:rPr>
            </w:pPr>
            <w:r>
              <w:rPr>
                <w:rFonts w:hint="eastAsia" w:cs="Times New Roman"/>
                <w:b/>
                <w:bCs/>
              </w:rPr>
              <w:t>0.005566</w:t>
            </w:r>
          </w:p>
        </w:tc>
        <w:tc>
          <w:tcPr>
            <w:tcW w:w="0" w:type="auto"/>
            <w:tcBorders>
              <w:top w:val="nil"/>
              <w:bottom w:val="single" w:color="auto" w:sz="8" w:space="0"/>
            </w:tcBorders>
            <w:vAlign w:val="center"/>
          </w:tcPr>
          <w:p w14:paraId="361020A7">
            <w:pPr>
              <w:jc w:val="left"/>
              <w:rPr>
                <w:rFonts w:cs="Times New Roman"/>
                <w:b/>
                <w:bCs/>
              </w:rPr>
            </w:pPr>
            <w:r>
              <w:rPr>
                <w:rFonts w:hint="eastAsia" w:cs="Times New Roman"/>
                <w:b/>
                <w:bCs/>
              </w:rPr>
              <w:t>0.596</w:t>
            </w:r>
          </w:p>
        </w:tc>
      </w:tr>
    </w:tbl>
    <w:p w14:paraId="4383FED0">
      <w:pPr>
        <w:rPr>
          <w:rStyle w:val="26"/>
          <w:rFonts w:cs="Times New Roman"/>
          <w:szCs w:val="22"/>
        </w:rPr>
      </w:pPr>
    </w:p>
    <w:p w14:paraId="7B70E3AE">
      <w:pPr>
        <w:ind w:firstLine="420"/>
        <w:rPr>
          <w:rFonts w:cs="Times New Roman"/>
        </w:rPr>
      </w:pPr>
      <w:r>
        <w:rPr>
          <w:rFonts w:hint="eastAsia" w:cs="Times New Roman"/>
        </w:rPr>
        <w:t xml:space="preserve">图 11 给出了各测试单体的 RMSE 与 MAE 分布，用于更直观地观察模型在单体层面的误差变化。可以看出，除编号 10-6 的测试单体外，其余电池的 RMSE 均低于 1.20% SOH，MAE 均不超过 0.79% SOH。编号 10-7 的误差最低，其RMSE 与 MAE 分别为 0.48% SOH 与 0.32% SOH。相比之下，编号 10-6 的 RMSE 与 MAE 分别达到 1.61% SOH 与 1.15% SOH，是当前 Batch 10 中误差较高的单体。上述结果表明，所提出模型在多数目标测试电池上能够保持较低的单体级预测误差，但在个别电池上仍会受到单体差异和局部退化行为的影响。总体而言，模型不仅在 Average </w:t>
      </w:r>
      <w:r>
        <w:rPr>
          <w:rStyle w:val="26"/>
          <w:rFonts w:hint="eastAsia" w:cs="Times New Roman"/>
          <w:szCs w:val="22"/>
        </w:rPr>
        <w:t>RMSE</w:t>
      </w:r>
      <w:r>
        <w:rPr>
          <w:rFonts w:hint="eastAsia" w:cs="Times New Roman"/>
        </w:rPr>
        <w:t>指标上取得较低误差，也在多数单体上保持了相对稳定的 SOH 回归表现。</w:t>
      </w:r>
    </w:p>
    <w:p w14:paraId="5294D4F1">
      <w:pPr>
        <w:jc w:val="center"/>
        <w:rPr>
          <w:rFonts w:cs="Times New Roman"/>
        </w:rPr>
      </w:pPr>
      <w:r>
        <w:rPr>
          <w:rFonts w:hint="eastAsia" w:cs="Times New Roman"/>
        </w:rPr>
        <w:drawing>
          <wp:inline distT="0" distB="0" distL="114300" distR="114300">
            <wp:extent cx="4254500" cy="2226310"/>
            <wp:effectExtent l="0" t="0" r="12700" b="2540"/>
            <wp:docPr id="1" name="图片 1" descr="C:/Users/ROG/Desktop/paper/codex/adaptive-attention-mechanism-ablation-v1/figures/fig02_adaptive_v1_seed42_per_cell_rmse_mae.pngfig02_adaptive_v1_seed42_per_cell_rmse_m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ROG/Desktop/paper/codex/adaptive-attention-mechanism-ablation-v1/figures/fig02_adaptive_v1_seed42_per_cell_rmse_mae.pngfig02_adaptive_v1_seed42_per_cell_rmse_mae"/>
                    <pic:cNvPicPr>
                      <a:picLocks noChangeAspect="1"/>
                    </pic:cNvPicPr>
                  </pic:nvPicPr>
                  <pic:blipFill>
                    <a:blip r:embed="rId243"/>
                    <a:srcRect t="6688" b="2018"/>
                    <a:stretch>
                      <a:fillRect/>
                    </a:stretch>
                  </pic:blipFill>
                  <pic:spPr>
                    <a:xfrm>
                      <a:off x="0" y="0"/>
                      <a:ext cx="4254500" cy="2226310"/>
                    </a:xfrm>
                    <a:prstGeom prst="rect">
                      <a:avLst/>
                    </a:prstGeom>
                  </pic:spPr>
                </pic:pic>
              </a:graphicData>
            </a:graphic>
          </wp:inline>
        </w:drawing>
      </w:r>
    </w:p>
    <w:p w14:paraId="32B9FD6A">
      <w:pPr>
        <w:jc w:val="center"/>
        <w:rPr>
          <w:rFonts w:cs="Times New Roman"/>
          <w:sz w:val="18"/>
          <w:szCs w:val="18"/>
        </w:rPr>
      </w:pPr>
      <w:r>
        <w:rPr>
          <w:rFonts w:cs="Times New Roman"/>
          <w:b/>
          <w:bCs/>
          <w:color w:val="203864" w:themeColor="accent1" w:themeShade="80"/>
          <w:sz w:val="18"/>
          <w:szCs w:val="18"/>
        </w:rPr>
        <w:t xml:space="preserve">Fig. </w:t>
      </w:r>
      <w:r>
        <w:rPr>
          <w:rFonts w:hint="eastAsia" w:cs="Times New Roman"/>
          <w:b/>
          <w:bCs/>
          <w:color w:val="203864" w:themeColor="accent1" w:themeShade="80"/>
          <w:sz w:val="18"/>
          <w:szCs w:val="18"/>
        </w:rPr>
        <w:t>11</w:t>
      </w:r>
      <w:r>
        <w:rPr>
          <w:rFonts w:cs="Times New Roman"/>
          <w:color w:val="000000"/>
          <w:kern w:val="0"/>
          <w:sz w:val="24"/>
          <w:szCs w:val="24"/>
        </w:rPr>
        <w:t xml:space="preserve"> </w:t>
      </w:r>
      <w:r>
        <w:rPr>
          <w:rFonts w:hint="eastAsia" w:cs="Times New Roman"/>
          <w:sz w:val="18"/>
          <w:szCs w:val="18"/>
        </w:rPr>
        <w:t>Per-cell RMSE and MAE distribution on the Batch 10 blind-test cells</w:t>
      </w:r>
    </w:p>
    <w:p w14:paraId="742CA1EA">
      <w:pPr>
        <w:rPr>
          <w:rFonts w:cs="Times New Roman"/>
          <w:b/>
          <w:bCs/>
          <w:color w:val="2F5496"/>
          <w:szCs w:val="21"/>
        </w:rPr>
      </w:pPr>
      <w:r>
        <w:rPr>
          <w:rFonts w:hint="eastAsia" w:cs="Times New Roman"/>
          <w:b/>
          <w:bCs/>
          <w:color w:val="2F5496"/>
          <w:szCs w:val="21"/>
        </w:rPr>
        <w:t>4.3 与先进方法的对比</w:t>
      </w:r>
    </w:p>
    <w:p w14:paraId="5EF6A67A">
      <w:pPr>
        <w:rPr>
          <w:rFonts w:cs="Times New Roman"/>
        </w:rPr>
      </w:pPr>
      <w:r>
        <w:rPr>
          <w:rFonts w:hint="eastAsia" w:cs="Times New Roman"/>
          <w:b/>
          <w:bCs/>
          <w:color w:val="2F5496"/>
          <w:szCs w:val="21"/>
        </w:rPr>
        <w:t xml:space="preserve">    </w:t>
      </w:r>
      <w:r>
        <w:rPr>
          <w:rFonts w:hint="eastAsia" w:cs="Times New Roman"/>
        </w:rPr>
        <w:t>为验证所提方法的优越性，采用5种先进方法进行对比。具体而言，PINN4SOH 将 SOH 估计表示为物理信息神经网络约束下的退化动力学学习过程</w:t>
      </w:r>
      <w:r>
        <w:rPr>
          <w:rFonts w:hint="eastAsia" w:cs="Times New Roman"/>
        </w:rPr>
        <w:fldChar w:fldCharType="begin" w:fldLock="1"/>
      </w:r>
      <w:r>
        <w:rPr>
          <w:rFonts w:hint="eastAsia" w:cs="Times New Roman"/>
        </w:rPr>
        <w:instrText xml:space="preserve">ADDIN CSL_CITATION {"citationItems":[{"id":"ITEM-1","itemData":{"DOI":"10.1038/s41467-024-48779-z","ISSN":"2041-1723","abstract":"Accurate state-of-health (SOH) estimation is critical for reliable and safe operation of lithium-ion batteries. However, reliable and stable battery SOH estimation remains challenging due to diverse battery types and operating conditions. In this paper, we propose a physics-informed neural network (PINN) for accurate and stable estimation of battery SOH. Specifically, we model the attributes that affect the battery degradation from the perspective of empirical degradation and state space equations, and utilize neural networks to capture battery degradation dynamics. A general feature extraction method is designed to extract statistical features from a short period of data before the battery is fully charged, enabling our method applicable to different battery types and charge/discharge protocols. Additionally, we generate a comprehensive dataset consisting of 55 lithium-nickel-cobalt-manganese-oxide (NCM) batteries. Combined with three other datasets from different manufacturers, we use a total of 387 batteries with 310,705 samples to validate our method. The mean absolute percentage error (MAPE) is 0.87%. Our proposed PINN has demonstrated remarkable performance in regular experiments, small sample experiments, and transfer experiments when compared to alternative neural networks. This study highlights the promise of physics-informed machine learning for battery degradation modeling and SOH estimation.","author":[{"dropping-particle":"","family":"Wang","given":"Fujin","non-dropping-particle":"","parse-names":false,"suffix":""},{"dropping-particle":"","family":"Zhai","given":"Zhi","non-dropping-particle":"","parse-names":false,"suffix":""},{"dropping-particle":"","family":"Zhao","given":"Zhibin","non-dropping-particle":"","parse-names":false,"suffix":""},{"dropping-particle":"","family":"Di","given":"Yi","non-dropping-particle":"","parse-names":false,"suffix":""},{"dropping-particle":"","family":"Chen","given":"Xuefeng","non-dropping-particle":"","parse-names":false,"suffix":""}],"container-title":"Nature Communications","id":"ITEM-1","issue":"1","issued":{"date-parts":[["2024"]]},"page":"4332","title":"Physics-informed neural network for lithium-ion battery degradation stable modeling and prognosis","type":"article-journal","volume":"15"},"uris":["http://www.mendeley.com/documents/?uuid=2374e0f7-3eee-4795-b214-8afd3d74df39"]}],"mendeley":{"formattedCitation":"[30]","plainTextFormattedCitation":"[30]","previouslyFormattedCitation":"[30]"},"properties":{"noteIndex":0},"schema":"https://github.com/citation-style-language/schema/raw/master/csl-citation.json"}</w:instrText>
      </w:r>
      <w:r>
        <w:rPr>
          <w:rFonts w:hint="eastAsia" w:cs="Times New Roman"/>
        </w:rPr>
        <w:fldChar w:fldCharType="separate"/>
      </w:r>
      <w:r>
        <w:rPr>
          <w:rFonts w:hint="eastAsia" w:cs="Times New Roman"/>
        </w:rPr>
        <w:t>[30]</w:t>
      </w:r>
      <w:r>
        <w:rPr>
          <w:rFonts w:hint="eastAsia" w:cs="Times New Roman"/>
        </w:rPr>
        <w:fldChar w:fldCharType="end"/>
      </w:r>
      <w:r>
        <w:rPr>
          <w:rFonts w:hint="eastAsia" w:cs="Times New Roman"/>
        </w:rPr>
        <w:t>。SSF-WL 通过弱标签自监督学习与 Transformer 编码器增强充电曲线表征</w:t>
      </w:r>
      <w:r>
        <w:rPr>
          <w:rFonts w:hint="eastAsia" w:cs="Times New Roman"/>
        </w:rPr>
        <w:fldChar w:fldCharType="begin" w:fldLock="1"/>
      </w:r>
      <w:r>
        <w:rPr>
          <w:rFonts w:hint="eastAsia" w:cs="Times New Roman"/>
        </w:rPr>
        <w:instrText xml:space="preserve">ADDIN CSL_CITATION {"citationItems":[{"id":"ITEM-1","itemData":{"DOI":"https://doi.org/10.1016/j.apenergy.2023.122332","ISSN":"0306-2619","abstract":"The State-of-Health (SOH) estimation of Lithium-ion (Li-ion) batteries is critical for the safe and reliable operation of the batteries. Deep learning technologies are currently the popular methods for SOH estimation due to the advantages of no modeling and automatic feature extraction. However, existing methods require a large amount of annotated data to ensure model fitting, and the collection and labeling of battery aging data are time-consuming and laborious. Therefore, a self-supervised framework incorporating weak labels (SSF-WL) is proposed in this paper to obtain excellent estimation results on a small amount of annotated data. First, a novel data processing method based on the Gramian angular field, difference calculation, and raw data is proposed to enrich information and enhance features. Then, a five-layer Transformer encoder is constructed in SSF-WL for feature extraction. Finally, the model is pre-trained and fine-tuned on the proposed SSF-WL to obtain the estimated results of SOH. The proposed method is validated on the 124 commercial battery and Oxford databases. Experiments indicate that when using only 30% of the annotated training data, the Mean Absolute Error (MAE) and Root Mean Square Error (RMSE) obtained by SSF-WL are 0.5219%/0.6085% lower than traditional supervised learning on the 124 commercial battery database, respectively. Moreover, the SSF-WL pre-trained model on a large unannotated database can be transferred to different types of batteries with a small annotated database and obtains on-par or better estimation results than the model trained from scratch.","author":[{"dropping-particle":"","family":"Wang","given":"Tianyu","non-dropping-particle":"","parse-names":false,"suffix":""},{"dropping-particle":"","family":"Ma","given":"Zhongjing","non-dropping-particle":"","parse-names":false,"suffix":""},{"dropping-particle":"","family":"Zou","given":"Suli","non-dropping-particle":"","parse-names":false,"suffix":""},{"dropping-particle":"","family":"Chen","given":"Zhan","non-dropping-particle":"","parse-names":false,"suffix":""},{"dropping-particle":"","family":"Wang","given":"Peng","non-dropping-particle":"","parse-names":false,"suffix":""}],"container-title":"Applied Energy","id":"ITEM-1","issued":{"date-parts":[["2024"]]},"page":"122332","title":"Lithium-ion battery state-of-health estimation: A self-supervised framework incorporating weak labels","type":"article-journal","volume":"355"},"uris":["http://www.mendeley.com/documents/?uuid=095d42c9-4f46-42e9-847d-9d90e099ba1d"]}],"mendeley":{"formattedCitation":"[31]","plainTextFormattedCitation":"[31]","previouslyFormattedCitation":"[31]"},"properties":{"noteIndex":0},"schema":"https://github.com/citation-style-language/schema/raw/master/csl-citation.json"}</w:instrText>
      </w:r>
      <w:r>
        <w:rPr>
          <w:rFonts w:hint="eastAsia" w:cs="Times New Roman"/>
        </w:rPr>
        <w:fldChar w:fldCharType="separate"/>
      </w:r>
      <w:r>
        <w:rPr>
          <w:rFonts w:hint="eastAsia" w:cs="Times New Roman"/>
        </w:rPr>
        <w:t>[31]</w:t>
      </w:r>
      <w:r>
        <w:rPr>
          <w:rFonts w:hint="eastAsia" w:cs="Times New Roman"/>
        </w:rPr>
        <w:fldChar w:fldCharType="end"/>
      </w:r>
      <w:r>
        <w:rPr>
          <w:rFonts w:hint="eastAsia" w:cs="Times New Roman"/>
        </w:rPr>
        <w:t>。AM-MFF 利用注意力机制对多源退化特征进行融合，以提高 SOH 估计的鲁棒性</w:t>
      </w:r>
      <w:r>
        <w:rPr>
          <w:rFonts w:hint="eastAsia" w:cs="Times New Roman"/>
        </w:rPr>
        <w:fldChar w:fldCharType="begin" w:fldLock="1"/>
      </w:r>
      <w:r>
        <w:rPr>
          <w:rFonts w:hint="eastAsia" w:cs="Times New Roman"/>
        </w:rPr>
        <w:instrText xml:space="preserve">ADDIN CSL_CITATION {"citationItems":[{"id":"ITEM-1","itemData":{"DOI":"https://doi.org/10.1016/j.apenergy.2024.125116","ISSN":"0306-2619","abstract":"State of health (SOH) is a crucial parameter in a battery management system (BMS). Using multiple sources of data effectively improves the end-to-end SOH estimation performance. However, existing multidimensional feature-based methods fail to fully utilise the intrinsic relationships between multiple sources of data. Meanwhile, most of these methods are not interpretable and overlook the detrimental effects of noise. This study proposes a multi-feature fusion framework based on attention mechanism (AM-MFF) to achieve a robust and interpretable SOH estimation. The AM-MFF integrates the benefits of convolutional neural networks (CNNs) and attention mechanism (AM) to efficiently extract and fuse health features, achieving a comprehensive perception of ageing information. The data from two operational stages are used as inputs and their features are automatically extracted using two independent CNN modules. This design of the AM-MFF overcomes the differences in data distribution and noise levels across inputs. Subsequently, an AM-based feature fusion (AMFF) module is adopted to explicitly capture the intrinsic relationship between features, facilitating efficient multi-feature fusion. The attention scores from the AMFF module elucidate the contributions of each input to the SOH estimation. The experimental results on 130 cells demonstrated the superiority of the proposed AM-MFF over existing single-input and multidimensional feature-based models in terms of accuracy, stability, and noise immunity. The AM-MFF maintained excellent SOH estimation performance even when the data was noisy or the estimation of an input failed. The interpretability results elucidated the rationale behind the excellent performance of the AM-MFF. The reasons for the model anomalies were identified by combining attention scores with battery ageing knowledge.","author":[{"dropping-particle":"","family":"Chen","given":"Si-Zhe","non-dropping-particle":"","parse-names":false,"suffix":""},{"dropping-particle":"","family":"Liu","given":"Jing","non-dropping-particle":"","parse-names":false,"suffix":""},{"dropping-particle":"","family":"Yuan","given":"Haoliang","non-dropping-particle":"","parse-names":false,"suffix":""},{"dropping-particle":"","family":"Tao","given":"Yibin","non-dropping-particle":"","parse-names":false,"suffix":""},{"dropping-particle":"","family":"Xu","given":"Fangyuan","non-dropping-particle":"","parse-names":false,"suffix":""},{"dropping-particle":"","family":"Yang","given":"Ling","non-dropping-particle":"","parse-names":false,"suffix":""}],"container-title":"Applied Energy","id":"ITEM-1","issued":{"date-parts":[["2025"]]},"page":"125116","title":"AM-MFF: A multi-feature fusion framework based on attention mechanism for robust and interpretable lithium-ion battery state of health estimation","type":"article-journal","volume":"381"},"uris":["http://www.mendeley.com/documents/?uuid=6ad7104c-1db5-424e-a6e7-29f67e32e524"]}],"mendeley":{"formattedCitation":"[32]","plainTextFormattedCitation":"[32]","previouslyFormattedCitation":"[32]"},"properties":{"noteIndex":0},"schema":"https://github.com/citation-style-language/schema/raw/master/csl-citation.json"}</w:instrText>
      </w:r>
      <w:r>
        <w:rPr>
          <w:rFonts w:hint="eastAsia" w:cs="Times New Roman"/>
        </w:rPr>
        <w:fldChar w:fldCharType="separate"/>
      </w:r>
      <w:r>
        <w:rPr>
          <w:rFonts w:hint="eastAsia" w:cs="Times New Roman"/>
        </w:rPr>
        <w:t>[32]</w:t>
      </w:r>
      <w:r>
        <w:rPr>
          <w:rFonts w:hint="eastAsia" w:cs="Times New Roman"/>
        </w:rPr>
        <w:fldChar w:fldCharType="end"/>
      </w:r>
      <w:r>
        <w:rPr>
          <w:rFonts w:hint="eastAsia" w:cs="Times New Roman"/>
        </w:rPr>
        <w:t>。PIKAN通过自编码器与对抗学习构建跨域一致的隐空间健康特征，并采用最近邻相似性进行 SOH 赋值</w:t>
      </w:r>
      <w:r>
        <w:rPr>
          <w:rFonts w:hint="eastAsia" w:cs="Times New Roman"/>
        </w:rPr>
        <w:fldChar w:fldCharType="begin" w:fldLock="1"/>
      </w:r>
      <w:r>
        <w:rPr>
          <w:rFonts w:hint="eastAsia" w:cs="Times New Roman"/>
        </w:rPr>
        <w:instrText xml:space="preserve">ADDIN CSL_CITATION {"citationItems":[{"id":"ITEM-1","itemData":{"DOI":"https://doi.org/10.1016/j.energy.2025.135257","ISSN":"0360-5442","abstract":"Accurate state of health (SOH) estimation is crucial for battery safety and reliability. Traditional SOH estimation methods are designed based on extensive labeled data for specific chemical compositions or cycling conditions. However, batteries in real-world applications often operate with unlabeled degradation profiles that make SOH estimation more complex. To tackle this issue, we propose a novel domain adaptation framework for SOH estimation via an autoencoder combined with adversarial learning based on the aging data from only one cell. The autoencoder is self-supervised and used to extract the hidden health features and the adversarial learning is used to align these features across domains, enabling domain-invariant feature extraction. Further, a novel SOH estimation method is presented by the similarity comparison of hidden health features from the source domain and target domain, where the traditional regression is avoided. Tests on both self-collected and public datasets show our framework accurately estimates SOH across different compositions, cycling rates, and temperatures, with RMSE under 1.64% for various cycling rates and temperatures, and 2.03% for different chemical compositions. This study offers an efficient solution to cross-domain SOH estimation, significantly reducing the economic and time costs associated with labeled data collection.","author":[{"dropping-particle":"","family":"Dou","given":"Bowen","non-dropping-particle":"","parse-names":false,"suffix":""},{"dropping-particle":"","family":"Hou","given":"Shujuan","non-dropping-particle":"","parse-names":false,"suffix":""},{"dropping-particle":"","family":"Li","given":"Hai","non-dropping-particle":"","parse-names":false,"suffix":""},{"dropping-particle":"","family":"Zhao","given":"Yanpeng","non-dropping-particle":"","parse-names":false,"suffix":""},{"dropping-particle":"","family":"Fan","given":"Yue","non-dropping-particle":"","parse-names":false,"suffix":""},{"dropping-particle":"","family":"Sun","given":"Lei","non-dropping-particle":"","parse-names":false,"suffix":""},{"dropping-particle":"","family":"Chen","given":"Hao-sen","non-dropping-particle":"","parse-names":false,"suffix":""}],"container-title":"Energy","id":"ITEM-1","issued":{"date-parts":[["2025"]]},"page":"135257","title":"Cross-domain state of health estimation for lithium-ion battery based on latent space consistency using few-unlabeled data","type":"article-journal","volume":"320"},"uris":["http://www.mendeley.com/documents/?uuid=50b6597d-750c-41f6-8369-c258f9554e7a"]}],"mendeley":{"formattedCitation":"[33]","plainTextFormattedCitation":"[33]"},"properties":{"noteIndex":0},"schema":"https://github.com/citation-style-language/schema/raw/master/csl-citation.json"}</w:instrText>
      </w:r>
      <w:r>
        <w:rPr>
          <w:rFonts w:hint="eastAsia" w:cs="Times New Roman"/>
        </w:rPr>
        <w:fldChar w:fldCharType="separate"/>
      </w:r>
      <w:r>
        <w:rPr>
          <w:rFonts w:hint="eastAsia" w:cs="Times New Roman"/>
        </w:rPr>
        <w:t>[33]</w:t>
      </w:r>
      <w:r>
        <w:rPr>
          <w:rFonts w:hint="eastAsia" w:cs="Times New Roman"/>
        </w:rPr>
        <w:fldChar w:fldCharType="end"/>
      </w:r>
      <w:r>
        <w:rPr>
          <w:rFonts w:hint="eastAsia" w:cs="Times New Roman"/>
        </w:rPr>
        <w:t>。</w:t>
      </w:r>
    </w:p>
    <w:p w14:paraId="58FF1FFB">
      <w:pPr>
        <w:ind w:firstLine="420" w:firstLineChars="200"/>
        <w:rPr>
          <w:rFonts w:cs="Times New Roman"/>
        </w:rPr>
      </w:pPr>
      <w:r>
        <w:rPr>
          <w:rFonts w:hint="eastAsia" w:cs="Times New Roman"/>
        </w:rPr>
        <w:t>如表 4 所示，所提出方法取得Average RMSE、Macro RMSE 以及 MAE 分别为 0.009278、0.008216 以及 0.005733，MAPE 为 0.614%的预测结果。所提方法的 RMSE 分别低于 PINN4SOH、SSF-WL 以及 AM-MFF 约 0.006659、0.009427 以及 0.006333，MAE 分别降低约 0.005432、0.007487 以及0.005174。该结果表明，仅依赖通用物理信息约束、弱标签序列表征以及多特征注意力融合，仍难以充分处理批次间退化轨迹差异。相比之下，低阶退化先验、残差时序学习与退化感知特征对齐的结合更有利于降低整体预测误差。</w:t>
      </w:r>
    </w:p>
    <w:p w14:paraId="729ADC7B">
      <w:pPr>
        <w:ind w:firstLine="210" w:firstLineChars="100"/>
        <w:rPr>
          <w:rFonts w:cs="Times New Roman"/>
        </w:rPr>
      </w:pPr>
      <w:r>
        <w:rPr>
          <w:rFonts w:hint="eastAsia" w:cs="Times New Roman"/>
        </w:rPr>
        <w:t>进一步的，图 12 对 RMSE 与 MAE 进行了可视化比较。可以看出，所提方法在整体误差指标上保持最低水平。PIKAN在输入由 relaxation voltage 特征适配为固定长度充电电压轨迹后误差明显增大，说明基于隐空间最近邻赋值的跨域估计方法对输入特征形式与目标域对齐质量较为敏感。</w:t>
      </w:r>
    </w:p>
    <w:p w14:paraId="09EB560C">
      <w:pPr>
        <w:jc w:val="center"/>
        <w:rPr>
          <w:rFonts w:cs="Times New Roman"/>
          <w:sz w:val="18"/>
          <w:szCs w:val="18"/>
        </w:rPr>
      </w:pPr>
      <w:r>
        <w:rPr>
          <w:rFonts w:cs="Times New Roman"/>
        </w:rPr>
        <w:t xml:space="preserve">TABLE </w:t>
      </w:r>
      <w:r>
        <w:rPr>
          <w:rFonts w:hint="eastAsia" w:cs="Times New Roman"/>
        </w:rPr>
        <w:t>4</w:t>
      </w:r>
      <w:r>
        <w:rPr>
          <w:rFonts w:cs="Times New Roman"/>
        </w:rPr>
        <w:t>.</w:t>
      </w:r>
      <w:r>
        <w:rPr>
          <w:rFonts w:cs="Times New Roman"/>
          <w:sz w:val="18"/>
          <w:szCs w:val="18"/>
        </w:rPr>
        <w:t xml:space="preserve"> Reproduced comparison with recent journal SOH estimation methods under the same cross-batch</w:t>
      </w:r>
    </w:p>
    <w:tbl>
      <w:tblPr>
        <w:tblStyle w:val="55"/>
        <w:tblW w:w="0" w:type="auto"/>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59"/>
        <w:gridCol w:w="823"/>
        <w:gridCol w:w="1467"/>
        <w:gridCol w:w="794"/>
        <w:gridCol w:w="1185"/>
      </w:tblGrid>
      <w:tr w14:paraId="6DC73E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8" w:space="0"/>
              <w:left w:val="nil"/>
              <w:bottom w:val="single" w:color="auto" w:sz="8" w:space="0"/>
              <w:right w:val="nil"/>
              <w:insideH w:val="single" w:sz="8" w:space="0"/>
              <w:insideV w:val="nil"/>
              <w:tl2br w:val="nil"/>
              <w:tr2bl w:val="nil"/>
            </w:tcBorders>
            <w:vAlign w:val="center"/>
          </w:tcPr>
          <w:p w14:paraId="0EB80C67">
            <w:pPr>
              <w:jc w:val="left"/>
              <w:rPr>
                <w:rFonts w:ascii="Times New Roman" w:hAnsi="Times New Roman" w:cs="Times New Roman"/>
                <w:b/>
                <w:bCs/>
              </w:rPr>
            </w:pPr>
            <w:r>
              <w:rPr>
                <w:rFonts w:hint="eastAsia" w:ascii="Times New Roman" w:hAnsi="Times New Roman" w:cs="Times New Roman"/>
                <w:b/>
                <w:bCs/>
              </w:rPr>
              <w:t>Method</w:t>
            </w:r>
          </w:p>
        </w:tc>
        <w:tc>
          <w:tcPr>
            <w:tcW w:w="0" w:type="auto"/>
            <w:tcBorders>
              <w:top w:val="single" w:color="auto" w:sz="8" w:space="0"/>
              <w:bottom w:val="single" w:color="auto" w:sz="8" w:space="0"/>
              <w:right w:val="nil"/>
              <w:insideH w:val="single" w:sz="8" w:space="0"/>
              <w:insideV w:val="nil"/>
              <w:tl2br w:val="nil"/>
              <w:tr2bl w:val="nil"/>
            </w:tcBorders>
            <w:vAlign w:val="center"/>
          </w:tcPr>
          <w:p w14:paraId="07BE98AE">
            <w:pPr>
              <w:jc w:val="left"/>
              <w:rPr>
                <w:rFonts w:ascii="Times New Roman" w:hAnsi="Times New Roman" w:cs="Times New Roman"/>
                <w:b/>
                <w:bCs/>
              </w:rPr>
            </w:pPr>
            <w:r>
              <w:rPr>
                <w:rFonts w:hint="eastAsia" w:ascii="Times New Roman" w:hAnsi="Times New Roman" w:cs="Times New Roman"/>
                <w:b/>
                <w:bCs/>
              </w:rPr>
              <w:t>RMSE</w:t>
            </w:r>
          </w:p>
        </w:tc>
        <w:tc>
          <w:tcPr>
            <w:tcW w:w="0" w:type="auto"/>
            <w:tcBorders>
              <w:top w:val="single" w:color="auto" w:sz="8" w:space="0"/>
              <w:bottom w:val="single" w:color="auto" w:sz="8" w:space="0"/>
              <w:right w:val="nil"/>
              <w:insideH w:val="single" w:sz="8" w:space="0"/>
              <w:insideV w:val="nil"/>
              <w:tl2br w:val="nil"/>
              <w:tr2bl w:val="nil"/>
            </w:tcBorders>
            <w:vAlign w:val="center"/>
          </w:tcPr>
          <w:p w14:paraId="293DC28E">
            <w:pPr>
              <w:jc w:val="left"/>
              <w:rPr>
                <w:rFonts w:ascii="Times New Roman" w:hAnsi="Times New Roman" w:cs="Times New Roman"/>
                <w:b/>
                <w:bCs/>
              </w:rPr>
            </w:pPr>
            <w:r>
              <w:rPr>
                <w:rFonts w:hint="eastAsia" w:ascii="Times New Roman" w:hAnsi="Times New Roman" w:cs="Times New Roman"/>
                <w:b/>
                <w:bCs/>
              </w:rPr>
              <w:t>Macro RMSE</w:t>
            </w:r>
          </w:p>
        </w:tc>
        <w:tc>
          <w:tcPr>
            <w:tcW w:w="0" w:type="auto"/>
            <w:tcBorders>
              <w:top w:val="single" w:color="auto" w:sz="8" w:space="0"/>
              <w:bottom w:val="single" w:color="auto" w:sz="8" w:space="0"/>
              <w:right w:val="nil"/>
              <w:insideH w:val="single" w:sz="8" w:space="0"/>
              <w:insideV w:val="nil"/>
              <w:tl2br w:val="nil"/>
              <w:tr2bl w:val="nil"/>
            </w:tcBorders>
            <w:vAlign w:val="center"/>
          </w:tcPr>
          <w:p w14:paraId="40535A61">
            <w:pPr>
              <w:jc w:val="left"/>
              <w:rPr>
                <w:rFonts w:ascii="Times New Roman" w:hAnsi="Times New Roman" w:cs="Times New Roman"/>
                <w:b/>
                <w:bCs/>
              </w:rPr>
            </w:pPr>
            <w:r>
              <w:rPr>
                <w:rFonts w:hint="eastAsia" w:ascii="Times New Roman" w:hAnsi="Times New Roman" w:cs="Times New Roman"/>
                <w:b/>
                <w:bCs/>
              </w:rPr>
              <w:t>MAE</w:t>
            </w:r>
          </w:p>
        </w:tc>
        <w:tc>
          <w:tcPr>
            <w:tcW w:w="0" w:type="auto"/>
            <w:tcBorders>
              <w:top w:val="single" w:color="auto" w:sz="8" w:space="0"/>
              <w:bottom w:val="single" w:color="auto" w:sz="8" w:space="0"/>
              <w:right w:val="nil"/>
              <w:insideH w:val="single" w:sz="8" w:space="0"/>
              <w:insideV w:val="nil"/>
              <w:tl2br w:val="nil"/>
              <w:tr2bl w:val="nil"/>
            </w:tcBorders>
            <w:vAlign w:val="center"/>
          </w:tcPr>
          <w:p w14:paraId="4B7F4BF0">
            <w:pPr>
              <w:jc w:val="left"/>
              <w:rPr>
                <w:rFonts w:ascii="Times New Roman" w:hAnsi="Times New Roman" w:cs="Times New Roman"/>
                <w:b/>
                <w:bCs/>
              </w:rPr>
            </w:pPr>
            <w:r>
              <w:rPr>
                <w:rFonts w:hint="eastAsia" w:ascii="Times New Roman" w:hAnsi="Times New Roman" w:cs="Times New Roman"/>
                <w:b/>
                <w:bCs/>
              </w:rPr>
              <w:t>MAPE(%)</w:t>
            </w:r>
          </w:p>
        </w:tc>
      </w:tr>
      <w:tr w14:paraId="520881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5A7DAE6">
            <w:pPr>
              <w:jc w:val="left"/>
              <w:rPr>
                <w:rFonts w:cs="Times New Roman"/>
                <w:szCs w:val="21"/>
              </w:rPr>
            </w:pPr>
            <w:r>
              <w:rPr>
                <w:rFonts w:hint="eastAsia" w:cs="Times New Roman"/>
                <w:szCs w:val="21"/>
              </w:rPr>
              <w:t>Proposed</w:t>
            </w:r>
          </w:p>
        </w:tc>
        <w:tc>
          <w:tcPr>
            <w:tcW w:w="0" w:type="auto"/>
            <w:vAlign w:val="center"/>
          </w:tcPr>
          <w:p w14:paraId="419203AE">
            <w:pPr>
              <w:jc w:val="left"/>
              <w:rPr>
                <w:rFonts w:cs="Times New Roman"/>
              </w:rPr>
            </w:pPr>
            <w:r>
              <w:rPr>
                <w:rFonts w:hint="eastAsia" w:cs="Times New Roman"/>
              </w:rPr>
              <w:t>0.9278</w:t>
            </w:r>
          </w:p>
        </w:tc>
        <w:tc>
          <w:tcPr>
            <w:tcW w:w="0" w:type="auto"/>
            <w:vAlign w:val="center"/>
          </w:tcPr>
          <w:p w14:paraId="49032FB4">
            <w:pPr>
              <w:jc w:val="left"/>
              <w:rPr>
                <w:rFonts w:cs="Times New Roman"/>
              </w:rPr>
            </w:pPr>
            <w:r>
              <w:rPr>
                <w:rFonts w:hint="eastAsia" w:cs="Times New Roman"/>
              </w:rPr>
              <w:t>0.8216</w:t>
            </w:r>
          </w:p>
        </w:tc>
        <w:tc>
          <w:tcPr>
            <w:tcW w:w="0" w:type="auto"/>
            <w:vAlign w:val="center"/>
          </w:tcPr>
          <w:p w14:paraId="3F07DFEB">
            <w:pPr>
              <w:jc w:val="left"/>
              <w:rPr>
                <w:rFonts w:cs="Times New Roman"/>
              </w:rPr>
            </w:pPr>
            <w:r>
              <w:rPr>
                <w:rFonts w:hint="eastAsia" w:cs="Times New Roman"/>
              </w:rPr>
              <w:t>0.5733</w:t>
            </w:r>
          </w:p>
        </w:tc>
        <w:tc>
          <w:tcPr>
            <w:tcW w:w="0" w:type="auto"/>
            <w:vAlign w:val="center"/>
          </w:tcPr>
          <w:p w14:paraId="62722D35">
            <w:pPr>
              <w:jc w:val="left"/>
              <w:rPr>
                <w:rFonts w:cs="Times New Roman"/>
              </w:rPr>
            </w:pPr>
            <w:r>
              <w:rPr>
                <w:rFonts w:hint="eastAsia" w:cs="Times New Roman"/>
              </w:rPr>
              <w:t>0.6143</w:t>
            </w:r>
          </w:p>
        </w:tc>
      </w:tr>
      <w:tr w14:paraId="1A234E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AFD8F05">
            <w:pPr>
              <w:jc w:val="left"/>
              <w:rPr>
                <w:rFonts w:cs="Times New Roman"/>
              </w:rPr>
            </w:pPr>
            <w:r>
              <w:rPr>
                <w:rFonts w:hint="eastAsia" w:cs="Times New Roman"/>
              </w:rPr>
              <w:t>PINN4SOH</w:t>
            </w:r>
          </w:p>
        </w:tc>
        <w:tc>
          <w:tcPr>
            <w:tcW w:w="0" w:type="auto"/>
            <w:vAlign w:val="center"/>
          </w:tcPr>
          <w:p w14:paraId="3AD31F81">
            <w:pPr>
              <w:jc w:val="left"/>
              <w:rPr>
                <w:rFonts w:cs="Times New Roman"/>
              </w:rPr>
            </w:pPr>
            <w:r>
              <w:rPr>
                <w:rFonts w:hint="eastAsia" w:cs="Times New Roman"/>
              </w:rPr>
              <w:t>1.5937</w:t>
            </w:r>
          </w:p>
        </w:tc>
        <w:tc>
          <w:tcPr>
            <w:tcW w:w="0" w:type="auto"/>
            <w:vAlign w:val="center"/>
          </w:tcPr>
          <w:p w14:paraId="5FD42165">
            <w:pPr>
              <w:jc w:val="left"/>
              <w:rPr>
                <w:rFonts w:cs="Times New Roman"/>
              </w:rPr>
            </w:pPr>
            <w:r>
              <w:rPr>
                <w:rFonts w:hint="eastAsia" w:cs="Times New Roman"/>
              </w:rPr>
              <w:t>1.5088</w:t>
            </w:r>
          </w:p>
        </w:tc>
        <w:tc>
          <w:tcPr>
            <w:tcW w:w="0" w:type="auto"/>
            <w:vAlign w:val="center"/>
          </w:tcPr>
          <w:p w14:paraId="004F56A6">
            <w:pPr>
              <w:jc w:val="left"/>
              <w:rPr>
                <w:rFonts w:cs="Times New Roman"/>
              </w:rPr>
            </w:pPr>
            <w:r>
              <w:rPr>
                <w:rFonts w:hint="eastAsia" w:cs="Times New Roman"/>
              </w:rPr>
              <w:t>1.1165</w:t>
            </w:r>
          </w:p>
        </w:tc>
        <w:tc>
          <w:tcPr>
            <w:tcW w:w="0" w:type="auto"/>
            <w:vAlign w:val="center"/>
          </w:tcPr>
          <w:p w14:paraId="78942E6C">
            <w:pPr>
              <w:jc w:val="left"/>
              <w:rPr>
                <w:rFonts w:cs="Times New Roman"/>
              </w:rPr>
            </w:pPr>
            <w:r>
              <w:rPr>
                <w:rFonts w:hint="eastAsia" w:cs="Times New Roman"/>
              </w:rPr>
              <w:t>1.1735</w:t>
            </w:r>
          </w:p>
        </w:tc>
      </w:tr>
      <w:tr w14:paraId="74DA24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80E7544">
            <w:pPr>
              <w:jc w:val="left"/>
              <w:rPr>
                <w:rFonts w:cs="Times New Roman"/>
              </w:rPr>
            </w:pPr>
            <w:r>
              <w:rPr>
                <w:rFonts w:hint="eastAsia" w:cs="Times New Roman"/>
              </w:rPr>
              <w:t>SSF-WL</w:t>
            </w:r>
          </w:p>
        </w:tc>
        <w:tc>
          <w:tcPr>
            <w:tcW w:w="0" w:type="auto"/>
            <w:vAlign w:val="center"/>
          </w:tcPr>
          <w:p w14:paraId="08C33B74">
            <w:pPr>
              <w:jc w:val="left"/>
              <w:rPr>
                <w:rFonts w:cs="Times New Roman"/>
              </w:rPr>
            </w:pPr>
            <w:r>
              <w:rPr>
                <w:rFonts w:hint="eastAsia" w:cs="Times New Roman"/>
              </w:rPr>
              <w:t>1.8705</w:t>
            </w:r>
          </w:p>
        </w:tc>
        <w:tc>
          <w:tcPr>
            <w:tcW w:w="0" w:type="auto"/>
            <w:vAlign w:val="center"/>
          </w:tcPr>
          <w:p w14:paraId="1E1D2BD1">
            <w:pPr>
              <w:jc w:val="left"/>
              <w:rPr>
                <w:rFonts w:cs="Times New Roman"/>
              </w:rPr>
            </w:pPr>
            <w:r>
              <w:rPr>
                <w:rFonts w:hint="eastAsia" w:cs="Times New Roman"/>
              </w:rPr>
              <w:t>1.8080</w:t>
            </w:r>
          </w:p>
        </w:tc>
        <w:tc>
          <w:tcPr>
            <w:tcW w:w="0" w:type="auto"/>
            <w:vAlign w:val="center"/>
          </w:tcPr>
          <w:p w14:paraId="64B2063A">
            <w:pPr>
              <w:jc w:val="left"/>
              <w:rPr>
                <w:rFonts w:cs="Times New Roman"/>
              </w:rPr>
            </w:pPr>
            <w:r>
              <w:rPr>
                <w:rFonts w:hint="eastAsia" w:cs="Times New Roman"/>
              </w:rPr>
              <w:t>1.3220</w:t>
            </w:r>
          </w:p>
        </w:tc>
        <w:tc>
          <w:tcPr>
            <w:tcW w:w="0" w:type="auto"/>
            <w:vAlign w:val="center"/>
          </w:tcPr>
          <w:p w14:paraId="08BCE43F">
            <w:pPr>
              <w:jc w:val="left"/>
              <w:rPr>
                <w:rFonts w:cs="Times New Roman"/>
              </w:rPr>
            </w:pPr>
            <w:r>
              <w:rPr>
                <w:rFonts w:hint="eastAsia" w:cs="Times New Roman"/>
              </w:rPr>
              <w:t>1.4134</w:t>
            </w:r>
          </w:p>
        </w:tc>
      </w:tr>
      <w:tr w14:paraId="697CF98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98E3FD0">
            <w:pPr>
              <w:jc w:val="left"/>
              <w:rPr>
                <w:rFonts w:cs="Times New Roman"/>
              </w:rPr>
            </w:pPr>
            <w:r>
              <w:rPr>
                <w:rFonts w:hint="eastAsia" w:cs="Times New Roman"/>
              </w:rPr>
              <w:t>AM-MFF</w:t>
            </w:r>
          </w:p>
        </w:tc>
        <w:tc>
          <w:tcPr>
            <w:tcW w:w="0" w:type="auto"/>
            <w:vAlign w:val="center"/>
          </w:tcPr>
          <w:p w14:paraId="67FF8A25">
            <w:pPr>
              <w:jc w:val="left"/>
              <w:rPr>
                <w:rFonts w:cs="Times New Roman"/>
              </w:rPr>
            </w:pPr>
            <w:r>
              <w:rPr>
                <w:rFonts w:hint="eastAsia" w:cs="Times New Roman"/>
              </w:rPr>
              <w:t>1.5611</w:t>
            </w:r>
          </w:p>
        </w:tc>
        <w:tc>
          <w:tcPr>
            <w:tcW w:w="0" w:type="auto"/>
            <w:vAlign w:val="center"/>
          </w:tcPr>
          <w:p w14:paraId="7A4F579A">
            <w:pPr>
              <w:jc w:val="left"/>
              <w:rPr>
                <w:rFonts w:cs="Times New Roman"/>
              </w:rPr>
            </w:pPr>
            <w:r>
              <w:rPr>
                <w:rFonts w:hint="eastAsia" w:cs="Times New Roman"/>
              </w:rPr>
              <w:t>1.5007</w:t>
            </w:r>
          </w:p>
        </w:tc>
        <w:tc>
          <w:tcPr>
            <w:tcW w:w="0" w:type="auto"/>
            <w:vAlign w:val="center"/>
          </w:tcPr>
          <w:p w14:paraId="64E8DB9F">
            <w:pPr>
              <w:jc w:val="left"/>
              <w:rPr>
                <w:rFonts w:cs="Times New Roman"/>
              </w:rPr>
            </w:pPr>
            <w:r>
              <w:rPr>
                <w:rFonts w:hint="eastAsia" w:cs="Times New Roman"/>
              </w:rPr>
              <w:t>1.0907</w:t>
            </w:r>
          </w:p>
        </w:tc>
        <w:tc>
          <w:tcPr>
            <w:tcW w:w="0" w:type="auto"/>
            <w:vAlign w:val="center"/>
          </w:tcPr>
          <w:p w14:paraId="0E96F242">
            <w:pPr>
              <w:jc w:val="left"/>
              <w:rPr>
                <w:rFonts w:cs="Times New Roman"/>
              </w:rPr>
            </w:pPr>
            <w:r>
              <w:rPr>
                <w:rFonts w:hint="eastAsia" w:cs="Times New Roman"/>
              </w:rPr>
              <w:t>1.1540</w:t>
            </w:r>
          </w:p>
        </w:tc>
      </w:tr>
      <w:tr w14:paraId="7EAEAAC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780AEAC">
            <w:pPr>
              <w:jc w:val="left"/>
              <w:rPr>
                <w:rFonts w:cs="Times New Roman"/>
              </w:rPr>
            </w:pPr>
            <w:r>
              <w:rPr>
                <w:rFonts w:hint="eastAsia" w:cs="Times New Roman"/>
              </w:rPr>
              <w:t>PIKAN</w:t>
            </w:r>
          </w:p>
        </w:tc>
        <w:tc>
          <w:tcPr>
            <w:tcW w:w="0" w:type="auto"/>
            <w:vAlign w:val="center"/>
          </w:tcPr>
          <w:p w14:paraId="7682CB65">
            <w:pPr>
              <w:jc w:val="left"/>
              <w:rPr>
                <w:rFonts w:cs="Times New Roman"/>
              </w:rPr>
            </w:pPr>
            <w:r>
              <w:rPr>
                <w:rFonts w:hint="eastAsia" w:cs="Times New Roman"/>
              </w:rPr>
              <w:t>7.5347</w:t>
            </w:r>
          </w:p>
        </w:tc>
        <w:tc>
          <w:tcPr>
            <w:tcW w:w="0" w:type="auto"/>
            <w:vAlign w:val="center"/>
          </w:tcPr>
          <w:p w14:paraId="7761F89B">
            <w:pPr>
              <w:jc w:val="left"/>
              <w:rPr>
                <w:rFonts w:cs="Times New Roman"/>
              </w:rPr>
            </w:pPr>
            <w:r>
              <w:rPr>
                <w:rFonts w:hint="eastAsia" w:cs="Times New Roman"/>
              </w:rPr>
              <w:t>7.3958</w:t>
            </w:r>
          </w:p>
        </w:tc>
        <w:tc>
          <w:tcPr>
            <w:tcW w:w="0" w:type="auto"/>
            <w:vAlign w:val="center"/>
          </w:tcPr>
          <w:p w14:paraId="27E8DCB1">
            <w:pPr>
              <w:jc w:val="left"/>
              <w:rPr>
                <w:rFonts w:cs="Times New Roman"/>
              </w:rPr>
            </w:pPr>
            <w:r>
              <w:rPr>
                <w:rFonts w:hint="eastAsia" w:cs="Times New Roman"/>
              </w:rPr>
              <w:t>5.4650</w:t>
            </w:r>
          </w:p>
        </w:tc>
        <w:tc>
          <w:tcPr>
            <w:tcW w:w="0" w:type="auto"/>
            <w:vAlign w:val="center"/>
          </w:tcPr>
          <w:p w14:paraId="3722B88A">
            <w:pPr>
              <w:jc w:val="left"/>
              <w:rPr>
                <w:rFonts w:cs="Times New Roman"/>
              </w:rPr>
            </w:pPr>
            <w:r>
              <w:rPr>
                <w:rFonts w:hint="eastAsia" w:cs="Times New Roman"/>
              </w:rPr>
              <w:t>5.8582</w:t>
            </w:r>
          </w:p>
        </w:tc>
      </w:tr>
      <w:tr w14:paraId="5F54CD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018528">
            <w:pPr>
              <w:jc w:val="left"/>
              <w:rPr>
                <w:rFonts w:cs="Times New Roman"/>
              </w:rPr>
            </w:pPr>
            <w:r>
              <w:rPr>
                <w:rFonts w:hint="eastAsia" w:cs="Times New Roman"/>
              </w:rPr>
              <w:t>MSWaveFuser</w:t>
            </w:r>
          </w:p>
        </w:tc>
        <w:tc>
          <w:tcPr>
            <w:tcW w:w="0" w:type="auto"/>
            <w:vAlign w:val="center"/>
          </w:tcPr>
          <w:p w14:paraId="78B9F670">
            <w:pPr>
              <w:jc w:val="left"/>
              <w:rPr>
                <w:rFonts w:cs="Times New Roman"/>
              </w:rPr>
            </w:pPr>
            <w:r>
              <w:rPr>
                <w:rFonts w:hint="eastAsia" w:cs="Times New Roman"/>
              </w:rPr>
              <w:t>1.1480</w:t>
            </w:r>
          </w:p>
        </w:tc>
        <w:tc>
          <w:tcPr>
            <w:tcW w:w="0" w:type="auto"/>
            <w:vAlign w:val="center"/>
          </w:tcPr>
          <w:p w14:paraId="5D9014CD">
            <w:pPr>
              <w:jc w:val="left"/>
              <w:rPr>
                <w:rFonts w:cs="Times New Roman"/>
              </w:rPr>
            </w:pPr>
            <w:r>
              <w:rPr>
                <w:rFonts w:hint="eastAsia" w:cs="Times New Roman"/>
              </w:rPr>
              <w:t>1.0492</w:t>
            </w:r>
          </w:p>
        </w:tc>
        <w:tc>
          <w:tcPr>
            <w:tcW w:w="0" w:type="auto"/>
            <w:vAlign w:val="center"/>
          </w:tcPr>
          <w:p w14:paraId="1B55BFA3">
            <w:pPr>
              <w:jc w:val="left"/>
              <w:rPr>
                <w:rFonts w:cs="Times New Roman"/>
              </w:rPr>
            </w:pPr>
            <w:r>
              <w:rPr>
                <w:rFonts w:hint="eastAsia" w:cs="Times New Roman"/>
              </w:rPr>
              <w:t>0.8209</w:t>
            </w:r>
          </w:p>
        </w:tc>
        <w:tc>
          <w:tcPr>
            <w:tcW w:w="0" w:type="auto"/>
            <w:vAlign w:val="center"/>
          </w:tcPr>
          <w:p w14:paraId="25A3D32D">
            <w:pPr>
              <w:jc w:val="left"/>
              <w:rPr>
                <w:rFonts w:cs="Times New Roman"/>
              </w:rPr>
            </w:pPr>
            <w:r>
              <w:rPr>
                <w:rFonts w:hint="eastAsia" w:cs="Times New Roman"/>
              </w:rPr>
              <w:t>0.8606</w:t>
            </w:r>
          </w:p>
        </w:tc>
      </w:tr>
    </w:tbl>
    <w:p w14:paraId="6F074F86">
      <w:pPr>
        <w:spacing w:before="156" w:beforeLines="50"/>
        <w:jc w:val="center"/>
        <w:rPr>
          <w:rFonts w:cs="Times New Roman"/>
          <w:b/>
          <w:bCs/>
          <w:color w:val="2F5496"/>
          <w:szCs w:val="21"/>
        </w:rPr>
      </w:pPr>
      <w:r>
        <w:rPr>
          <w:rFonts w:hint="eastAsia" w:cs="Times New Roman"/>
          <w:b/>
          <w:bCs/>
          <w:color w:val="2F5496"/>
          <w:szCs w:val="21"/>
        </w:rPr>
        <w:drawing>
          <wp:inline distT="0" distB="0" distL="114300" distR="114300">
            <wp:extent cx="5443855" cy="2346325"/>
            <wp:effectExtent l="0" t="0" r="4445" b="15875"/>
            <wp:docPr id="25" name="图片 25" descr="fig4x_advanced_methods_polar_radar_combo_v4_large_b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ig4x_advanced_methods_polar_radar_combo_v4_large_bold"/>
                    <pic:cNvPicPr>
                      <a:picLocks noChangeAspect="1"/>
                    </pic:cNvPicPr>
                  </pic:nvPicPr>
                  <pic:blipFill>
                    <a:blip r:embed="rId244"/>
                    <a:stretch>
                      <a:fillRect/>
                    </a:stretch>
                  </pic:blipFill>
                  <pic:spPr>
                    <a:xfrm>
                      <a:off x="0" y="0"/>
                      <a:ext cx="5443855" cy="2346325"/>
                    </a:xfrm>
                    <a:prstGeom prst="rect">
                      <a:avLst/>
                    </a:prstGeom>
                  </pic:spPr>
                </pic:pic>
              </a:graphicData>
            </a:graphic>
          </wp:inline>
        </w:drawing>
      </w:r>
    </w:p>
    <w:p w14:paraId="62696AB6">
      <w:pPr>
        <w:jc w:val="center"/>
        <w:rPr>
          <w:rFonts w:cs="Times New Roman"/>
          <w:b/>
          <w:bCs/>
          <w:color w:val="2F5496"/>
          <w:szCs w:val="21"/>
        </w:rPr>
      </w:pPr>
      <w:r>
        <w:rPr>
          <w:rFonts w:hint="eastAsia" w:cs="Times New Roman"/>
          <w:b/>
          <w:bCs/>
          <w:color w:val="2F5496"/>
          <w:szCs w:val="21"/>
        </w:rPr>
        <w:t xml:space="preserve">Fig. 12. </w:t>
      </w:r>
      <w:r>
        <w:rPr>
          <w:rFonts w:hint="eastAsia" w:cs="Times New Roman"/>
          <w:color w:val="000000" w:themeColor="text1"/>
          <w:sz w:val="18"/>
          <w:szCs w:val="18"/>
          <w14:textFill>
            <w14:solidFill>
              <w14:schemeClr w14:val="tx1"/>
            </w14:solidFill>
          </w14:textFill>
        </w:rPr>
        <w:t>Performance comparison of the proposed method and representative advanced SOH estimation methods</w:t>
      </w:r>
    </w:p>
    <w:p w14:paraId="0FC67E4E">
      <w:pPr>
        <w:rPr>
          <w:rFonts w:cs="Times New Roman"/>
          <w:b/>
          <w:bCs/>
          <w:color w:val="2F5496"/>
          <w:szCs w:val="21"/>
        </w:rPr>
      </w:pPr>
      <w:r>
        <w:rPr>
          <w:rFonts w:hint="eastAsia" w:cs="Times New Roman"/>
          <w:b/>
          <w:bCs/>
          <w:color w:val="2F5496"/>
          <w:szCs w:val="21"/>
        </w:rPr>
        <w:t>4.4 Comparison with baseline models</w:t>
      </w:r>
    </w:p>
    <w:p w14:paraId="1165CFBC">
      <w:pPr>
        <w:ind w:firstLine="420"/>
        <w:rPr>
          <w:rFonts w:hint="eastAsia" w:cs="Times New Roman"/>
        </w:rPr>
      </w:pPr>
      <w:r>
        <w:rPr>
          <w:rFonts w:hint="eastAsia" w:cs="Times New Roman"/>
        </w:rPr>
        <w:t>To verify the effectiveness of the proposed method, we compared it with seven baselines: CNN-LSTM, LSTM, GRU, PCA-GPR, PCA-RBF-SVR, PCA-LinearSVR, and the cubic degradation baseline. The results are shown in Figure 13. The proposed model achieved an Average RMSE of 0.009278, a Macro RMSE of 0.008216, and an MAE of 0.005733, outperforming all compared methods. CNN-LSTM yielded an RMSE of 0.016075, indicating that purely convolutional and recurrent end-to-end data-driven modeling struggles to adequately capture global degradation trend differences and batch shifts in the present cross-batch prediction task.</w:t>
      </w:r>
    </w:p>
    <w:p w14:paraId="3157C1C7">
      <w:pPr>
        <w:ind w:firstLine="420"/>
        <w:rPr>
          <w:rFonts w:hint="eastAsia" w:cs="Times New Roman"/>
        </w:rPr>
      </w:pPr>
      <w:r>
        <w:rPr>
          <w:rFonts w:hint="eastAsia" w:cs="Times New Roman"/>
        </w:rPr>
        <w:t>PCA-GPR and PCA-RBF-SVR can perform nonlinear regression on low-dimensional statistical features; however, their ability to represent the local degradation morphology of charging voltage trajectories remains limited. Notably, the cubic degradation baseline produced an RMSE of 0.032649, higher than that of the full model. This suggests that the low-order nonlinear degradation prior cannot independently replace temporal residual learning; its primary role is to provide a global degradation reference for the SOH curve. LSTM and GRU achieved RMSE values of 0.032742 and 0.033109, respectively, demonstrating that without the low-order degradation prior, local temporal aggregation, and target-domain alignment constraint, recurrent networks are prone to large prediction errors in cross-batch scenarios. Therefore, the advantage of the proposed method does not arise from a single structure but from the functional complementarity among its different modules.</w:t>
      </w:r>
      <w:bookmarkStart w:id="1" w:name="_GoBack"/>
      <w:bookmarkEnd w:id="1"/>
    </w:p>
    <w:p w14:paraId="6EFFF08C">
      <w:pPr>
        <w:jc w:val="both"/>
        <w:rPr>
          <w:rFonts w:cs="Times New Roman"/>
        </w:rPr>
      </w:pPr>
      <w:r>
        <w:rPr>
          <w:rFonts w:hint="eastAsia" w:cs="Times New Roman"/>
        </w:rPr>
        <w:drawing>
          <wp:inline distT="0" distB="0" distL="114300" distR="114300">
            <wp:extent cx="6318885" cy="3002915"/>
            <wp:effectExtent l="0" t="0" r="5715" b="6985"/>
            <wp:docPr id="26" name="图片 26" descr="Figure_4-1_Main_Batch10_Baseline_Comparison_p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igure_4-1_Main_Batch10_Baseline_Comparison_polar"/>
                    <pic:cNvPicPr>
                      <a:picLocks noChangeAspect="1"/>
                    </pic:cNvPicPr>
                  </pic:nvPicPr>
                  <pic:blipFill>
                    <a:blip r:embed="rId245"/>
                    <a:stretch>
                      <a:fillRect/>
                    </a:stretch>
                  </pic:blipFill>
                  <pic:spPr>
                    <a:xfrm>
                      <a:off x="0" y="0"/>
                      <a:ext cx="6318885" cy="3002915"/>
                    </a:xfrm>
                    <a:prstGeom prst="rect">
                      <a:avLst/>
                    </a:prstGeom>
                  </pic:spPr>
                </pic:pic>
              </a:graphicData>
            </a:graphic>
          </wp:inline>
        </w:drawing>
      </w:r>
    </w:p>
    <w:p w14:paraId="54AE7ADC">
      <w:pPr>
        <w:jc w:val="center"/>
        <w:rPr>
          <w:rFonts w:cs="Times New Roman"/>
        </w:rPr>
      </w:pPr>
      <w:r>
        <w:rPr>
          <w:rFonts w:cs="Times New Roman"/>
          <w:b/>
          <w:bCs/>
          <w:color w:val="203864" w:themeColor="accent1" w:themeShade="80"/>
          <w:sz w:val="18"/>
          <w:szCs w:val="18"/>
        </w:rPr>
        <w:t xml:space="preserve">Fig. </w:t>
      </w:r>
      <w:r>
        <w:rPr>
          <w:rFonts w:hint="eastAsia" w:cs="Times New Roman"/>
          <w:b/>
          <w:bCs/>
          <w:color w:val="203864" w:themeColor="accent1" w:themeShade="80"/>
          <w:sz w:val="18"/>
          <w:szCs w:val="18"/>
        </w:rPr>
        <w:t xml:space="preserve">13 </w:t>
      </w:r>
      <w:r>
        <w:rPr>
          <w:rFonts w:cs="Times New Roman"/>
          <w:sz w:val="18"/>
          <w:szCs w:val="18"/>
        </w:rPr>
        <w:t>Main Batch10 baseline comparison</w:t>
      </w:r>
    </w:p>
    <w:p w14:paraId="32DCF35F">
      <w:pPr>
        <w:rPr>
          <w:rFonts w:cs="Times New Roman"/>
          <w:b/>
          <w:bCs/>
          <w:color w:val="2F5496"/>
          <w:szCs w:val="21"/>
        </w:rPr>
      </w:pPr>
      <w:r>
        <w:rPr>
          <w:rFonts w:hint="eastAsia" w:cs="Times New Roman"/>
          <w:b/>
          <w:bCs/>
          <w:color w:val="2F5496"/>
          <w:szCs w:val="21"/>
        </w:rPr>
        <w:t>4.5 小样本实验</w:t>
      </w:r>
    </w:p>
    <w:p w14:paraId="61714BAA">
      <w:pPr>
        <w:ind w:firstLine="420"/>
        <w:rPr>
          <w:rFonts w:cs="Times New Roman"/>
        </w:rPr>
      </w:pPr>
      <w:r>
        <w:rPr>
          <w:rFonts w:cs="Times New Roman"/>
        </w:rPr>
        <w:t>为了进一步分析目标域数据在跨批次 SOH 预测中的作用，设置了 source-only</w:t>
      </w:r>
      <w:r>
        <w:rPr>
          <w:rFonts w:hint="eastAsia" w:cs="Times New Roman"/>
        </w:rPr>
        <w:t>与</w:t>
      </w:r>
      <w:r>
        <w:rPr>
          <w:rFonts w:cs="Times New Roman"/>
        </w:rPr>
        <w:t>不同目标开发电池数量的</w:t>
      </w:r>
      <w:r>
        <w:rPr>
          <w:rFonts w:hint="eastAsia" w:cs="Times New Roman"/>
        </w:rPr>
        <w:t>消融</w:t>
      </w:r>
      <w:r>
        <w:rPr>
          <w:rFonts w:cs="Times New Roman"/>
        </w:rPr>
        <w:t>实验。source-only 表示模型仅利用 Batch 1-8 源域训练，不使用 Batch 9 目标开发电池进行特征对齐</w:t>
      </w:r>
      <w:r>
        <w:rPr>
          <w:rFonts w:hint="eastAsia" w:cs="Times New Roman"/>
        </w:rPr>
        <w:t>。</w:t>
      </w:r>
      <w:r>
        <w:rPr>
          <w:rFonts w:cs="Times New Roman"/>
        </w:rPr>
        <w:t xml:space="preserve">其他设置则分别使用 1、2、4 </w:t>
      </w:r>
      <w:r>
        <w:rPr>
          <w:rFonts w:hint="eastAsia" w:cs="Times New Roman"/>
        </w:rPr>
        <w:t>以及</w:t>
      </w:r>
      <w:r>
        <w:rPr>
          <w:rFonts w:cs="Times New Roman"/>
        </w:rPr>
        <w:t xml:space="preserve"> 8 个 Batch 9 电池作为目标样本。</w:t>
      </w:r>
    </w:p>
    <w:p w14:paraId="1F7D7CC3">
      <w:pPr>
        <w:ind w:firstLine="420" w:firstLineChars="200"/>
        <w:rPr>
          <w:rFonts w:cs="Times New Roman"/>
        </w:rPr>
      </w:pPr>
      <w:r>
        <w:rPr>
          <w:rFonts w:cs="Times New Roman"/>
        </w:rPr>
        <w:t>source-only 的RMSE 为 0.010805</w:t>
      </w:r>
      <w:r>
        <w:rPr>
          <w:rFonts w:hint="eastAsia" w:cs="Times New Roman"/>
        </w:rPr>
        <w:t>，而</w:t>
      </w:r>
      <w:r>
        <w:rPr>
          <w:rFonts w:cs="Times New Roman"/>
        </w:rPr>
        <w:t>当使用8 个 Batch 9 电池时，RMSE 为 0.009448</w:t>
      </w:r>
      <w:r>
        <w:rPr>
          <w:rFonts w:hint="eastAsia" w:cs="Times New Roman"/>
        </w:rPr>
        <w:t>，如图14</w:t>
      </w:r>
      <w:r>
        <w:rPr>
          <w:rFonts w:cs="Times New Roman"/>
        </w:rPr>
        <w:t>。该结果说明，有限目标开发数据能够为跨批次适应提供一定帮助。然而，不同目标开发样本数量的误差并未呈现严格单调下降趋势。使用 2 个目标电池</w:t>
      </w:r>
      <w:r>
        <w:rPr>
          <w:rFonts w:hint="eastAsia" w:cs="Times New Roman"/>
        </w:rPr>
        <w:t>的</w:t>
      </w:r>
      <w:r>
        <w:rPr>
          <w:rFonts w:cs="Times New Roman"/>
        </w:rPr>
        <w:t xml:space="preserve"> RMSE 为 0.011190，高于 source-only。这说明目标数据的作用不仅取决于数量，也受到所选目标电池代表性</w:t>
      </w:r>
      <w:r>
        <w:rPr>
          <w:rFonts w:hint="eastAsia" w:cs="Times New Roman"/>
        </w:rPr>
        <w:t>与</w:t>
      </w:r>
      <w:r>
        <w:rPr>
          <w:rFonts w:cs="Times New Roman"/>
        </w:rPr>
        <w:t>退化阶段覆盖情况的影响。Batch 9 目标域能够为模型选择</w:t>
      </w:r>
      <w:r>
        <w:rPr>
          <w:rFonts w:hint="eastAsia" w:cs="Times New Roman"/>
        </w:rPr>
        <w:t>与</w:t>
      </w:r>
      <w:r>
        <w:rPr>
          <w:rFonts w:cs="Times New Roman"/>
        </w:rPr>
        <w:t>特征对齐提供参考，但在小样本条件下，其稳定性仍受到目标子集组成的影响。在模型复杂度方面，当前模型约包含 31466 个可训练参数，checkpoint 大小约为 0.391-0.392 MB，推理延迟约为 0.046 ms/sample。所提出</w:t>
      </w:r>
      <w:r>
        <w:rPr>
          <w:rFonts w:hint="eastAsia" w:cs="Times New Roman"/>
        </w:rPr>
        <w:t>方法</w:t>
      </w:r>
      <w:r>
        <w:rPr>
          <w:rFonts w:cs="Times New Roman"/>
        </w:rPr>
        <w:t>在当前实验环境下具有较低的推理开销，能够在保持模型规模较小的同时完成跨批次 SOH 估计。</w:t>
      </w:r>
    </w:p>
    <w:p w14:paraId="30D611B1">
      <w:pPr>
        <w:jc w:val="center"/>
        <w:rPr>
          <w:rFonts w:cs="Times New Roman"/>
          <w:b/>
          <w:bCs/>
          <w:color w:val="203864" w:themeColor="accent1" w:themeShade="80"/>
          <w:sz w:val="18"/>
          <w:szCs w:val="18"/>
        </w:rPr>
      </w:pPr>
      <w:r>
        <w:rPr>
          <w:rFonts w:cs="Times New Roman"/>
        </w:rPr>
        <w:drawing>
          <wp:inline distT="0" distB="0" distL="114300" distR="114300">
            <wp:extent cx="4234180" cy="2705100"/>
            <wp:effectExtent l="0" t="0" r="13970" b="0"/>
            <wp:docPr id="7" name="图片 7" descr="Figure_4-4_Target_Development_Budget_Sensi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4-4_Target_Development_Budget_Sensitivity"/>
                    <pic:cNvPicPr>
                      <a:picLocks noChangeAspect="1"/>
                    </pic:cNvPicPr>
                  </pic:nvPicPr>
                  <pic:blipFill>
                    <a:blip r:embed="rId246"/>
                    <a:stretch>
                      <a:fillRect/>
                    </a:stretch>
                  </pic:blipFill>
                  <pic:spPr>
                    <a:xfrm>
                      <a:off x="0" y="0"/>
                      <a:ext cx="4234180" cy="2705100"/>
                    </a:xfrm>
                    <a:prstGeom prst="rect">
                      <a:avLst/>
                    </a:prstGeom>
                  </pic:spPr>
                </pic:pic>
              </a:graphicData>
            </a:graphic>
          </wp:inline>
        </w:drawing>
      </w:r>
    </w:p>
    <w:p w14:paraId="5270B5E3">
      <w:pPr>
        <w:jc w:val="center"/>
        <w:rPr>
          <w:rFonts w:cs="Times New Roman"/>
          <w:sz w:val="18"/>
          <w:szCs w:val="18"/>
        </w:rPr>
      </w:pPr>
      <w:r>
        <w:rPr>
          <w:rFonts w:cs="Times New Roman"/>
          <w:b/>
          <w:bCs/>
          <w:color w:val="203864" w:themeColor="accent1" w:themeShade="80"/>
          <w:sz w:val="18"/>
          <w:szCs w:val="18"/>
        </w:rPr>
        <w:t xml:space="preserve">Fig. </w:t>
      </w:r>
      <w:r>
        <w:rPr>
          <w:rFonts w:hint="eastAsia" w:cs="Times New Roman"/>
          <w:b/>
          <w:bCs/>
          <w:color w:val="203864" w:themeColor="accent1" w:themeShade="80"/>
          <w:sz w:val="18"/>
          <w:szCs w:val="18"/>
        </w:rPr>
        <w:t xml:space="preserve">14 </w:t>
      </w:r>
      <w:r>
        <w:rPr>
          <w:rFonts w:cs="Times New Roman"/>
          <w:sz w:val="18"/>
          <w:szCs w:val="18"/>
        </w:rPr>
        <w:t>Target-development budget sensitivity</w:t>
      </w:r>
    </w:p>
    <w:p w14:paraId="62C3CB7A">
      <w:pPr>
        <w:rPr>
          <w:rFonts w:cs="Times New Roman"/>
          <w:b/>
          <w:bCs/>
          <w:color w:val="2F5496"/>
          <w:szCs w:val="21"/>
        </w:rPr>
      </w:pPr>
      <w:r>
        <w:rPr>
          <w:rFonts w:hint="eastAsia" w:cs="Times New Roman"/>
          <w:b/>
          <w:bCs/>
          <w:color w:val="2F5496"/>
          <w:szCs w:val="21"/>
        </w:rPr>
        <w:t>4.6 消融实验</w:t>
      </w:r>
    </w:p>
    <w:p w14:paraId="0C620188">
      <w:pPr>
        <w:ind w:firstLine="420"/>
        <w:rPr>
          <w:rFonts w:cs="Times New Roman"/>
        </w:rPr>
      </w:pPr>
      <w:r>
        <w:rPr>
          <w:rFonts w:cs="Times New Roman"/>
        </w:rPr>
        <w:t>为分析不同模块对 SOH 预测性能的贡献，设计了消融实验，包括移除低阶非线性退化先验、 attention-assisted temporal aggregation、MMD 正则以及将指数退化感知 MMD 替换为 static MMD。</w:t>
      </w:r>
    </w:p>
    <w:p w14:paraId="5666B246">
      <w:pPr>
        <w:ind w:firstLine="420"/>
        <w:rPr>
          <w:rFonts w:cs="Times New Roman"/>
        </w:rPr>
      </w:pPr>
      <w:r>
        <w:rPr>
          <w:rFonts w:cs="Times New Roman"/>
        </w:rPr>
        <w:t>完整模型的RMSE 为 0.009499</w:t>
      </w:r>
      <w:r>
        <w:rPr>
          <w:rFonts w:hint="eastAsia" w:cs="Times New Roman"/>
        </w:rPr>
        <w:t>，如图15所示</w:t>
      </w:r>
      <w:r>
        <w:rPr>
          <w:rFonts w:cs="Times New Roman"/>
        </w:rPr>
        <w:t>。移除低阶非线性退化先验后，RMSE 上升至 0.020716，MAE 上升至 0.013759，是所有消融项中退化最明显的</w:t>
      </w:r>
      <w:r>
        <w:rPr>
          <w:rFonts w:hint="eastAsia" w:cs="Times New Roman"/>
        </w:rPr>
        <w:t>消融</w:t>
      </w:r>
      <w:r>
        <w:rPr>
          <w:rFonts w:cs="Times New Roman"/>
        </w:rPr>
        <w:t>。这说明低阶退化先验对跨批次 SOH 预测具有关键作用。移除 attention-assisted temporal aggregation 后，RMSE 上升至 0.011677，MAE 上升至 0.008145。该结果表明，attention 模块能够改善局部充电电压轨迹特征的聚合方式，对残差分支具有辅助贡献。但从误差变化幅度看，attention 的作用</w:t>
      </w:r>
      <w:r>
        <w:rPr>
          <w:rFonts w:hint="eastAsia" w:cs="Times New Roman"/>
        </w:rPr>
        <w:t>可</w:t>
      </w:r>
      <w:r>
        <w:rPr>
          <w:rFonts w:cs="Times New Roman"/>
        </w:rPr>
        <w:t>描述为有效的辅助表征模块。</w:t>
      </w:r>
      <w:r>
        <w:rPr>
          <w:rFonts w:hint="eastAsia" w:cs="Times New Roman"/>
        </w:rPr>
        <w:t>此外</w:t>
      </w:r>
      <w:r>
        <w:rPr>
          <w:rFonts w:cs="Times New Roman"/>
        </w:rPr>
        <w:t xml:space="preserve">，no-MMD 的 RMSE 为 0.009677，static MMD 的 RMSE 为 0.009635，指数退化感知 MMD 的 RMSE 为 0.009499。三者间的差距较小，说明 MMD </w:t>
      </w:r>
      <w:r>
        <w:rPr>
          <w:rFonts w:hint="eastAsia" w:cs="Times New Roman"/>
        </w:rPr>
        <w:t>对</w:t>
      </w:r>
      <w:r>
        <w:rPr>
          <w:rFonts w:cs="Times New Roman"/>
        </w:rPr>
        <w:t>预测精度</w:t>
      </w:r>
      <w:r>
        <w:rPr>
          <w:rFonts w:hint="eastAsia" w:cs="Times New Roman"/>
        </w:rPr>
        <w:t>的贡献</w:t>
      </w:r>
      <w:r>
        <w:rPr>
          <w:rFonts w:cs="Times New Roman"/>
        </w:rPr>
        <w:t>有限。</w:t>
      </w:r>
    </w:p>
    <w:p w14:paraId="18B4A12B">
      <w:pPr>
        <w:jc w:val="center"/>
        <w:rPr>
          <w:rFonts w:cs="Times New Roman"/>
        </w:rPr>
      </w:pPr>
      <w:r>
        <w:rPr>
          <w:rStyle w:val="26"/>
          <w:rFonts w:cs="Times New Roman"/>
          <w:szCs w:val="22"/>
        </w:rPr>
        <w:drawing>
          <wp:inline distT="0" distB="0" distL="114300" distR="114300">
            <wp:extent cx="5506085" cy="3502025"/>
            <wp:effectExtent l="0" t="0" r="18415" b="3175"/>
            <wp:docPr id="3" name="图片 3" descr="fig4_5a_ablation_static_mmd_effect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4_5a_ablation_static_mmd_effect_map"/>
                    <pic:cNvPicPr>
                      <a:picLocks noChangeAspect="1"/>
                    </pic:cNvPicPr>
                  </pic:nvPicPr>
                  <pic:blipFill>
                    <a:blip r:embed="rId247"/>
                    <a:stretch>
                      <a:fillRect/>
                    </a:stretch>
                  </pic:blipFill>
                  <pic:spPr>
                    <a:xfrm>
                      <a:off x="0" y="0"/>
                      <a:ext cx="5506085" cy="3502025"/>
                    </a:xfrm>
                    <a:prstGeom prst="rect">
                      <a:avLst/>
                    </a:prstGeom>
                  </pic:spPr>
                </pic:pic>
              </a:graphicData>
            </a:graphic>
          </wp:inline>
        </w:drawing>
      </w:r>
      <w:r>
        <w:rPr>
          <w:rFonts w:cs="Times New Roman"/>
        </w:rPr>
        <w:t xml:space="preserve"> </w:t>
      </w:r>
    </w:p>
    <w:p w14:paraId="26E17BB3">
      <w:pPr>
        <w:jc w:val="center"/>
        <w:rPr>
          <w:rFonts w:cs="Times New Roman"/>
        </w:rPr>
      </w:pPr>
      <w:r>
        <w:rPr>
          <w:rFonts w:cs="Times New Roman"/>
          <w:b/>
          <w:bCs/>
          <w:color w:val="203864" w:themeColor="accent1" w:themeShade="80"/>
          <w:sz w:val="18"/>
          <w:szCs w:val="18"/>
        </w:rPr>
        <w:t xml:space="preserve">Fig. </w:t>
      </w:r>
      <w:r>
        <w:rPr>
          <w:rFonts w:hint="eastAsia" w:cs="Times New Roman"/>
          <w:b/>
          <w:bCs/>
          <w:color w:val="203864" w:themeColor="accent1" w:themeShade="80"/>
          <w:sz w:val="18"/>
          <w:szCs w:val="18"/>
        </w:rPr>
        <w:t xml:space="preserve">15 </w:t>
      </w:r>
      <w:r>
        <w:rPr>
          <w:rFonts w:cs="Times New Roman"/>
          <w:sz w:val="18"/>
          <w:szCs w:val="18"/>
        </w:rPr>
        <w:t>Ablation and static-MMD control</w:t>
      </w:r>
    </w:p>
    <w:p w14:paraId="54C26B8B">
      <w:pPr>
        <w:ind w:firstLine="420"/>
        <w:rPr>
          <w:rFonts w:cs="Times New Roman"/>
        </w:rPr>
      </w:pPr>
      <w:r>
        <w:rPr>
          <w:rFonts w:cs="Times New Roman"/>
        </w:rPr>
        <w:t>为进一步观察模型在不同退化阶段的表现，将 Batch 10</w:t>
      </w:r>
      <w:r>
        <w:rPr>
          <w:rFonts w:hint="eastAsia" w:cs="Times New Roman"/>
        </w:rPr>
        <w:t>的</w:t>
      </w:r>
      <w:r>
        <w:rPr>
          <w:rFonts w:cs="Times New Roman"/>
        </w:rPr>
        <w:t xml:space="preserve">每个电池按照归一化循环位置划分为 early、mid </w:t>
      </w:r>
      <w:r>
        <w:rPr>
          <w:rFonts w:hint="eastAsia" w:cs="Times New Roman"/>
        </w:rPr>
        <w:t>以及</w:t>
      </w:r>
      <w:r>
        <w:rPr>
          <w:rFonts w:cs="Times New Roman"/>
        </w:rPr>
        <w:t>late 三个阶段</w:t>
      </w:r>
      <w:r>
        <w:rPr>
          <w:rFonts w:hint="eastAsia" w:cs="Times New Roman"/>
        </w:rPr>
        <w:t>，结果如图16所示</w:t>
      </w:r>
      <w:r>
        <w:rPr>
          <w:rFonts w:cs="Times New Roman"/>
        </w:rPr>
        <w:t xml:space="preserve">。完整模型在 early、mid </w:t>
      </w:r>
      <w:r>
        <w:rPr>
          <w:rFonts w:hint="eastAsia" w:cs="Times New Roman"/>
        </w:rPr>
        <w:t>以及</w:t>
      </w:r>
      <w:r>
        <w:rPr>
          <w:rFonts w:cs="Times New Roman"/>
        </w:rPr>
        <w:t xml:space="preserve">late 阶段的 RMSE 分别为 0.003120、0.009111 </w:t>
      </w:r>
      <w:r>
        <w:rPr>
          <w:rFonts w:hint="eastAsia" w:cs="Times New Roman"/>
        </w:rPr>
        <w:t>以及</w:t>
      </w:r>
      <w:r>
        <w:rPr>
          <w:rFonts w:cs="Times New Roman"/>
        </w:rPr>
        <w:t>0.013341。相比之下，移除低阶退化先验后 late-stage RMSE 上升至 0.031926，表明该先验对后期退化阶段的稳定预测具有较强作用。</w:t>
      </w:r>
    </w:p>
    <w:p w14:paraId="41A497FA">
      <w:pPr>
        <w:jc w:val="center"/>
        <w:rPr>
          <w:rFonts w:cs="Times New Roman"/>
        </w:rPr>
      </w:pPr>
      <w:r>
        <w:rPr>
          <w:rStyle w:val="26"/>
          <w:rFonts w:cs="Times New Roman"/>
          <w:szCs w:val="22"/>
        </w:rPr>
        <w:drawing>
          <wp:inline distT="0" distB="0" distL="114300" distR="114300">
            <wp:extent cx="6341745" cy="2011680"/>
            <wp:effectExtent l="0" t="0" r="1905" b="7620"/>
            <wp:docPr id="9" name="图片 9" descr="fig4_5b_stagewise_rmse_radar_horiz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ig4_5b_stagewise_rmse_radar_horizontal"/>
                    <pic:cNvPicPr>
                      <a:picLocks noChangeAspect="1"/>
                    </pic:cNvPicPr>
                  </pic:nvPicPr>
                  <pic:blipFill>
                    <a:blip r:embed="rId248"/>
                    <a:stretch>
                      <a:fillRect/>
                    </a:stretch>
                  </pic:blipFill>
                  <pic:spPr>
                    <a:xfrm>
                      <a:off x="0" y="0"/>
                      <a:ext cx="6341745" cy="2011680"/>
                    </a:xfrm>
                    <a:prstGeom prst="rect">
                      <a:avLst/>
                    </a:prstGeom>
                  </pic:spPr>
                </pic:pic>
              </a:graphicData>
            </a:graphic>
          </wp:inline>
        </w:drawing>
      </w:r>
    </w:p>
    <w:p w14:paraId="62671B8C">
      <w:pPr>
        <w:jc w:val="center"/>
        <w:rPr>
          <w:rFonts w:cs="Times New Roman"/>
          <w:sz w:val="18"/>
          <w:szCs w:val="18"/>
        </w:rPr>
      </w:pPr>
      <w:r>
        <w:rPr>
          <w:rFonts w:cs="Times New Roman"/>
          <w:b/>
          <w:bCs/>
          <w:color w:val="203864" w:themeColor="accent1" w:themeShade="80"/>
          <w:sz w:val="18"/>
          <w:szCs w:val="18"/>
        </w:rPr>
        <w:t xml:space="preserve">Fig. </w:t>
      </w:r>
      <w:r>
        <w:rPr>
          <w:rFonts w:hint="eastAsia" w:cs="Times New Roman"/>
          <w:b/>
          <w:bCs/>
          <w:color w:val="203864" w:themeColor="accent1" w:themeShade="80"/>
          <w:sz w:val="18"/>
          <w:szCs w:val="18"/>
        </w:rPr>
        <w:t xml:space="preserve">16 </w:t>
      </w:r>
      <w:r>
        <w:rPr>
          <w:rFonts w:cs="Times New Roman"/>
          <w:sz w:val="18"/>
          <w:szCs w:val="18"/>
        </w:rPr>
        <w:t>Stage-wise RMSE comparison</w:t>
      </w:r>
    </w:p>
    <w:p w14:paraId="298FD0D4">
      <w:pPr>
        <w:rPr>
          <w:rFonts w:cs="Times New Roman"/>
          <w:b/>
          <w:bCs/>
          <w:color w:val="2F5496"/>
          <w:szCs w:val="21"/>
        </w:rPr>
      </w:pPr>
      <w:r>
        <w:rPr>
          <w:rFonts w:cs="Times New Roman"/>
          <w:b/>
          <w:bCs/>
          <w:color w:val="2F5496"/>
          <w:szCs w:val="21"/>
        </w:rPr>
        <w:t xml:space="preserve">5 </w:t>
      </w:r>
      <w:r>
        <w:rPr>
          <w:rFonts w:hint="eastAsia" w:cs="Times New Roman"/>
          <w:b/>
          <w:bCs/>
          <w:color w:val="2F5496"/>
          <w:szCs w:val="21"/>
        </w:rPr>
        <w:t>讨论</w:t>
      </w:r>
    </w:p>
    <w:p w14:paraId="2898BFE0">
      <w:pPr>
        <w:ind w:firstLine="420"/>
        <w:rPr>
          <w:rFonts w:cs="Times New Roman"/>
        </w:rPr>
      </w:pPr>
      <w:r>
        <w:rPr>
          <w:rFonts w:cs="Times New Roman"/>
        </w:rPr>
        <w:t>为了评估随机种子对</w:t>
      </w:r>
      <w:r>
        <w:rPr>
          <w:rFonts w:hint="eastAsia" w:cs="Times New Roman"/>
        </w:rPr>
        <w:t>模型</w:t>
      </w:r>
      <w:r>
        <w:rPr>
          <w:rFonts w:cs="Times New Roman"/>
        </w:rPr>
        <w:t xml:space="preserve">的影响，进一步整理了 seed 7、seed 42 </w:t>
      </w:r>
      <w:r>
        <w:rPr>
          <w:rFonts w:hint="eastAsia" w:cs="Times New Roman"/>
        </w:rPr>
        <w:t>以及</w:t>
      </w:r>
      <w:r>
        <w:rPr>
          <w:rFonts w:cs="Times New Roman"/>
        </w:rPr>
        <w:t xml:space="preserve"> seed 123 的多随机种子结果</w:t>
      </w:r>
      <w:r>
        <w:rPr>
          <w:rFonts w:hint="eastAsia" w:cs="Times New Roman"/>
        </w:rPr>
        <w:t>，结果如图17所示</w:t>
      </w:r>
      <w:r>
        <w:rPr>
          <w:rFonts w:cs="Times New Roman"/>
        </w:rPr>
        <w:t>。移除低阶退化先验后的平均 RMSE 为 0.022364，明显高于完整模型</w:t>
      </w:r>
      <w:r>
        <w:rPr>
          <w:rFonts w:hint="eastAsia" w:cs="Times New Roman"/>
        </w:rPr>
        <w:t>与</w:t>
      </w:r>
      <w:r>
        <w:rPr>
          <w:rFonts w:cs="Times New Roman"/>
        </w:rPr>
        <w:t>其他消融模型，进一步</w:t>
      </w:r>
      <w:r>
        <w:rPr>
          <w:rFonts w:hint="eastAsia" w:cs="Times New Roman"/>
        </w:rPr>
        <w:t>验证</w:t>
      </w:r>
      <w:r>
        <w:rPr>
          <w:rFonts w:cs="Times New Roman"/>
        </w:rPr>
        <w:t xml:space="preserve">低阶退化先验的关键作用。同时，完整模型的三种子平均 RMSE 为 0.010381，而 no-MMD的三种子平均 RMSE 为 0.010249，二者差距很小且 no-MMD </w:t>
      </w:r>
      <w:r>
        <w:rPr>
          <w:rFonts w:hint="eastAsia" w:cs="Times New Roman"/>
        </w:rPr>
        <w:t>的</w:t>
      </w:r>
      <w:r>
        <w:rPr>
          <w:rFonts w:cs="Times New Roman"/>
        </w:rPr>
        <w:t>略低。</w:t>
      </w:r>
      <w:r>
        <w:rPr>
          <w:rFonts w:hint="eastAsia" w:cs="Times New Roman"/>
        </w:rPr>
        <w:t>这可归因于</w:t>
      </w:r>
      <w:r>
        <w:rPr>
          <w:rFonts w:cs="Times New Roman"/>
        </w:rPr>
        <w:t>MMD 在当前证据下</w:t>
      </w:r>
      <w:r>
        <w:rPr>
          <w:rFonts w:hint="eastAsia" w:cs="Times New Roman"/>
        </w:rPr>
        <w:t>并不是</w:t>
      </w:r>
      <w:r>
        <w:rPr>
          <w:rFonts w:cs="Times New Roman"/>
        </w:rPr>
        <w:t>稳健的</w:t>
      </w:r>
      <w:r>
        <w:rPr>
          <w:rFonts w:hint="eastAsia" w:cs="Times New Roman"/>
        </w:rPr>
        <w:t>预测</w:t>
      </w:r>
      <w:r>
        <w:rPr>
          <w:rFonts w:cs="Times New Roman"/>
        </w:rPr>
        <w:t>精度来源。</w:t>
      </w:r>
    </w:p>
    <w:p w14:paraId="0705AB14">
      <w:pPr>
        <w:jc w:val="center"/>
        <w:rPr>
          <w:rFonts w:cs="Times New Roman"/>
        </w:rPr>
      </w:pPr>
      <w:r>
        <w:rPr>
          <w:rStyle w:val="26"/>
          <w:rFonts w:cs="Times New Roman"/>
          <w:szCs w:val="22"/>
        </w:rPr>
        <w:drawing>
          <wp:inline distT="0" distB="0" distL="114300" distR="114300">
            <wp:extent cx="5236845" cy="3115310"/>
            <wp:effectExtent l="0" t="0" r="1905" b="8890"/>
            <wp:docPr id="8" name="图片 8" descr="fig4_5c_multiseed_stability_vio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4_5c_multiseed_stability_violin"/>
                    <pic:cNvPicPr>
                      <a:picLocks noChangeAspect="1"/>
                    </pic:cNvPicPr>
                  </pic:nvPicPr>
                  <pic:blipFill>
                    <a:blip r:embed="rId249"/>
                    <a:stretch>
                      <a:fillRect/>
                    </a:stretch>
                  </pic:blipFill>
                  <pic:spPr>
                    <a:xfrm>
                      <a:off x="0" y="0"/>
                      <a:ext cx="5236845" cy="3115310"/>
                    </a:xfrm>
                    <a:prstGeom prst="rect">
                      <a:avLst/>
                    </a:prstGeom>
                  </pic:spPr>
                </pic:pic>
              </a:graphicData>
            </a:graphic>
          </wp:inline>
        </w:drawing>
      </w:r>
    </w:p>
    <w:p w14:paraId="7F80C24D">
      <w:pPr>
        <w:jc w:val="center"/>
        <w:rPr>
          <w:rFonts w:cs="Times New Roman"/>
          <w:sz w:val="18"/>
          <w:szCs w:val="18"/>
        </w:rPr>
      </w:pPr>
      <w:r>
        <w:rPr>
          <w:rFonts w:cs="Times New Roman"/>
          <w:b/>
          <w:bCs/>
          <w:color w:val="203864" w:themeColor="accent1" w:themeShade="80"/>
          <w:sz w:val="18"/>
          <w:szCs w:val="18"/>
        </w:rPr>
        <w:t xml:space="preserve">Fig. </w:t>
      </w:r>
      <w:r>
        <w:rPr>
          <w:rFonts w:hint="eastAsia" w:cs="Times New Roman"/>
          <w:b/>
          <w:bCs/>
          <w:color w:val="203864" w:themeColor="accent1" w:themeShade="80"/>
          <w:sz w:val="18"/>
          <w:szCs w:val="18"/>
        </w:rPr>
        <w:t xml:space="preserve">17 </w:t>
      </w:r>
      <w:r>
        <w:rPr>
          <w:rFonts w:cs="Times New Roman"/>
          <w:sz w:val="18"/>
          <w:szCs w:val="18"/>
        </w:rPr>
        <w:t>Multi-seed stability</w:t>
      </w:r>
    </w:p>
    <w:p w14:paraId="7B5DE7C7">
      <w:pPr>
        <w:ind w:firstLine="420"/>
        <w:rPr>
          <w:rFonts w:cs="Times New Roman"/>
        </w:rPr>
      </w:pPr>
      <w:r>
        <w:rPr>
          <w:rFonts w:hint="eastAsia" w:cs="Times New Roman"/>
        </w:rPr>
        <w:t>尽管 MMD 对RMSE 的贡献较小，但表征预测结果仍显示其具有源域与目标域对齐作用。为解释该现象，如图18所示，使用源域 Batch 1-8 与目标域 Batch 9 的 fused SOH features 进行可视化，并考察特征 MMD^2、domain classifier AUC、PCA 主成分方向上的源-目标质心差异贡献以及归一化综合域差异指数。去除 MMD 约束后，源域与目标开发域融合特征在三维 PCA 空间中仍存在较明显的质心间隔，说明残差时序分支学习到的潜在表示中仍保留一定批次相关成分。引入指数退化感知 MMD 后，目标域特征整体向源域主特征流形靠近，域分类器可分性同步下降，表明该正则项能够在训练阶段压缩跨批次均值嵌入差异，并削弱与 SOH 回归无关的域识别信息。</w:t>
      </w:r>
    </w:p>
    <w:p w14:paraId="73EC197D">
      <w:pPr>
        <w:ind w:firstLine="420"/>
        <w:rPr>
          <w:rFonts w:cs="Times New Roman"/>
        </w:rPr>
      </w:pPr>
      <w:r>
        <w:rPr>
          <w:rFonts w:hint="eastAsia" w:cs="Times New Roman"/>
        </w:rPr>
        <w:t>进一步结合 PC 方向贡献可看出，MMD 的影响不只体现为距离指标降低，也表现为 fused SOH features 中源目标质心偏移的重新分配。该结果说明，MMD 作为迁移约束来解释跨批次表征一致性，为残差校正项提供更稳定的输入分布。</w:t>
      </w:r>
    </w:p>
    <w:p w14:paraId="02EB4B95">
      <w:pPr>
        <w:rPr>
          <w:rFonts w:cs="Times New Roman"/>
        </w:rPr>
      </w:pPr>
      <w:r>
        <w:rPr>
          <w:rFonts w:hint="eastAsia" w:cs="Times New Roman"/>
        </w:rPr>
        <w:drawing>
          <wp:inline distT="0" distB="0" distL="114300" distR="114300">
            <wp:extent cx="6637020" cy="3297555"/>
            <wp:effectExtent l="0" t="0" r="11430" b="17145"/>
            <wp:docPr id="27" name="图片 27" descr="Figure_4-9_Adaptive_MMD_Domain_Diagnostic_with_3D_P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Figure_4-9_Adaptive_MMD_Domain_Diagnostic_with_3D_PCA"/>
                    <pic:cNvPicPr>
                      <a:picLocks noChangeAspect="1"/>
                    </pic:cNvPicPr>
                  </pic:nvPicPr>
                  <pic:blipFill>
                    <a:blip r:embed="rId250"/>
                    <a:stretch>
                      <a:fillRect/>
                    </a:stretch>
                  </pic:blipFill>
                  <pic:spPr>
                    <a:xfrm>
                      <a:off x="0" y="0"/>
                      <a:ext cx="6637020" cy="3297555"/>
                    </a:xfrm>
                    <a:prstGeom prst="rect">
                      <a:avLst/>
                    </a:prstGeom>
                  </pic:spPr>
                </pic:pic>
              </a:graphicData>
            </a:graphic>
          </wp:inline>
        </w:drawing>
      </w:r>
    </w:p>
    <w:p w14:paraId="17BF3A8B">
      <w:pPr>
        <w:jc w:val="center"/>
        <w:rPr>
          <w:rFonts w:cs="Times New Roman"/>
          <w:sz w:val="18"/>
          <w:szCs w:val="18"/>
        </w:rPr>
      </w:pPr>
      <w:r>
        <w:rPr>
          <w:rFonts w:cs="Times New Roman"/>
          <w:b/>
          <w:bCs/>
          <w:color w:val="203864" w:themeColor="accent1" w:themeShade="80"/>
          <w:sz w:val="18"/>
          <w:szCs w:val="18"/>
        </w:rPr>
        <w:t xml:space="preserve">Fig. </w:t>
      </w:r>
      <w:r>
        <w:rPr>
          <w:rFonts w:hint="eastAsia" w:cs="Times New Roman"/>
          <w:b/>
          <w:bCs/>
          <w:color w:val="203864" w:themeColor="accent1" w:themeShade="80"/>
          <w:sz w:val="18"/>
          <w:szCs w:val="18"/>
        </w:rPr>
        <w:t xml:space="preserve">18 </w:t>
      </w:r>
      <w:r>
        <w:rPr>
          <w:rFonts w:hint="eastAsia" w:cs="Times New Roman"/>
          <w:sz w:val="18"/>
          <w:szCs w:val="18"/>
        </w:rPr>
        <w:t xml:space="preserve">Source-target representation diagnostic of the SOH transfer model. </w:t>
      </w:r>
    </w:p>
    <w:p w14:paraId="1E35AECE">
      <w:pPr>
        <w:jc w:val="center"/>
        <w:rPr>
          <w:rFonts w:cs="Times New Roman"/>
          <w:sz w:val="18"/>
          <w:szCs w:val="18"/>
        </w:rPr>
      </w:pPr>
      <w:r>
        <w:rPr>
          <w:rFonts w:hint="eastAsia" w:cs="Times New Roman"/>
          <w:sz w:val="18"/>
          <w:szCs w:val="18"/>
        </w:rPr>
        <w:t xml:space="preserve">(a) Dual-axis comparison of feature MMD^2 and domain-classifier AUC for the final model and ablated variants; </w:t>
      </w:r>
    </w:p>
    <w:p w14:paraId="0C7FEA2F">
      <w:pPr>
        <w:jc w:val="center"/>
        <w:rPr>
          <w:rFonts w:cs="Times New Roman"/>
          <w:sz w:val="18"/>
          <w:szCs w:val="18"/>
        </w:rPr>
      </w:pPr>
      <w:r>
        <w:rPr>
          <w:rFonts w:hint="eastAsia" w:cs="Times New Roman"/>
          <w:sz w:val="18"/>
          <w:szCs w:val="18"/>
        </w:rPr>
        <w:t xml:space="preserve">(b) PC1-PC3 contribution to the source-target centroid gap for the final and w/o MMD models; </w:t>
      </w:r>
    </w:p>
    <w:p w14:paraId="2247BC48">
      <w:pPr>
        <w:jc w:val="center"/>
        <w:rPr>
          <w:rFonts w:cs="Times New Roman"/>
          <w:sz w:val="18"/>
          <w:szCs w:val="18"/>
        </w:rPr>
      </w:pPr>
      <w:r>
        <w:rPr>
          <w:rFonts w:hint="eastAsia" w:cs="Times New Roman"/>
          <w:sz w:val="18"/>
          <w:szCs w:val="18"/>
        </w:rPr>
        <w:t>(c) Three-dimensional PCA visualization of fused SOH features for the w/o MMD variant and the proposed model. Blue points denote source-domain samples, orange points denote Batch 9 target-development samples, and dashed lines denote source-target centroid gaps.</w:t>
      </w:r>
    </w:p>
    <w:p w14:paraId="243B4ACC">
      <w:pPr>
        <w:rPr>
          <w:rFonts w:cs="Times New Roman"/>
        </w:rPr>
      </w:pPr>
      <w:r>
        <w:rPr>
          <w:rFonts w:hint="eastAsia" w:cs="Times New Roman"/>
          <w:b/>
          <w:bCs/>
          <w:color w:val="2F5496"/>
          <w:szCs w:val="21"/>
        </w:rPr>
        <w:t>6 Conclusion</w:t>
      </w:r>
    </w:p>
    <w:p w14:paraId="4EE99D36">
      <w:pPr>
        <w:ind w:firstLine="420" w:firstLineChars="200"/>
        <w:rPr>
          <w:rFonts w:cs="Times New Roman"/>
        </w:rPr>
      </w:pPr>
      <w:r>
        <w:rPr>
          <w:rFonts w:cs="Times New Roman"/>
        </w:rPr>
        <w:t>To address the susceptibility of lithium-ion battery SOH prediction models to distribution shifts, inconsistent degradation stages, and cell-specific deviations in cross-batch applications, a degradation-aware physics-guided hybrid transfer learning framework is proposed. The framework constructs a physical-residual SOH modeling strategy that uses a low-order nonlinear degradation prior and a residual temporal module to learn the global degradation trend and local deviations of different cells. A degradation-state-guided curve attention temporal aggregation mechanism is also developed, which incorporates the estimated degradation state and local charging-voltage-curve morphology into the residual feature aggregation process to dynamically adjust the model's attention to local temporal segments. Furthermore, a lifecycle-indexed degradation-aware MMD regularization is designed to constrain the feature alignment between source and target domains. Experimental results show that the proposed framework maintains low overall prediction errors on the lithium-ion battery dataset and achieves stable SOH regression on most tested cells. Ablation experiments verify the effectiveness of the global degradation prior, local residual learning, and cross-domain feature alignment. However, the current experiments are mainly based on cross-batch splits within the same dataset and have not yet covered generalization validation across different battery types. Future work will further incorporate multiple datasets, diverse operating conditions, and more complete degradation-stage coverage to build more broadly applicable battery health management methods.</w:t>
      </w:r>
    </w:p>
    <w:p w14:paraId="165A15F7">
      <w:pPr>
        <w:rPr>
          <w:rFonts w:cs="Times New Roman"/>
          <w:b/>
          <w:bCs/>
          <w:color w:val="2F5597" w:themeColor="accent1" w:themeShade="BF"/>
          <w:sz w:val="24"/>
          <w:szCs w:val="24"/>
        </w:rPr>
      </w:pPr>
      <w:r>
        <w:rPr>
          <w:rFonts w:hint="eastAsia" w:cs="Times New Roman"/>
          <w:b/>
          <w:bCs/>
          <w:color w:val="2F5597" w:themeColor="accent1" w:themeShade="BF"/>
          <w:sz w:val="24"/>
          <w:szCs w:val="24"/>
        </w:rPr>
        <w:t>Acknowledgments</w:t>
      </w:r>
    </w:p>
    <w:p w14:paraId="063CB17A">
      <w:pPr>
        <w:rPr>
          <w:rFonts w:cs="Times New Roman"/>
        </w:rPr>
      </w:pPr>
    </w:p>
    <w:p w14:paraId="1EF7AAA0">
      <w:pPr>
        <w:rPr>
          <w:rFonts w:cs="Times New Roman"/>
        </w:rPr>
      </w:pPr>
      <w:r>
        <w:rPr>
          <w:rFonts w:cs="Times New Roman"/>
          <w:b/>
          <w:bCs/>
          <w:color w:val="2F5597" w:themeColor="accent1" w:themeShade="BF"/>
          <w:sz w:val="24"/>
          <w:szCs w:val="24"/>
        </w:rPr>
        <w:t>References</w:t>
      </w:r>
    </w:p>
    <w:p w14:paraId="5D0DDC4E">
      <w:pPr>
        <w:jc w:val="left"/>
        <w:rPr>
          <w:rFonts w:cs="Times New Roman"/>
          <w:sz w:val="20"/>
          <w:szCs w:val="24"/>
        </w:rPr>
      </w:pPr>
      <w:r>
        <w:rPr>
          <w:rFonts w:cs="Times New Roman"/>
        </w:rPr>
        <w:fldChar w:fldCharType="begin" w:fldLock="1"/>
      </w:r>
      <w:r>
        <w:rPr>
          <w:rFonts w:hint="eastAsia" w:cs="Times New Roman"/>
        </w:rPr>
        <w:instrText xml:space="preserve">ADDIN Mendeley Bibliography CSL_BIBLIOGRAPHY </w:instrText>
      </w:r>
      <w:r>
        <w:rPr>
          <w:rFonts w:cs="Times New Roman"/>
        </w:rPr>
        <w:fldChar w:fldCharType="separate"/>
      </w:r>
      <w:r>
        <w:rPr>
          <w:rFonts w:cs="Times New Roman"/>
          <w:sz w:val="20"/>
          <w:szCs w:val="24"/>
        </w:rPr>
        <w:t>[1]</w:t>
      </w:r>
      <w:r>
        <w:rPr>
          <w:rFonts w:cs="Times New Roman"/>
          <w:sz w:val="20"/>
          <w:szCs w:val="24"/>
        </w:rPr>
        <w:tab/>
      </w:r>
      <w:r>
        <w:rPr>
          <w:rFonts w:cs="Times New Roman"/>
          <w:sz w:val="20"/>
          <w:szCs w:val="24"/>
        </w:rPr>
        <w:t>Ma G, Xu S, Jiang B, Cheng C, Yang X, Shen Y, et al. Real-time personalized health status prediction of lithium-ion batteries using deep transfer learning. Energy Environ Sci 2022;15:4083–94. https://doi.org/10.1039/d2ee01676a.</w:t>
      </w:r>
    </w:p>
    <w:p w14:paraId="616CF505">
      <w:pPr>
        <w:ind w:left="640" w:hanging="640"/>
        <w:jc w:val="left"/>
        <w:rPr>
          <w:rFonts w:cs="Times New Roman"/>
          <w:sz w:val="20"/>
          <w:szCs w:val="24"/>
        </w:rPr>
      </w:pPr>
      <w:r>
        <w:rPr>
          <w:rFonts w:cs="Times New Roman"/>
          <w:sz w:val="20"/>
          <w:szCs w:val="24"/>
        </w:rPr>
        <w:t>[2]</w:t>
      </w:r>
      <w:r>
        <w:rPr>
          <w:rFonts w:cs="Times New Roman"/>
          <w:sz w:val="20"/>
          <w:szCs w:val="24"/>
        </w:rPr>
        <w:tab/>
      </w:r>
      <w:r>
        <w:rPr>
          <w:rFonts w:cs="Times New Roman"/>
          <w:sz w:val="20"/>
          <w:szCs w:val="24"/>
        </w:rPr>
        <w:t>Zhang Y, Wik T, Bergström J, Zou C. State of Health Estimation for Lithium-Ion Batteries Under Arbitrary Usage Using Data-Driven Multimodel Fusion. IEEE Trans Transp Electrif 2024;10:1494–507. https://doi.org/10.1109/TTE.2023.3267124.</w:t>
      </w:r>
    </w:p>
    <w:p w14:paraId="4CB69FE3">
      <w:pPr>
        <w:ind w:left="640" w:hanging="640"/>
        <w:jc w:val="left"/>
        <w:rPr>
          <w:rFonts w:cs="Times New Roman"/>
          <w:sz w:val="20"/>
          <w:szCs w:val="24"/>
        </w:rPr>
      </w:pPr>
      <w:r>
        <w:rPr>
          <w:rFonts w:cs="Times New Roman"/>
          <w:sz w:val="20"/>
          <w:szCs w:val="24"/>
        </w:rPr>
        <w:t>[3]</w:t>
      </w:r>
      <w:r>
        <w:rPr>
          <w:rFonts w:cs="Times New Roman"/>
          <w:sz w:val="20"/>
          <w:szCs w:val="24"/>
        </w:rPr>
        <w:tab/>
      </w:r>
      <w:r>
        <w:rPr>
          <w:rFonts w:cs="Times New Roman"/>
          <w:sz w:val="20"/>
          <w:szCs w:val="24"/>
        </w:rPr>
        <w:t>Echabarri S, Do P. A modified TimeGAN-based data augmentation approach for the state of health prediction of Lithium-Ion Batteries. Reliab Eng Syst Saf 2025;264:111297. https://doi.org/10.1016/j.ress.2025.111297.</w:t>
      </w:r>
    </w:p>
    <w:p w14:paraId="79C34319">
      <w:pPr>
        <w:ind w:left="640" w:hanging="640"/>
        <w:jc w:val="left"/>
        <w:rPr>
          <w:rFonts w:cs="Times New Roman"/>
          <w:sz w:val="20"/>
          <w:szCs w:val="24"/>
        </w:rPr>
      </w:pPr>
      <w:r>
        <w:rPr>
          <w:rFonts w:cs="Times New Roman"/>
          <w:sz w:val="20"/>
          <w:szCs w:val="24"/>
        </w:rPr>
        <w:t>[4]</w:t>
      </w:r>
      <w:r>
        <w:rPr>
          <w:rFonts w:cs="Times New Roman"/>
          <w:sz w:val="20"/>
          <w:szCs w:val="24"/>
        </w:rPr>
        <w:tab/>
      </w:r>
      <w:r>
        <w:rPr>
          <w:rFonts w:cs="Times New Roman"/>
          <w:sz w:val="20"/>
          <w:szCs w:val="24"/>
        </w:rPr>
        <w:t>Zhou KQ, Qin Y, Yuen C. Graph neural network-based lithium-ion battery state of health estimation using partial discharging curve. J Energy Storage 2024;100:113502. https://doi.org/https://doi.org/10.1016/j.est.2024.113502.</w:t>
      </w:r>
    </w:p>
    <w:p w14:paraId="0A47C8DA">
      <w:pPr>
        <w:ind w:left="640" w:hanging="640"/>
        <w:jc w:val="left"/>
        <w:rPr>
          <w:rFonts w:cs="Times New Roman"/>
          <w:sz w:val="20"/>
          <w:szCs w:val="24"/>
        </w:rPr>
      </w:pPr>
      <w:r>
        <w:rPr>
          <w:rFonts w:cs="Times New Roman"/>
          <w:sz w:val="20"/>
          <w:szCs w:val="24"/>
        </w:rPr>
        <w:t>[5]</w:t>
      </w:r>
      <w:r>
        <w:rPr>
          <w:rFonts w:cs="Times New Roman"/>
          <w:sz w:val="20"/>
          <w:szCs w:val="24"/>
        </w:rPr>
        <w:tab/>
      </w:r>
      <w:r>
        <w:rPr>
          <w:rFonts w:cs="Times New Roman"/>
          <w:sz w:val="20"/>
          <w:szCs w:val="24"/>
        </w:rPr>
        <w:t>Zhao Y, Geng L, Meng W, Meng J, Wu C, Hu X, et al. Cross-attention-based hybrid feature fusion network for state-of-health estimation of lithium-ion batteries. Sci Rep 2026;16:17800. https://doi.org/10.1038/s41598-026-48317-5.</w:t>
      </w:r>
    </w:p>
    <w:p w14:paraId="6F36BFB6">
      <w:pPr>
        <w:ind w:left="640" w:hanging="640"/>
        <w:jc w:val="left"/>
        <w:rPr>
          <w:rFonts w:cs="Times New Roman"/>
          <w:sz w:val="20"/>
          <w:szCs w:val="24"/>
        </w:rPr>
      </w:pPr>
      <w:r>
        <w:rPr>
          <w:rFonts w:cs="Times New Roman"/>
          <w:sz w:val="20"/>
          <w:szCs w:val="24"/>
        </w:rPr>
        <w:t>[6]</w:t>
      </w:r>
      <w:r>
        <w:rPr>
          <w:rFonts w:cs="Times New Roman"/>
          <w:sz w:val="20"/>
          <w:szCs w:val="24"/>
        </w:rPr>
        <w:tab/>
      </w:r>
      <w:r>
        <w:rPr>
          <w:rFonts w:cs="Times New Roman"/>
          <w:sz w:val="20"/>
          <w:szCs w:val="24"/>
        </w:rPr>
        <w:t>Li H, Li X, Dong Y, Hang H, Tian Y, Tian J. A cross-material lithium-ion battery state of health estimation method based on three-stage domain adaptation. Energy 2025;341:139376. https://doi.org/10.1016/j.energy.2025.139376.</w:t>
      </w:r>
    </w:p>
    <w:p w14:paraId="5D4984DA">
      <w:pPr>
        <w:ind w:left="640" w:hanging="640"/>
        <w:jc w:val="left"/>
        <w:rPr>
          <w:rFonts w:cs="Times New Roman"/>
          <w:sz w:val="20"/>
          <w:szCs w:val="24"/>
        </w:rPr>
      </w:pPr>
      <w:r>
        <w:rPr>
          <w:rFonts w:cs="Times New Roman"/>
          <w:sz w:val="20"/>
          <w:szCs w:val="24"/>
        </w:rPr>
        <w:t>[7]</w:t>
      </w:r>
      <w:r>
        <w:rPr>
          <w:rFonts w:cs="Times New Roman"/>
          <w:sz w:val="20"/>
          <w:szCs w:val="24"/>
        </w:rPr>
        <w:tab/>
      </w:r>
      <w:r>
        <w:rPr>
          <w:rFonts w:cs="Times New Roman"/>
          <w:sz w:val="20"/>
          <w:szCs w:val="24"/>
        </w:rPr>
        <w:t>Zhao X, Wang Z, Han T, Yang W, Gu F, Ball AD. A Meta-Learning Method for Few-Shot Multidomain State-of-Health Estimation of Lithium-Ion Batteries. IEEE Trans Transp Electrif 2025;11:4830–40. https://doi.org/10.1109/TTE.2024.3470551.</w:t>
      </w:r>
    </w:p>
    <w:p w14:paraId="1DDE4163">
      <w:pPr>
        <w:ind w:left="640" w:hanging="640"/>
        <w:jc w:val="left"/>
        <w:rPr>
          <w:rFonts w:cs="Times New Roman"/>
          <w:sz w:val="20"/>
          <w:szCs w:val="24"/>
        </w:rPr>
      </w:pPr>
      <w:r>
        <w:rPr>
          <w:rFonts w:cs="Times New Roman"/>
          <w:sz w:val="20"/>
          <w:szCs w:val="24"/>
        </w:rPr>
        <w:t>[8]</w:t>
      </w:r>
      <w:r>
        <w:rPr>
          <w:rFonts w:cs="Times New Roman"/>
          <w:sz w:val="20"/>
          <w:szCs w:val="24"/>
        </w:rPr>
        <w:tab/>
      </w:r>
      <w:r>
        <w:rPr>
          <w:rFonts w:cs="Times New Roman"/>
          <w:sz w:val="20"/>
          <w:szCs w:val="24"/>
        </w:rPr>
        <w:t>Liu H, Deng Z, Che Y, Xu L, Wang B, Wang Z, et al. Big field data-driven battery pack health estimation for electric vehicles: A deep-fusion transfer learning approach. Mech Syst Signal Process 2024;218:111585. https://doi.org/https://doi.org/10.1016/j.ymssp.2024.111585.</w:t>
      </w:r>
    </w:p>
    <w:p w14:paraId="23F1F68D">
      <w:pPr>
        <w:ind w:left="640" w:hanging="640"/>
        <w:jc w:val="left"/>
        <w:rPr>
          <w:rFonts w:cs="Times New Roman"/>
          <w:sz w:val="20"/>
          <w:szCs w:val="24"/>
        </w:rPr>
      </w:pPr>
      <w:r>
        <w:rPr>
          <w:rFonts w:cs="Times New Roman"/>
          <w:sz w:val="20"/>
          <w:szCs w:val="24"/>
        </w:rPr>
        <w:t>[9]</w:t>
      </w:r>
      <w:r>
        <w:rPr>
          <w:rFonts w:cs="Times New Roman"/>
          <w:sz w:val="20"/>
          <w:szCs w:val="24"/>
        </w:rPr>
        <w:tab/>
      </w:r>
      <w:r>
        <w:rPr>
          <w:rFonts w:cs="Times New Roman"/>
          <w:sz w:val="20"/>
          <w:szCs w:val="24"/>
        </w:rPr>
        <w:t>Wu J, Cui X, Meng J, Peng J, Lin M. Data-Driven Transfer-Stacking-Based State of Health Estimation for Lithium-Ion Batteries. IEEE Trans Ind Electron 2024;71:604–14. https://doi.org/10.1109/TIE.2023.3247735.</w:t>
      </w:r>
    </w:p>
    <w:p w14:paraId="54CDFE26">
      <w:pPr>
        <w:ind w:left="640" w:hanging="640"/>
        <w:jc w:val="left"/>
        <w:rPr>
          <w:rFonts w:cs="Times New Roman"/>
          <w:sz w:val="20"/>
          <w:szCs w:val="24"/>
        </w:rPr>
      </w:pPr>
      <w:r>
        <w:rPr>
          <w:rFonts w:cs="Times New Roman"/>
          <w:sz w:val="20"/>
          <w:szCs w:val="24"/>
        </w:rPr>
        <w:t>[10]</w:t>
      </w:r>
      <w:r>
        <w:rPr>
          <w:rFonts w:cs="Times New Roman"/>
          <w:sz w:val="20"/>
          <w:szCs w:val="24"/>
        </w:rPr>
        <w:tab/>
      </w:r>
      <w:r>
        <w:rPr>
          <w:rFonts w:cs="Times New Roman"/>
          <w:sz w:val="20"/>
          <w:szCs w:val="24"/>
        </w:rPr>
        <w:t>Liu Y, Chen H, Yao L, Ding J, Chen S, Wang Z. A physics-guided approach for accurate battery SOH estimation using RCMHCRE and BatteryPINN. Adv Eng Informatics 2025;65:103211. https://doi.org/https://doi.org/10.1016/j.aei.2025.103211.</w:t>
      </w:r>
    </w:p>
    <w:p w14:paraId="672B8428">
      <w:pPr>
        <w:ind w:left="640" w:hanging="640"/>
        <w:jc w:val="left"/>
        <w:rPr>
          <w:rFonts w:cs="Times New Roman"/>
          <w:sz w:val="20"/>
          <w:szCs w:val="24"/>
        </w:rPr>
      </w:pPr>
      <w:r>
        <w:rPr>
          <w:rFonts w:cs="Times New Roman"/>
          <w:sz w:val="20"/>
          <w:szCs w:val="24"/>
        </w:rPr>
        <w:t>[11]</w:t>
      </w:r>
      <w:r>
        <w:rPr>
          <w:rFonts w:cs="Times New Roman"/>
          <w:sz w:val="20"/>
          <w:szCs w:val="24"/>
        </w:rPr>
        <w:tab/>
      </w:r>
      <w:r>
        <w:rPr>
          <w:rFonts w:cs="Times New Roman"/>
          <w:sz w:val="20"/>
          <w:szCs w:val="24"/>
        </w:rPr>
        <w:t>Wang F, Wu Z, Zhao Z, Zhai Z, Wang C, Chen X. Physical knowledge guided state of health estimation of lithium-ion battery with limited segment data. Reliab Eng Syst Saf 2024;251:110325. https://doi.org/https://doi.org/10.1016/j.ress.2024.110325.</w:t>
      </w:r>
    </w:p>
    <w:p w14:paraId="1DB05AAF">
      <w:pPr>
        <w:ind w:left="640" w:hanging="640"/>
        <w:jc w:val="left"/>
        <w:rPr>
          <w:rFonts w:cs="Times New Roman"/>
          <w:sz w:val="20"/>
          <w:szCs w:val="24"/>
        </w:rPr>
      </w:pPr>
      <w:r>
        <w:rPr>
          <w:rFonts w:cs="Times New Roman"/>
          <w:sz w:val="20"/>
          <w:szCs w:val="24"/>
        </w:rPr>
        <w:t>[12]</w:t>
      </w:r>
      <w:r>
        <w:rPr>
          <w:rFonts w:cs="Times New Roman"/>
          <w:sz w:val="20"/>
          <w:szCs w:val="24"/>
        </w:rPr>
        <w:tab/>
      </w:r>
      <w:r>
        <w:rPr>
          <w:rFonts w:cs="Times New Roman"/>
          <w:sz w:val="20"/>
          <w:szCs w:val="24"/>
        </w:rPr>
        <w:t>Lanubile A, Bosoni P, Pozzato G, Allam A, Acquarone M, Onori S. Domain knowledge-guided machine learning framework for state of health estimation in Lithium-ion batteries. Commun Eng 2024:1–13. https://doi.org/10.1038/s44172-024-00304-2.</w:t>
      </w:r>
    </w:p>
    <w:p w14:paraId="0B85CE56">
      <w:pPr>
        <w:ind w:left="640" w:hanging="640"/>
        <w:jc w:val="left"/>
        <w:rPr>
          <w:rFonts w:cs="Times New Roman"/>
          <w:sz w:val="20"/>
          <w:szCs w:val="24"/>
        </w:rPr>
      </w:pPr>
      <w:r>
        <w:rPr>
          <w:rFonts w:cs="Times New Roman"/>
          <w:sz w:val="20"/>
          <w:szCs w:val="24"/>
        </w:rPr>
        <w:t>[13]</w:t>
      </w:r>
      <w:r>
        <w:rPr>
          <w:rFonts w:cs="Times New Roman"/>
          <w:sz w:val="20"/>
          <w:szCs w:val="24"/>
        </w:rPr>
        <w:tab/>
      </w:r>
      <w:r>
        <w:rPr>
          <w:rFonts w:cs="Times New Roman"/>
          <w:sz w:val="20"/>
          <w:szCs w:val="24"/>
        </w:rPr>
        <w:t>Su L, Tao S, Chen Y, Zou C, Zhang X. Incremental capacity feature selection for lithium-ion battery state of health estimation considering estimation capability and efficiency. Cell Reports Phys Sci 2026;7. https://doi.org/10.1016/j.xcrp.2025.103083.</w:t>
      </w:r>
    </w:p>
    <w:p w14:paraId="2A263635">
      <w:pPr>
        <w:ind w:left="640" w:hanging="640"/>
        <w:jc w:val="left"/>
        <w:rPr>
          <w:rFonts w:cs="Times New Roman"/>
          <w:sz w:val="20"/>
          <w:szCs w:val="24"/>
        </w:rPr>
      </w:pPr>
      <w:r>
        <w:rPr>
          <w:rFonts w:cs="Times New Roman"/>
          <w:sz w:val="20"/>
          <w:szCs w:val="24"/>
        </w:rPr>
        <w:t>[14]</w:t>
      </w:r>
      <w:r>
        <w:rPr>
          <w:rFonts w:cs="Times New Roman"/>
          <w:sz w:val="20"/>
          <w:szCs w:val="24"/>
        </w:rPr>
        <w:tab/>
      </w:r>
      <w:r>
        <w:rPr>
          <w:rFonts w:cs="Times New Roman"/>
          <w:sz w:val="20"/>
          <w:szCs w:val="24"/>
        </w:rPr>
        <w:t>Li X, Yu D, Vilsen SB, Jindal P, Subramanian VR, Stroe DI. Degradation analysis and tanks-in-series modeling of lithium-ion batteries with state of health-adaptive charging strategies. ETransportation 2026;28:100561. https://doi.org/https://doi.org/10.1016/j.etran.2026.100561.</w:t>
      </w:r>
    </w:p>
    <w:p w14:paraId="17A50A8D">
      <w:pPr>
        <w:ind w:left="640" w:hanging="640"/>
        <w:jc w:val="left"/>
        <w:rPr>
          <w:rFonts w:cs="Times New Roman"/>
          <w:sz w:val="20"/>
          <w:szCs w:val="24"/>
        </w:rPr>
      </w:pPr>
      <w:r>
        <w:rPr>
          <w:rFonts w:cs="Times New Roman"/>
          <w:sz w:val="20"/>
          <w:szCs w:val="24"/>
        </w:rPr>
        <w:t>[15]</w:t>
      </w:r>
      <w:r>
        <w:rPr>
          <w:rFonts w:cs="Times New Roman"/>
          <w:sz w:val="20"/>
          <w:szCs w:val="24"/>
        </w:rPr>
        <w:tab/>
      </w:r>
      <w:r>
        <w:rPr>
          <w:rFonts w:cs="Times New Roman"/>
          <w:sz w:val="20"/>
          <w:szCs w:val="24"/>
        </w:rPr>
        <w:t>Arbaoui S, Samet A, Ayadi A, Mesbahi T, Boné R. Data-driven strategy for state of health prediction and anomaly detection in lithium-ion batteries. Energy AI 2024;17:100413. https://doi.org/https://doi.org/10.1016/j.egyai.2024.100413.</w:t>
      </w:r>
    </w:p>
    <w:p w14:paraId="02816811">
      <w:pPr>
        <w:ind w:left="640" w:hanging="640"/>
        <w:jc w:val="left"/>
        <w:rPr>
          <w:rFonts w:cs="Times New Roman"/>
          <w:sz w:val="20"/>
          <w:szCs w:val="24"/>
        </w:rPr>
      </w:pPr>
      <w:r>
        <w:rPr>
          <w:rFonts w:cs="Times New Roman"/>
          <w:sz w:val="20"/>
          <w:szCs w:val="24"/>
        </w:rPr>
        <w:t>[16]</w:t>
      </w:r>
      <w:r>
        <w:rPr>
          <w:rFonts w:cs="Times New Roman"/>
          <w:sz w:val="20"/>
          <w:szCs w:val="24"/>
        </w:rPr>
        <w:tab/>
      </w:r>
      <w:r>
        <w:rPr>
          <w:rFonts w:cs="Times New Roman"/>
          <w:sz w:val="20"/>
          <w:szCs w:val="24"/>
        </w:rPr>
        <w:t>Zhou Y, Wang S, Xie Y, Zeng J, Fernandez C. Remaining useful life prediction and state of health diagnosis of lithium-ion batteries with multiscale health features based on optimized CatBoost algorithm. Energy 2024;300:131575. https://doi.org/https://doi.org/10.1016/j.energy.2024.131575.</w:t>
      </w:r>
    </w:p>
    <w:p w14:paraId="210739CA">
      <w:pPr>
        <w:ind w:left="640" w:hanging="640"/>
        <w:jc w:val="left"/>
        <w:rPr>
          <w:rFonts w:cs="Times New Roman"/>
          <w:sz w:val="20"/>
          <w:szCs w:val="24"/>
        </w:rPr>
      </w:pPr>
      <w:r>
        <w:rPr>
          <w:rFonts w:cs="Times New Roman"/>
          <w:sz w:val="20"/>
          <w:szCs w:val="24"/>
        </w:rPr>
        <w:t>[17]</w:t>
      </w:r>
      <w:r>
        <w:rPr>
          <w:rFonts w:cs="Times New Roman"/>
          <w:sz w:val="20"/>
          <w:szCs w:val="24"/>
        </w:rPr>
        <w:tab/>
      </w:r>
      <w:r>
        <w:rPr>
          <w:rFonts w:cs="Times New Roman"/>
          <w:sz w:val="20"/>
          <w:szCs w:val="24"/>
        </w:rPr>
        <w:t>Wong KL, Tse R, Tang S-K, Pau G. Decentralized Deep-Learning Approach for Lithium-Ion Batteries State of Health Forecasting Using Federated Learning. IEEE Trans Transp Electrif 2024;10:8199–212. https://doi.org/10.1109/TTE.2024.3354551.</w:t>
      </w:r>
    </w:p>
    <w:p w14:paraId="5EE41A6F">
      <w:pPr>
        <w:ind w:left="640" w:hanging="640"/>
        <w:jc w:val="left"/>
        <w:rPr>
          <w:rFonts w:cs="Times New Roman"/>
          <w:sz w:val="20"/>
          <w:szCs w:val="24"/>
        </w:rPr>
      </w:pPr>
      <w:r>
        <w:rPr>
          <w:rFonts w:cs="Times New Roman"/>
          <w:sz w:val="20"/>
          <w:szCs w:val="24"/>
        </w:rPr>
        <w:t>[18]</w:t>
      </w:r>
      <w:r>
        <w:rPr>
          <w:rFonts w:cs="Times New Roman"/>
          <w:sz w:val="20"/>
          <w:szCs w:val="24"/>
        </w:rPr>
        <w:tab/>
      </w:r>
      <w:r>
        <w:rPr>
          <w:rFonts w:cs="Times New Roman"/>
          <w:sz w:val="20"/>
          <w:szCs w:val="24"/>
        </w:rPr>
        <w:t>Ji X, Chen Y, Wang J, Zhou G, Sing Lai C, Dong Z. Time-Frequency Hybrid Neuromorphic Computing Architecture Development for Battery State-of-Health Estimation. IEEE Internet Things J 2024;11:39941–57. https://doi.org/10.1109/JIOT.2024.3448350.</w:t>
      </w:r>
    </w:p>
    <w:p w14:paraId="268A1C12">
      <w:pPr>
        <w:ind w:left="640" w:hanging="640"/>
        <w:jc w:val="left"/>
        <w:rPr>
          <w:rFonts w:cs="Times New Roman"/>
          <w:sz w:val="20"/>
          <w:szCs w:val="24"/>
        </w:rPr>
      </w:pPr>
      <w:r>
        <w:rPr>
          <w:rFonts w:cs="Times New Roman"/>
          <w:sz w:val="20"/>
          <w:szCs w:val="24"/>
        </w:rPr>
        <w:t>[19]</w:t>
      </w:r>
      <w:r>
        <w:rPr>
          <w:rFonts w:cs="Times New Roman"/>
          <w:sz w:val="20"/>
          <w:szCs w:val="24"/>
        </w:rPr>
        <w:tab/>
      </w:r>
      <w:r>
        <w:rPr>
          <w:rFonts w:cs="Times New Roman"/>
          <w:sz w:val="20"/>
          <w:szCs w:val="24"/>
        </w:rPr>
        <w:t>Zhang M, Wang X, Kang L, Xie D, Liang B. Bridging the feature gap: Heterogeneous transfer learning for lithium-ion battery health estimation using one-shot data. Results Eng 2026;29:109163. https://doi.org/https://doi.org/10.1016/j.rineng.2026.109163.</w:t>
      </w:r>
    </w:p>
    <w:p w14:paraId="3ACDD15C">
      <w:pPr>
        <w:ind w:left="640" w:hanging="640"/>
        <w:jc w:val="left"/>
        <w:rPr>
          <w:rFonts w:cs="Times New Roman"/>
          <w:sz w:val="20"/>
          <w:szCs w:val="24"/>
        </w:rPr>
      </w:pPr>
      <w:r>
        <w:rPr>
          <w:rFonts w:cs="Times New Roman"/>
          <w:sz w:val="20"/>
          <w:szCs w:val="24"/>
        </w:rPr>
        <w:t>[20]</w:t>
      </w:r>
      <w:r>
        <w:rPr>
          <w:rFonts w:cs="Times New Roman"/>
          <w:sz w:val="20"/>
          <w:szCs w:val="24"/>
        </w:rPr>
        <w:tab/>
      </w:r>
      <w:r>
        <w:rPr>
          <w:rFonts w:cs="Times New Roman"/>
          <w:sz w:val="20"/>
          <w:szCs w:val="24"/>
        </w:rPr>
        <w:t>Liu J, Member GS, Qin Y. A Lightweight Transfer Learning-Based State-of-Health Monitoring With Application to Lithium-Ion Batteries in Autonomous Air Vehicles. IEEE Trans Ind Informatics 2026;22:1738–49. https://doi.org/10.1109/TII.2025.3631012.</w:t>
      </w:r>
    </w:p>
    <w:p w14:paraId="6DAB7D46">
      <w:pPr>
        <w:ind w:left="640" w:hanging="640"/>
        <w:jc w:val="left"/>
        <w:rPr>
          <w:rFonts w:cs="Times New Roman"/>
          <w:sz w:val="20"/>
          <w:szCs w:val="24"/>
        </w:rPr>
      </w:pPr>
      <w:r>
        <w:rPr>
          <w:rFonts w:cs="Times New Roman"/>
          <w:sz w:val="20"/>
          <w:szCs w:val="24"/>
        </w:rPr>
        <w:t>[21]</w:t>
      </w:r>
      <w:r>
        <w:rPr>
          <w:rFonts w:cs="Times New Roman"/>
          <w:sz w:val="20"/>
          <w:szCs w:val="24"/>
        </w:rPr>
        <w:tab/>
      </w:r>
      <w:r>
        <w:rPr>
          <w:rFonts w:cs="Times New Roman"/>
          <w:sz w:val="20"/>
          <w:szCs w:val="24"/>
        </w:rPr>
        <w:t>Song L, Gui X, Du J, Fan Z, Li M, Guo L. A Novel Transfer Learning Approach for State-of-Health Prediction of Lithium-Ion Batteries in the Absence of Run-to-Failure Data. IEEE Trans Instrum Meas 2024;73:1–12. https://doi.org/10.1109/TIM.2024.3450095.</w:t>
      </w:r>
    </w:p>
    <w:p w14:paraId="008DA012">
      <w:pPr>
        <w:ind w:left="640" w:hanging="640"/>
        <w:jc w:val="left"/>
        <w:rPr>
          <w:rFonts w:cs="Times New Roman"/>
          <w:sz w:val="20"/>
          <w:szCs w:val="24"/>
        </w:rPr>
      </w:pPr>
      <w:r>
        <w:rPr>
          <w:rFonts w:cs="Times New Roman"/>
          <w:sz w:val="20"/>
          <w:szCs w:val="24"/>
        </w:rPr>
        <w:t>[22]</w:t>
      </w:r>
      <w:r>
        <w:rPr>
          <w:rFonts w:cs="Times New Roman"/>
          <w:sz w:val="20"/>
          <w:szCs w:val="24"/>
        </w:rPr>
        <w:tab/>
      </w:r>
      <w:r>
        <w:rPr>
          <w:rFonts w:cs="Times New Roman"/>
          <w:sz w:val="20"/>
          <w:szCs w:val="24"/>
        </w:rPr>
        <w:t>Pang X, Zhang X, Guo Z, Jia J, Wen J, Shi Y, et al. TFDDA: a time-frequency deep domain adaptation method for cross-domain state of health estimation of lithium-ion batteries. Eng Res Express 2026;8:45210. https://doi.org/10.1088/2631-8695/ae43b2.</w:t>
      </w:r>
    </w:p>
    <w:p w14:paraId="09F9FE55">
      <w:pPr>
        <w:ind w:left="640" w:hanging="640"/>
        <w:jc w:val="left"/>
        <w:rPr>
          <w:rFonts w:cs="Times New Roman"/>
          <w:sz w:val="20"/>
          <w:szCs w:val="24"/>
        </w:rPr>
      </w:pPr>
      <w:r>
        <w:rPr>
          <w:rFonts w:cs="Times New Roman"/>
          <w:sz w:val="20"/>
          <w:szCs w:val="24"/>
        </w:rPr>
        <w:t>[23]</w:t>
      </w:r>
      <w:r>
        <w:rPr>
          <w:rFonts w:cs="Times New Roman"/>
          <w:sz w:val="20"/>
          <w:szCs w:val="24"/>
        </w:rPr>
        <w:tab/>
      </w:r>
      <w:r>
        <w:rPr>
          <w:rFonts w:cs="Times New Roman"/>
          <w:sz w:val="20"/>
          <w:szCs w:val="24"/>
        </w:rPr>
        <w:t>Nie X, Pan Y, Zhang Y, Luo Z, Wang S. Battery health prediction under data scarcity: A cross-domain physics-informed 5-shot framework with GRU-Transformer. Appl Energy 2026;402:127012. https://doi.org/https://doi.org/10.1016/j.apenergy.2025.127012.</w:t>
      </w:r>
    </w:p>
    <w:p w14:paraId="53223E45">
      <w:pPr>
        <w:ind w:left="640" w:hanging="640"/>
        <w:jc w:val="left"/>
        <w:rPr>
          <w:rFonts w:cs="Times New Roman"/>
          <w:sz w:val="20"/>
          <w:szCs w:val="24"/>
        </w:rPr>
      </w:pPr>
      <w:r>
        <w:rPr>
          <w:rFonts w:cs="Times New Roman"/>
          <w:sz w:val="20"/>
          <w:szCs w:val="24"/>
        </w:rPr>
        <w:t>[24]</w:t>
      </w:r>
      <w:r>
        <w:rPr>
          <w:rFonts w:cs="Times New Roman"/>
          <w:sz w:val="20"/>
          <w:szCs w:val="24"/>
        </w:rPr>
        <w:tab/>
      </w:r>
      <w:r>
        <w:rPr>
          <w:rFonts w:cs="Times New Roman"/>
          <w:sz w:val="20"/>
          <w:szCs w:val="24"/>
        </w:rPr>
        <w:t>Lin C, Tuo X, Wu L, Zhang G, Lyu Z, Zeng X. Physics-informed machine learning for accurate SOH estimation of lithium-ion batteries considering various temperatures and operating conditions. Energy 2025;318:134937. https://doi.org/https://doi.org/10.1016/j.energy.2025.134937.</w:t>
      </w:r>
    </w:p>
    <w:p w14:paraId="5CCDBF46">
      <w:pPr>
        <w:ind w:left="640" w:hanging="640"/>
        <w:jc w:val="left"/>
        <w:rPr>
          <w:rFonts w:cs="Times New Roman"/>
          <w:sz w:val="20"/>
          <w:szCs w:val="24"/>
        </w:rPr>
      </w:pPr>
      <w:r>
        <w:rPr>
          <w:rFonts w:cs="Times New Roman"/>
          <w:sz w:val="20"/>
          <w:szCs w:val="24"/>
        </w:rPr>
        <w:t>[25]</w:t>
      </w:r>
      <w:r>
        <w:rPr>
          <w:rFonts w:cs="Times New Roman"/>
          <w:sz w:val="20"/>
          <w:szCs w:val="24"/>
        </w:rPr>
        <w:tab/>
      </w:r>
      <w:r>
        <w:rPr>
          <w:rFonts w:cs="Times New Roman"/>
          <w:sz w:val="20"/>
          <w:szCs w:val="24"/>
        </w:rPr>
        <w:t>Tian A, He L, Ding T, Dong K, Wang Y, Jiang J. A generic physics-informed neural network framework for lithium-ion batteries state of health estimation. Energy 2025;332:137215. https://doi.org/https://doi.org/10.1016/j.energy.2025.137215.</w:t>
      </w:r>
    </w:p>
    <w:p w14:paraId="16EDE4E2">
      <w:pPr>
        <w:ind w:left="640" w:hanging="640"/>
        <w:jc w:val="left"/>
        <w:rPr>
          <w:rFonts w:cs="Times New Roman"/>
          <w:sz w:val="20"/>
          <w:szCs w:val="24"/>
        </w:rPr>
      </w:pPr>
      <w:r>
        <w:rPr>
          <w:rFonts w:cs="Times New Roman"/>
          <w:sz w:val="20"/>
          <w:szCs w:val="24"/>
        </w:rPr>
        <w:t>[26]</w:t>
      </w:r>
      <w:r>
        <w:rPr>
          <w:rFonts w:cs="Times New Roman"/>
          <w:sz w:val="20"/>
          <w:szCs w:val="24"/>
        </w:rPr>
        <w:tab/>
      </w:r>
      <w:r>
        <w:rPr>
          <w:rFonts w:cs="Times New Roman"/>
          <w:sz w:val="20"/>
          <w:szCs w:val="24"/>
        </w:rPr>
        <w:t>Tao S, Zhang M, Zhao Z, Li H, Ma R, Che Y, et al. Non-destructive degradation pattern decoupling for early battery trajectory prediction via physics-informed learning. Energy Environ Sci 2025;18:1544–59. https://doi.org/10.1039/d4ee03839h.</w:t>
      </w:r>
    </w:p>
    <w:p w14:paraId="2B1C225E">
      <w:pPr>
        <w:ind w:left="640" w:hanging="640"/>
        <w:jc w:val="left"/>
        <w:rPr>
          <w:rFonts w:cs="Times New Roman"/>
          <w:sz w:val="20"/>
          <w:szCs w:val="24"/>
        </w:rPr>
      </w:pPr>
      <w:r>
        <w:rPr>
          <w:rFonts w:cs="Times New Roman"/>
          <w:sz w:val="20"/>
          <w:szCs w:val="24"/>
        </w:rPr>
        <w:t>[27]</w:t>
      </w:r>
      <w:r>
        <w:rPr>
          <w:rFonts w:cs="Times New Roman"/>
          <w:sz w:val="20"/>
          <w:szCs w:val="24"/>
        </w:rPr>
        <w:tab/>
      </w:r>
      <w:r>
        <w:rPr>
          <w:rFonts w:cs="Times New Roman"/>
          <w:sz w:val="20"/>
          <w:szCs w:val="24"/>
        </w:rPr>
        <w:t>Du X, Meng J, Amirat Y, Gao F, Benbouzid M. Feature selection strategy optimization for lithium-ion battery state of health estimation under impedance uncertainties. J Energy Chem 2025;101:87–98. https://doi.org/https://doi.org/10.1016/j.jechem.2024.09.032.</w:t>
      </w:r>
    </w:p>
    <w:p w14:paraId="252AB6F2">
      <w:pPr>
        <w:ind w:left="640" w:hanging="640"/>
        <w:jc w:val="left"/>
        <w:rPr>
          <w:rFonts w:cs="Times New Roman"/>
          <w:sz w:val="20"/>
          <w:szCs w:val="24"/>
        </w:rPr>
      </w:pPr>
      <w:r>
        <w:rPr>
          <w:rFonts w:cs="Times New Roman"/>
          <w:sz w:val="20"/>
          <w:szCs w:val="24"/>
        </w:rPr>
        <w:t>[28]</w:t>
      </w:r>
      <w:r>
        <w:rPr>
          <w:rFonts w:cs="Times New Roman"/>
          <w:sz w:val="20"/>
          <w:szCs w:val="24"/>
        </w:rPr>
        <w:tab/>
      </w:r>
      <w:r>
        <w:rPr>
          <w:rFonts w:cs="Times New Roman"/>
          <w:sz w:val="20"/>
          <w:szCs w:val="24"/>
        </w:rPr>
        <w:t>Zhuang D, Li ML, Lam VN, Braatz RD, Chueh WC, Bazant MZ. Physics-Informed Design of Hybrid Pulse Power Characterization Tests for Rechargeable Batteries. J Electrochem Soc 2024;171:50510. https://doi.org/10.1149/1945-7111/ad4394.</w:t>
      </w:r>
    </w:p>
    <w:p w14:paraId="24A68C07">
      <w:pPr>
        <w:ind w:left="640" w:hanging="640"/>
        <w:jc w:val="left"/>
        <w:rPr>
          <w:rFonts w:cs="Times New Roman"/>
          <w:sz w:val="20"/>
          <w:szCs w:val="24"/>
        </w:rPr>
      </w:pPr>
      <w:r>
        <w:rPr>
          <w:rFonts w:cs="Times New Roman"/>
          <w:sz w:val="20"/>
          <w:szCs w:val="24"/>
        </w:rPr>
        <w:t>[29]</w:t>
      </w:r>
      <w:r>
        <w:rPr>
          <w:rFonts w:cs="Times New Roman"/>
          <w:sz w:val="20"/>
          <w:szCs w:val="24"/>
        </w:rPr>
        <w:tab/>
      </w:r>
      <w:r>
        <w:rPr>
          <w:rFonts w:cs="Times New Roman"/>
          <w:sz w:val="20"/>
          <w:szCs w:val="24"/>
        </w:rPr>
        <w:t>Tao S, Guo R, Lee J, Moura S, Casals LC, Jiang S, et al. Immediate remaining capacity estimation of heterogeneous second-life lithium-ion batteries via deep generative transfer learning. Energy Environ Sci 2025;18:7413–26. https://doi.org/10.1039/d5ee02217g.</w:t>
      </w:r>
    </w:p>
    <w:p w14:paraId="70CA72D2">
      <w:pPr>
        <w:ind w:left="640" w:hanging="640"/>
        <w:jc w:val="left"/>
        <w:rPr>
          <w:rFonts w:cs="Times New Roman"/>
          <w:sz w:val="20"/>
          <w:szCs w:val="24"/>
        </w:rPr>
      </w:pPr>
      <w:r>
        <w:rPr>
          <w:rFonts w:cs="Times New Roman"/>
          <w:sz w:val="20"/>
          <w:szCs w:val="24"/>
        </w:rPr>
        <w:t>[30]</w:t>
      </w:r>
      <w:r>
        <w:rPr>
          <w:rFonts w:cs="Times New Roman"/>
          <w:sz w:val="20"/>
          <w:szCs w:val="24"/>
        </w:rPr>
        <w:tab/>
      </w:r>
      <w:r>
        <w:rPr>
          <w:rFonts w:cs="Times New Roman"/>
          <w:sz w:val="20"/>
          <w:szCs w:val="24"/>
        </w:rPr>
        <w:t>Wang F, Zhai Z, Zhao Z, Di Y, Chen X. Physics-informed neural network for lithium-ion battery degradation stable modeling and prognosis. Nat Commun 2024;15:4332. https://doi.org/10.1038/s41467-024-48779-z.</w:t>
      </w:r>
    </w:p>
    <w:p w14:paraId="47615A9D">
      <w:pPr>
        <w:ind w:left="640" w:hanging="640"/>
        <w:jc w:val="left"/>
        <w:rPr>
          <w:rFonts w:cs="Times New Roman"/>
          <w:sz w:val="20"/>
          <w:szCs w:val="24"/>
        </w:rPr>
      </w:pPr>
      <w:r>
        <w:rPr>
          <w:rFonts w:cs="Times New Roman"/>
          <w:sz w:val="20"/>
          <w:szCs w:val="24"/>
        </w:rPr>
        <w:t>[31]</w:t>
      </w:r>
      <w:r>
        <w:rPr>
          <w:rFonts w:cs="Times New Roman"/>
          <w:sz w:val="20"/>
          <w:szCs w:val="24"/>
        </w:rPr>
        <w:tab/>
      </w:r>
      <w:r>
        <w:rPr>
          <w:rFonts w:cs="Times New Roman"/>
          <w:sz w:val="20"/>
          <w:szCs w:val="24"/>
        </w:rPr>
        <w:t>Wang T, Ma Z, Zou S, Chen Z, Wang P. Lithium-ion battery state-of-health estimation: A self-supervised framework incorporating weak labels. Appl Energy 2024;355:122332. https://doi.org/https://doi.org/10.1016/j.apenergy.2023.122332.</w:t>
      </w:r>
    </w:p>
    <w:p w14:paraId="7AF801A3">
      <w:pPr>
        <w:ind w:left="640" w:hanging="640"/>
        <w:jc w:val="left"/>
        <w:rPr>
          <w:rFonts w:cs="Times New Roman"/>
          <w:sz w:val="20"/>
          <w:szCs w:val="24"/>
        </w:rPr>
      </w:pPr>
      <w:r>
        <w:rPr>
          <w:rFonts w:cs="Times New Roman"/>
          <w:sz w:val="20"/>
          <w:szCs w:val="24"/>
        </w:rPr>
        <w:t>[32]</w:t>
      </w:r>
      <w:r>
        <w:rPr>
          <w:rFonts w:cs="Times New Roman"/>
          <w:sz w:val="20"/>
          <w:szCs w:val="24"/>
        </w:rPr>
        <w:tab/>
      </w:r>
      <w:r>
        <w:rPr>
          <w:rFonts w:cs="Times New Roman"/>
          <w:sz w:val="20"/>
          <w:szCs w:val="24"/>
        </w:rPr>
        <w:t>Chen S-Z, Liu J, Yuan H, Tao Y, Xu F, Yang L. AM-MFF: A multi-feature fusion framework based on attention mechanism for robust and interpretable lithium-ion battery state of health estimation. Appl Energy 2025;381:125116. https://doi.org/https://doi.org/10.1016/j.apenergy.2024.125116.</w:t>
      </w:r>
    </w:p>
    <w:p w14:paraId="2C697D67">
      <w:pPr>
        <w:ind w:left="640" w:hanging="640"/>
        <w:jc w:val="left"/>
        <w:rPr>
          <w:rFonts w:cs="Times New Roman"/>
          <w:sz w:val="20"/>
        </w:rPr>
      </w:pPr>
      <w:r>
        <w:rPr>
          <w:rFonts w:cs="Times New Roman"/>
          <w:sz w:val="20"/>
          <w:szCs w:val="24"/>
        </w:rPr>
        <w:t>[33]</w:t>
      </w:r>
      <w:r>
        <w:rPr>
          <w:rFonts w:cs="Times New Roman"/>
          <w:sz w:val="20"/>
          <w:szCs w:val="24"/>
        </w:rPr>
        <w:tab/>
      </w:r>
      <w:r>
        <w:rPr>
          <w:rFonts w:cs="Times New Roman"/>
          <w:sz w:val="20"/>
          <w:szCs w:val="24"/>
        </w:rPr>
        <w:t>Dou B, Hou S, Li H, Zhao Y, Fan Y, Sun L, et al. Cross-domain state of health estimation for lithium-ion battery based on latent space consistency using few-unlabeled data. Energy 2025;320:135257. https://doi.org/https://doi.org/10.1016/j.energy.2025.135257.</w:t>
      </w:r>
    </w:p>
    <w:p w14:paraId="52AFA8CB">
      <w:pPr>
        <w:rPr>
          <w:rFonts w:cs="Times New Roman"/>
        </w:rPr>
      </w:pPr>
      <w:r>
        <w:rPr>
          <w:rFonts w:cs="Times New Roman"/>
        </w:rPr>
        <w:fldChar w:fldCharType="end"/>
      </w:r>
    </w:p>
    <w:sectPr>
      <w:pgSz w:w="11906" w:h="16838"/>
      <w:pgMar w:top="720"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revisionView w:markup="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7219"/>
    <w:rsid w:val="000373A0"/>
    <w:rsid w:val="00066031"/>
    <w:rsid w:val="000707AE"/>
    <w:rsid w:val="000729E0"/>
    <w:rsid w:val="0009075B"/>
    <w:rsid w:val="000B7D10"/>
    <w:rsid w:val="000E2596"/>
    <w:rsid w:val="00101796"/>
    <w:rsid w:val="0012011D"/>
    <w:rsid w:val="00125FAF"/>
    <w:rsid w:val="001306EB"/>
    <w:rsid w:val="00132BF0"/>
    <w:rsid w:val="001547F5"/>
    <w:rsid w:val="00172A27"/>
    <w:rsid w:val="001E7AA0"/>
    <w:rsid w:val="00211383"/>
    <w:rsid w:val="00231789"/>
    <w:rsid w:val="00235FBD"/>
    <w:rsid w:val="00242DCD"/>
    <w:rsid w:val="0026368C"/>
    <w:rsid w:val="00280DD3"/>
    <w:rsid w:val="00311EDD"/>
    <w:rsid w:val="00340816"/>
    <w:rsid w:val="00360341"/>
    <w:rsid w:val="00376CFC"/>
    <w:rsid w:val="003778F6"/>
    <w:rsid w:val="003872F2"/>
    <w:rsid w:val="003A69BA"/>
    <w:rsid w:val="003B683A"/>
    <w:rsid w:val="003C0CF4"/>
    <w:rsid w:val="003C1140"/>
    <w:rsid w:val="003D2FDF"/>
    <w:rsid w:val="003E0285"/>
    <w:rsid w:val="003E7A6B"/>
    <w:rsid w:val="003F4C17"/>
    <w:rsid w:val="00411A0C"/>
    <w:rsid w:val="00452F5D"/>
    <w:rsid w:val="004567E6"/>
    <w:rsid w:val="00457635"/>
    <w:rsid w:val="004604E9"/>
    <w:rsid w:val="0046135F"/>
    <w:rsid w:val="004723CB"/>
    <w:rsid w:val="00491043"/>
    <w:rsid w:val="0049674B"/>
    <w:rsid w:val="004A4C46"/>
    <w:rsid w:val="004B73FF"/>
    <w:rsid w:val="004E20BF"/>
    <w:rsid w:val="004F3A9A"/>
    <w:rsid w:val="00510130"/>
    <w:rsid w:val="005253C9"/>
    <w:rsid w:val="0053130A"/>
    <w:rsid w:val="00544C04"/>
    <w:rsid w:val="00551694"/>
    <w:rsid w:val="00554D12"/>
    <w:rsid w:val="00565FF8"/>
    <w:rsid w:val="0056669B"/>
    <w:rsid w:val="00590F49"/>
    <w:rsid w:val="005A7072"/>
    <w:rsid w:val="005B3C26"/>
    <w:rsid w:val="005E193D"/>
    <w:rsid w:val="005E5A70"/>
    <w:rsid w:val="005E73C1"/>
    <w:rsid w:val="006042CF"/>
    <w:rsid w:val="00624181"/>
    <w:rsid w:val="0063364D"/>
    <w:rsid w:val="0064044F"/>
    <w:rsid w:val="00650305"/>
    <w:rsid w:val="00651D51"/>
    <w:rsid w:val="00654DA1"/>
    <w:rsid w:val="00663B87"/>
    <w:rsid w:val="00675DC7"/>
    <w:rsid w:val="006B09D1"/>
    <w:rsid w:val="006D4ED6"/>
    <w:rsid w:val="006D6947"/>
    <w:rsid w:val="006F75DC"/>
    <w:rsid w:val="00701FC8"/>
    <w:rsid w:val="00702281"/>
    <w:rsid w:val="00726120"/>
    <w:rsid w:val="0075434B"/>
    <w:rsid w:val="00792065"/>
    <w:rsid w:val="00793DAA"/>
    <w:rsid w:val="007C589D"/>
    <w:rsid w:val="008016BF"/>
    <w:rsid w:val="00804734"/>
    <w:rsid w:val="00815CAD"/>
    <w:rsid w:val="00817CB2"/>
    <w:rsid w:val="00831669"/>
    <w:rsid w:val="00833894"/>
    <w:rsid w:val="00855AF8"/>
    <w:rsid w:val="00870FEA"/>
    <w:rsid w:val="00875B38"/>
    <w:rsid w:val="00876BA8"/>
    <w:rsid w:val="008828AF"/>
    <w:rsid w:val="008B1004"/>
    <w:rsid w:val="008B26B4"/>
    <w:rsid w:val="008B3F1A"/>
    <w:rsid w:val="008C6586"/>
    <w:rsid w:val="008F65EE"/>
    <w:rsid w:val="008F76EC"/>
    <w:rsid w:val="00911C43"/>
    <w:rsid w:val="009217EF"/>
    <w:rsid w:val="009308F2"/>
    <w:rsid w:val="00940BE0"/>
    <w:rsid w:val="00944BA1"/>
    <w:rsid w:val="009A08CA"/>
    <w:rsid w:val="00A15763"/>
    <w:rsid w:val="00A16A6F"/>
    <w:rsid w:val="00A43525"/>
    <w:rsid w:val="00A46608"/>
    <w:rsid w:val="00AD4DE3"/>
    <w:rsid w:val="00AD7702"/>
    <w:rsid w:val="00AE4008"/>
    <w:rsid w:val="00AE6C0C"/>
    <w:rsid w:val="00B03C18"/>
    <w:rsid w:val="00B241FA"/>
    <w:rsid w:val="00B42F70"/>
    <w:rsid w:val="00B8115C"/>
    <w:rsid w:val="00BB3F68"/>
    <w:rsid w:val="00BC5866"/>
    <w:rsid w:val="00BD5CAE"/>
    <w:rsid w:val="00C117B4"/>
    <w:rsid w:val="00C31E3A"/>
    <w:rsid w:val="00C342A0"/>
    <w:rsid w:val="00C379DB"/>
    <w:rsid w:val="00C40422"/>
    <w:rsid w:val="00C47D61"/>
    <w:rsid w:val="00C72C54"/>
    <w:rsid w:val="00C854F3"/>
    <w:rsid w:val="00CB45A4"/>
    <w:rsid w:val="00CD1E96"/>
    <w:rsid w:val="00CD25C4"/>
    <w:rsid w:val="00D014BF"/>
    <w:rsid w:val="00D0635D"/>
    <w:rsid w:val="00D06721"/>
    <w:rsid w:val="00D14DFC"/>
    <w:rsid w:val="00D60B84"/>
    <w:rsid w:val="00D778D4"/>
    <w:rsid w:val="00DA7C6A"/>
    <w:rsid w:val="00DB7426"/>
    <w:rsid w:val="00DC34CF"/>
    <w:rsid w:val="00DC452B"/>
    <w:rsid w:val="00DC6379"/>
    <w:rsid w:val="00DF3331"/>
    <w:rsid w:val="00E20213"/>
    <w:rsid w:val="00E32CF2"/>
    <w:rsid w:val="00E37E50"/>
    <w:rsid w:val="00E45DCB"/>
    <w:rsid w:val="00EB2E0C"/>
    <w:rsid w:val="00F066AD"/>
    <w:rsid w:val="00F15C2C"/>
    <w:rsid w:val="00F21A20"/>
    <w:rsid w:val="00F50BCF"/>
    <w:rsid w:val="00F823AF"/>
    <w:rsid w:val="01207B0A"/>
    <w:rsid w:val="02F3787A"/>
    <w:rsid w:val="03960557"/>
    <w:rsid w:val="05CE783D"/>
    <w:rsid w:val="078C2FBC"/>
    <w:rsid w:val="08C9032E"/>
    <w:rsid w:val="095B73E3"/>
    <w:rsid w:val="0A081A83"/>
    <w:rsid w:val="0A795893"/>
    <w:rsid w:val="0B077209"/>
    <w:rsid w:val="0B544730"/>
    <w:rsid w:val="0B6C5F6D"/>
    <w:rsid w:val="0C383A1B"/>
    <w:rsid w:val="0D3861DB"/>
    <w:rsid w:val="0D441024"/>
    <w:rsid w:val="0D643474"/>
    <w:rsid w:val="0D770B24"/>
    <w:rsid w:val="0DCD2DC7"/>
    <w:rsid w:val="0DDD6142"/>
    <w:rsid w:val="0E87654F"/>
    <w:rsid w:val="0EDB2021"/>
    <w:rsid w:val="0EE7295D"/>
    <w:rsid w:val="10E34E12"/>
    <w:rsid w:val="10E723F2"/>
    <w:rsid w:val="124F7013"/>
    <w:rsid w:val="12922832"/>
    <w:rsid w:val="130848A2"/>
    <w:rsid w:val="14943034"/>
    <w:rsid w:val="14E629C1"/>
    <w:rsid w:val="152B4F50"/>
    <w:rsid w:val="15714980"/>
    <w:rsid w:val="157D3325"/>
    <w:rsid w:val="1696779D"/>
    <w:rsid w:val="16EF2001"/>
    <w:rsid w:val="17976192"/>
    <w:rsid w:val="17BB6387"/>
    <w:rsid w:val="195C28E9"/>
    <w:rsid w:val="19EF1013"/>
    <w:rsid w:val="1A3E2A86"/>
    <w:rsid w:val="1A9447AA"/>
    <w:rsid w:val="1B8D003A"/>
    <w:rsid w:val="1BBD70CC"/>
    <w:rsid w:val="1BCE1A5B"/>
    <w:rsid w:val="1D0843DE"/>
    <w:rsid w:val="1D9E02DC"/>
    <w:rsid w:val="1E894AFB"/>
    <w:rsid w:val="1FCA53B9"/>
    <w:rsid w:val="203C5B8B"/>
    <w:rsid w:val="203D202F"/>
    <w:rsid w:val="207E61A3"/>
    <w:rsid w:val="241035B6"/>
    <w:rsid w:val="251610A0"/>
    <w:rsid w:val="25A93CC2"/>
    <w:rsid w:val="28126A15"/>
    <w:rsid w:val="281B2154"/>
    <w:rsid w:val="29003BF9"/>
    <w:rsid w:val="290F7E55"/>
    <w:rsid w:val="29E11C7D"/>
    <w:rsid w:val="2B5F0BB9"/>
    <w:rsid w:val="2BFF288E"/>
    <w:rsid w:val="2CDD26B3"/>
    <w:rsid w:val="2CE13D42"/>
    <w:rsid w:val="2D214A86"/>
    <w:rsid w:val="2E1341D4"/>
    <w:rsid w:val="2F66190E"/>
    <w:rsid w:val="31E85B72"/>
    <w:rsid w:val="32146967"/>
    <w:rsid w:val="321B0424"/>
    <w:rsid w:val="32696CB3"/>
    <w:rsid w:val="33F95E15"/>
    <w:rsid w:val="35FA1FB3"/>
    <w:rsid w:val="366C5106"/>
    <w:rsid w:val="375E1FB9"/>
    <w:rsid w:val="386F2B4A"/>
    <w:rsid w:val="3A9B19D4"/>
    <w:rsid w:val="3AD80A17"/>
    <w:rsid w:val="3C9A5CBB"/>
    <w:rsid w:val="3D6406AA"/>
    <w:rsid w:val="3DE2791A"/>
    <w:rsid w:val="3DF30AC4"/>
    <w:rsid w:val="3EC3774B"/>
    <w:rsid w:val="3F75419A"/>
    <w:rsid w:val="3FC13C8B"/>
    <w:rsid w:val="3FD17C46"/>
    <w:rsid w:val="40154B29"/>
    <w:rsid w:val="40836138"/>
    <w:rsid w:val="41055DF9"/>
    <w:rsid w:val="41220E6C"/>
    <w:rsid w:val="41967399"/>
    <w:rsid w:val="41F45E6E"/>
    <w:rsid w:val="4379487C"/>
    <w:rsid w:val="440829B2"/>
    <w:rsid w:val="440D17C7"/>
    <w:rsid w:val="4418634C"/>
    <w:rsid w:val="44AE6C74"/>
    <w:rsid w:val="453942C3"/>
    <w:rsid w:val="45B071BD"/>
    <w:rsid w:val="469D0882"/>
    <w:rsid w:val="47EC1AC1"/>
    <w:rsid w:val="48566B3C"/>
    <w:rsid w:val="48BF71D5"/>
    <w:rsid w:val="48F24049"/>
    <w:rsid w:val="49A12900"/>
    <w:rsid w:val="49D62A28"/>
    <w:rsid w:val="4AC07235"/>
    <w:rsid w:val="4BB674ED"/>
    <w:rsid w:val="4CE55017"/>
    <w:rsid w:val="4E2773F3"/>
    <w:rsid w:val="4EA824BA"/>
    <w:rsid w:val="4F911345"/>
    <w:rsid w:val="51281690"/>
    <w:rsid w:val="512E314A"/>
    <w:rsid w:val="527A3DD9"/>
    <w:rsid w:val="535043C5"/>
    <w:rsid w:val="542919A7"/>
    <w:rsid w:val="55164621"/>
    <w:rsid w:val="55545DF2"/>
    <w:rsid w:val="55B17EA6"/>
    <w:rsid w:val="560721BC"/>
    <w:rsid w:val="564B064E"/>
    <w:rsid w:val="56E04EE6"/>
    <w:rsid w:val="57A37F1E"/>
    <w:rsid w:val="58E5299F"/>
    <w:rsid w:val="596A6CE9"/>
    <w:rsid w:val="59714AB2"/>
    <w:rsid w:val="5A267DF7"/>
    <w:rsid w:val="5ADA1C4D"/>
    <w:rsid w:val="5B0F785F"/>
    <w:rsid w:val="5BD20B76"/>
    <w:rsid w:val="5BE60590"/>
    <w:rsid w:val="5C814A76"/>
    <w:rsid w:val="5CC2508E"/>
    <w:rsid w:val="5DDC7A8A"/>
    <w:rsid w:val="5E0903E0"/>
    <w:rsid w:val="5E3A2E3F"/>
    <w:rsid w:val="5E806A4E"/>
    <w:rsid w:val="5F701483"/>
    <w:rsid w:val="609352E6"/>
    <w:rsid w:val="61B551C2"/>
    <w:rsid w:val="61D2451C"/>
    <w:rsid w:val="61D726F4"/>
    <w:rsid w:val="621449D6"/>
    <w:rsid w:val="62401B6D"/>
    <w:rsid w:val="62E834C3"/>
    <w:rsid w:val="6452680B"/>
    <w:rsid w:val="646C750A"/>
    <w:rsid w:val="658E09AE"/>
    <w:rsid w:val="66707EDE"/>
    <w:rsid w:val="69484BB2"/>
    <w:rsid w:val="6A7774B8"/>
    <w:rsid w:val="6B0C1F59"/>
    <w:rsid w:val="6B1F7C72"/>
    <w:rsid w:val="6B6B003F"/>
    <w:rsid w:val="6B7E4876"/>
    <w:rsid w:val="6C706A4E"/>
    <w:rsid w:val="6C8A7AF1"/>
    <w:rsid w:val="6CE54BAD"/>
    <w:rsid w:val="6D0B213A"/>
    <w:rsid w:val="6D8C3FA6"/>
    <w:rsid w:val="6DA3008D"/>
    <w:rsid w:val="6F7C2E7B"/>
    <w:rsid w:val="71614A1E"/>
    <w:rsid w:val="725F5851"/>
    <w:rsid w:val="73137F9A"/>
    <w:rsid w:val="73144F59"/>
    <w:rsid w:val="74AE1D28"/>
    <w:rsid w:val="761A519B"/>
    <w:rsid w:val="76DD4B47"/>
    <w:rsid w:val="7758241F"/>
    <w:rsid w:val="78014865"/>
    <w:rsid w:val="78B46349"/>
    <w:rsid w:val="79A47B9E"/>
    <w:rsid w:val="7A106FE1"/>
    <w:rsid w:val="7A232871"/>
    <w:rsid w:val="7AA02113"/>
    <w:rsid w:val="7AAF67FA"/>
    <w:rsid w:val="7AC027B5"/>
    <w:rsid w:val="7B0D71FE"/>
    <w:rsid w:val="7B4C7256"/>
    <w:rsid w:val="7BFF10BB"/>
    <w:rsid w:val="7C3827A8"/>
    <w:rsid w:val="7C532E05"/>
    <w:rsid w:val="7C7309E2"/>
    <w:rsid w:val="7C8A54DF"/>
    <w:rsid w:val="7D1F26B5"/>
    <w:rsid w:val="7D2B17B4"/>
    <w:rsid w:val="7D4445E6"/>
    <w:rsid w:val="7D8B70AB"/>
    <w:rsid w:val="7D9F20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Theme="minorEastAsia" w:cstheme="minorBidi"/>
      <w:kern w:val="2"/>
      <w:sz w:val="21"/>
      <w:szCs w:val="22"/>
      <w:lang w:val="en-US" w:eastAsia="zh-CN" w:bidi="ar-SA"/>
    </w:rPr>
  </w:style>
  <w:style w:type="paragraph" w:styleId="2">
    <w:name w:val="heading 1"/>
    <w:basedOn w:val="1"/>
    <w:next w:val="1"/>
    <w:link w:val="2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3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3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32"/>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3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52"/>
    <w:semiHidden/>
    <w:unhideWhenUsed/>
    <w:qFormat/>
    <w:uiPriority w:val="99"/>
    <w:pPr>
      <w:jc w:val="left"/>
    </w:pPr>
  </w:style>
  <w:style w:type="paragraph" w:styleId="12">
    <w:name w:val="Date"/>
    <w:basedOn w:val="1"/>
    <w:next w:val="1"/>
    <w:link w:val="48"/>
    <w:semiHidden/>
    <w:unhideWhenUsed/>
    <w:qFormat/>
    <w:uiPriority w:val="99"/>
    <w:pPr>
      <w:ind w:left="100" w:leftChars="2500"/>
    </w:pPr>
  </w:style>
  <w:style w:type="paragraph" w:styleId="13">
    <w:name w:val="footer"/>
    <w:basedOn w:val="1"/>
    <w:link w:val="47"/>
    <w:unhideWhenUsed/>
    <w:qFormat/>
    <w:uiPriority w:val="99"/>
    <w:pPr>
      <w:tabs>
        <w:tab w:val="center" w:pos="4153"/>
        <w:tab w:val="right" w:pos="8306"/>
      </w:tabs>
      <w:snapToGrid w:val="0"/>
      <w:jc w:val="left"/>
    </w:pPr>
    <w:rPr>
      <w:sz w:val="18"/>
      <w:szCs w:val="18"/>
    </w:rPr>
  </w:style>
  <w:style w:type="paragraph" w:styleId="14">
    <w:name w:val="header"/>
    <w:basedOn w:val="1"/>
    <w:link w:val="46"/>
    <w:unhideWhenUsed/>
    <w:qFormat/>
    <w:uiPriority w:val="99"/>
    <w:pPr>
      <w:tabs>
        <w:tab w:val="center" w:pos="4153"/>
        <w:tab w:val="right" w:pos="8306"/>
      </w:tabs>
      <w:snapToGrid w:val="0"/>
      <w:jc w:val="center"/>
    </w:pPr>
    <w:rPr>
      <w:sz w:val="18"/>
      <w:szCs w:val="18"/>
    </w:rPr>
  </w:style>
  <w:style w:type="paragraph" w:styleId="15">
    <w:name w:val="Subtitle"/>
    <w:basedOn w:val="1"/>
    <w:next w:val="1"/>
    <w:link w:val="3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footnote text"/>
    <w:basedOn w:val="1"/>
    <w:semiHidden/>
    <w:unhideWhenUsed/>
    <w:qFormat/>
    <w:uiPriority w:val="99"/>
    <w:pPr>
      <w:snapToGrid w:val="0"/>
      <w:jc w:val="left"/>
    </w:pPr>
    <w:rPr>
      <w:sz w:val="18"/>
    </w:rPr>
  </w:style>
  <w:style w:type="paragraph" w:styleId="1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18">
    <w:name w:val="Normal (Web)"/>
    <w:basedOn w:val="1"/>
    <w:semiHidden/>
    <w:unhideWhenUsed/>
    <w:qFormat/>
    <w:uiPriority w:val="99"/>
    <w:pPr>
      <w:spacing w:beforeAutospacing="1" w:afterAutospacing="1"/>
      <w:jc w:val="left"/>
    </w:pPr>
    <w:rPr>
      <w:rFonts w:cs="Times New Roman"/>
      <w:kern w:val="0"/>
      <w:sz w:val="24"/>
    </w:rPr>
  </w:style>
  <w:style w:type="paragraph" w:styleId="19">
    <w:name w:val="Title"/>
    <w:basedOn w:val="1"/>
    <w:next w:val="1"/>
    <w:link w:val="37"/>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0">
    <w:name w:val="annotation subject"/>
    <w:basedOn w:val="11"/>
    <w:next w:val="11"/>
    <w:link w:val="53"/>
    <w:semiHidden/>
    <w:unhideWhenUsed/>
    <w:qFormat/>
    <w:uiPriority w:val="99"/>
    <w:rPr>
      <w:b/>
      <w:bCs/>
    </w:rPr>
  </w:style>
  <w:style w:type="table" w:styleId="22">
    <w:name w:val="Table Grid"/>
    <w:basedOn w:val="2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Emphasis"/>
    <w:basedOn w:val="23"/>
    <w:qFormat/>
    <w:uiPriority w:val="20"/>
    <w:rPr>
      <w:i/>
    </w:rPr>
  </w:style>
  <w:style w:type="character" w:styleId="25">
    <w:name w:val="HTML Code"/>
    <w:basedOn w:val="23"/>
    <w:semiHidden/>
    <w:unhideWhenUsed/>
    <w:qFormat/>
    <w:uiPriority w:val="99"/>
    <w:rPr>
      <w:rFonts w:ascii="Courier New" w:hAnsi="Courier New"/>
      <w:sz w:val="20"/>
    </w:rPr>
  </w:style>
  <w:style w:type="character" w:styleId="26">
    <w:name w:val="annotation reference"/>
    <w:basedOn w:val="23"/>
    <w:semiHidden/>
    <w:unhideWhenUsed/>
    <w:qFormat/>
    <w:uiPriority w:val="99"/>
    <w:rPr>
      <w:sz w:val="21"/>
      <w:szCs w:val="21"/>
    </w:rPr>
  </w:style>
  <w:style w:type="character" w:styleId="27">
    <w:name w:val="footnote reference"/>
    <w:basedOn w:val="23"/>
    <w:semiHidden/>
    <w:unhideWhenUsed/>
    <w:qFormat/>
    <w:uiPriority w:val="99"/>
    <w:rPr>
      <w:vertAlign w:val="superscript"/>
    </w:rPr>
  </w:style>
  <w:style w:type="character" w:customStyle="1" w:styleId="28">
    <w:name w:val="标题 1 字符"/>
    <w:basedOn w:val="23"/>
    <w:link w:val="2"/>
    <w:qFormat/>
    <w:uiPriority w:val="9"/>
    <w:rPr>
      <w:rFonts w:asciiTheme="majorHAnsi" w:hAnsiTheme="majorHAnsi" w:eastAsiaTheme="majorEastAsia" w:cstheme="majorBidi"/>
      <w:color w:val="2F5597" w:themeColor="accent1" w:themeShade="BF"/>
      <w:sz w:val="48"/>
      <w:szCs w:val="48"/>
    </w:rPr>
  </w:style>
  <w:style w:type="character" w:customStyle="1" w:styleId="29">
    <w:name w:val="标题 2 字符"/>
    <w:basedOn w:val="23"/>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30">
    <w:name w:val="标题 3 字符"/>
    <w:basedOn w:val="23"/>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31">
    <w:name w:val="标题 4 字符"/>
    <w:basedOn w:val="23"/>
    <w:link w:val="5"/>
    <w:semiHidden/>
    <w:qFormat/>
    <w:uiPriority w:val="9"/>
    <w:rPr>
      <w:rFonts w:cstheme="majorBidi"/>
      <w:color w:val="2F5597" w:themeColor="accent1" w:themeShade="BF"/>
      <w:sz w:val="28"/>
      <w:szCs w:val="28"/>
    </w:rPr>
  </w:style>
  <w:style w:type="character" w:customStyle="1" w:styleId="32">
    <w:name w:val="标题 5 字符"/>
    <w:basedOn w:val="23"/>
    <w:link w:val="6"/>
    <w:semiHidden/>
    <w:qFormat/>
    <w:uiPriority w:val="9"/>
    <w:rPr>
      <w:rFonts w:cstheme="majorBidi"/>
      <w:color w:val="2F5597" w:themeColor="accent1" w:themeShade="BF"/>
      <w:sz w:val="24"/>
      <w:szCs w:val="24"/>
    </w:rPr>
  </w:style>
  <w:style w:type="character" w:customStyle="1" w:styleId="33">
    <w:name w:val="标题 6 字符"/>
    <w:basedOn w:val="23"/>
    <w:link w:val="7"/>
    <w:semiHidden/>
    <w:qFormat/>
    <w:uiPriority w:val="9"/>
    <w:rPr>
      <w:rFonts w:cstheme="majorBidi"/>
      <w:b/>
      <w:bCs/>
      <w:color w:val="2F5597" w:themeColor="accent1" w:themeShade="BF"/>
    </w:rPr>
  </w:style>
  <w:style w:type="character" w:customStyle="1" w:styleId="34">
    <w:name w:val="标题 7 字符"/>
    <w:basedOn w:val="23"/>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5">
    <w:name w:val="标题 8 字符"/>
    <w:basedOn w:val="23"/>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6">
    <w:name w:val="标题 9 字符"/>
    <w:basedOn w:val="23"/>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7">
    <w:name w:val="标题 字符"/>
    <w:basedOn w:val="23"/>
    <w:link w:val="19"/>
    <w:qFormat/>
    <w:uiPriority w:val="10"/>
    <w:rPr>
      <w:rFonts w:asciiTheme="majorHAnsi" w:hAnsiTheme="majorHAnsi" w:eastAsiaTheme="majorEastAsia" w:cstheme="majorBidi"/>
      <w:spacing w:val="-10"/>
      <w:kern w:val="28"/>
      <w:sz w:val="56"/>
      <w:szCs w:val="56"/>
    </w:rPr>
  </w:style>
  <w:style w:type="character" w:customStyle="1" w:styleId="38">
    <w:name w:val="副标题 字符"/>
    <w:basedOn w:val="23"/>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引用 字符"/>
    <w:basedOn w:val="23"/>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明显强调1"/>
    <w:basedOn w:val="23"/>
    <w:qFormat/>
    <w:uiPriority w:val="21"/>
    <w:rPr>
      <w:i/>
      <w:iCs/>
      <w:color w:val="2F5597" w:themeColor="accent1" w:themeShade="BF"/>
    </w:rPr>
  </w:style>
  <w:style w:type="paragraph" w:styleId="43">
    <w:name w:val="Intense Quote"/>
    <w:basedOn w:val="1"/>
    <w:next w:val="1"/>
    <w:link w:val="4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4">
    <w:name w:val="明显引用 字符"/>
    <w:basedOn w:val="23"/>
    <w:link w:val="43"/>
    <w:qFormat/>
    <w:uiPriority w:val="30"/>
    <w:rPr>
      <w:i/>
      <w:iCs/>
      <w:color w:val="2F5597" w:themeColor="accent1" w:themeShade="BF"/>
    </w:rPr>
  </w:style>
  <w:style w:type="character" w:customStyle="1" w:styleId="45">
    <w:name w:val="明显参考1"/>
    <w:basedOn w:val="23"/>
    <w:qFormat/>
    <w:uiPriority w:val="32"/>
    <w:rPr>
      <w:b/>
      <w:bCs/>
      <w:smallCaps/>
      <w:color w:val="2F5597" w:themeColor="accent1" w:themeShade="BF"/>
      <w:spacing w:val="5"/>
    </w:rPr>
  </w:style>
  <w:style w:type="character" w:customStyle="1" w:styleId="46">
    <w:name w:val="页眉 字符"/>
    <w:basedOn w:val="23"/>
    <w:link w:val="14"/>
    <w:qFormat/>
    <w:uiPriority w:val="99"/>
    <w:rPr>
      <w:sz w:val="18"/>
      <w:szCs w:val="18"/>
    </w:rPr>
  </w:style>
  <w:style w:type="character" w:customStyle="1" w:styleId="47">
    <w:name w:val="页脚 字符"/>
    <w:basedOn w:val="23"/>
    <w:link w:val="13"/>
    <w:qFormat/>
    <w:uiPriority w:val="99"/>
    <w:rPr>
      <w:sz w:val="18"/>
      <w:szCs w:val="18"/>
    </w:rPr>
  </w:style>
  <w:style w:type="character" w:customStyle="1" w:styleId="48">
    <w:name w:val="日期 字符"/>
    <w:basedOn w:val="23"/>
    <w:link w:val="12"/>
    <w:semiHidden/>
    <w:qFormat/>
    <w:uiPriority w:val="99"/>
  </w:style>
  <w:style w:type="paragraph" w:customStyle="1" w:styleId="49">
    <w:name w:val="MTDisplayEquation"/>
    <w:basedOn w:val="1"/>
    <w:next w:val="1"/>
    <w:qFormat/>
    <w:uiPriority w:val="0"/>
    <w:pPr>
      <w:tabs>
        <w:tab w:val="center" w:pos="4160"/>
        <w:tab w:val="right" w:pos="8300"/>
      </w:tabs>
    </w:pPr>
  </w:style>
  <w:style w:type="character" w:customStyle="1" w:styleId="50">
    <w:name w:val="MTEquationSection"/>
    <w:basedOn w:val="23"/>
    <w:qFormat/>
    <w:uiPriority w:val="0"/>
    <w:rPr>
      <w:rFonts w:ascii="Times New Roman" w:hAnsi="Times New Roman" w:cs="Times New Roman"/>
      <w:b/>
      <w:bCs/>
      <w:vanish/>
      <w:color w:val="FF0000"/>
      <w:sz w:val="30"/>
      <w:szCs w:val="30"/>
    </w:rPr>
  </w:style>
  <w:style w:type="paragraph" w:customStyle="1" w:styleId="51">
    <w:name w:val="修订1"/>
    <w:hidden/>
    <w:unhideWhenUsed/>
    <w:qFormat/>
    <w:uiPriority w:val="99"/>
    <w:rPr>
      <w:rFonts w:ascii="Times New Roman" w:hAnsi="Times New Roman" w:eastAsiaTheme="minorEastAsia" w:cstheme="minorBidi"/>
      <w:kern w:val="2"/>
      <w:sz w:val="21"/>
      <w:szCs w:val="22"/>
      <w:lang w:val="en-US" w:eastAsia="zh-CN" w:bidi="ar-SA"/>
    </w:rPr>
  </w:style>
  <w:style w:type="character" w:customStyle="1" w:styleId="52">
    <w:name w:val="批注文字 字符"/>
    <w:basedOn w:val="23"/>
    <w:link w:val="11"/>
    <w:semiHidden/>
    <w:qFormat/>
    <w:uiPriority w:val="99"/>
    <w:rPr>
      <w:rFonts w:eastAsiaTheme="minorEastAsia" w:cstheme="minorBidi"/>
      <w:kern w:val="2"/>
      <w:sz w:val="21"/>
      <w:szCs w:val="22"/>
    </w:rPr>
  </w:style>
  <w:style w:type="character" w:customStyle="1" w:styleId="53">
    <w:name w:val="批注主题 字符"/>
    <w:basedOn w:val="52"/>
    <w:link w:val="20"/>
    <w:semiHidden/>
    <w:qFormat/>
    <w:uiPriority w:val="99"/>
    <w:rPr>
      <w:rFonts w:eastAsiaTheme="minorEastAsia" w:cstheme="minorBidi"/>
      <w:b/>
      <w:bCs/>
      <w:kern w:val="2"/>
      <w:sz w:val="21"/>
      <w:szCs w:val="22"/>
    </w:rPr>
  </w:style>
  <w:style w:type="paragraph" w:customStyle="1" w:styleId="54">
    <w:name w:val="修订2"/>
    <w:hidden/>
    <w:unhideWhenUsed/>
    <w:qFormat/>
    <w:uiPriority w:val="99"/>
    <w:rPr>
      <w:rFonts w:ascii="Times New Roman" w:hAnsi="Times New Roman" w:eastAsiaTheme="minorEastAsia" w:cstheme="minorBidi"/>
      <w:kern w:val="2"/>
      <w:sz w:val="21"/>
      <w:szCs w:val="22"/>
      <w:lang w:val="en-US" w:eastAsia="zh-CN" w:bidi="ar-SA"/>
    </w:rPr>
  </w:style>
  <w:style w:type="table" w:customStyle="1" w:styleId="55">
    <w:name w:val="SCI格式"/>
    <w:basedOn w:val="21"/>
    <w:qFormat/>
    <w:uiPriority w:val="99"/>
    <w:pPr>
      <w:jc w:val="both"/>
    </w:pPr>
    <w:rPr>
      <w:sz w:val="18"/>
    </w:rPr>
    <w:tblPr>
      <w:tblBorders>
        <w:top w:val="single" w:color="auto" w:sz="8" w:space="0"/>
        <w:bottom w:val="single" w:color="auto" w:sz="8" w:space="0"/>
      </w:tblBorders>
    </w:tblPr>
    <w:tcPr>
      <w:vAlign w:val="center"/>
    </w:tcPr>
    <w:tblStylePr w:type="firstRow">
      <w:pPr>
        <w:jc w:val="both"/>
      </w:pPr>
      <w:rPr>
        <w:rFonts w:ascii="Times New Roman" w:hAnsi="Times New Roman"/>
        <w:sz w:val="18"/>
      </w:rPr>
      <w:tcPr>
        <w:tcBorders>
          <w:top w:val="single" w:color="auto" w:sz="8" w:space="0"/>
          <w:left w:val="nil"/>
          <w:bottom w:val="single" w:color="auto" w:sz="8" w:space="0"/>
          <w:right w:val="nil"/>
          <w:insideH w:val="nil"/>
          <w:insideV w:val="nil"/>
          <w:tl2br w:val="nil"/>
          <w:tr2bl w:val="nil"/>
        </w:tcBorders>
      </w:tcPr>
    </w:tblStylePr>
  </w:style>
  <w:style w:type="paragraph" w:customStyle="1" w:styleId="56">
    <w:name w:val="修订3"/>
    <w:hidden/>
    <w:unhideWhenUsed/>
    <w:qFormat/>
    <w:uiPriority w:val="99"/>
    <w:rPr>
      <w:rFonts w:ascii="Times New Roman" w:hAnsi="Times New Roman" w:eastAsiaTheme="minorEastAsia" w:cstheme="minorBidi"/>
      <w:kern w:val="2"/>
      <w:sz w:val="21"/>
      <w:szCs w:val="22"/>
      <w:lang w:val="en-US" w:eastAsia="zh-CN" w:bidi="ar-SA"/>
    </w:rPr>
  </w:style>
  <w:style w:type="paragraph" w:customStyle="1" w:styleId="57">
    <w:name w:val="修订4"/>
    <w:hidden/>
    <w:unhideWhenUsed/>
    <w:qFormat/>
    <w:uiPriority w:val="99"/>
    <w:rPr>
      <w:rFonts w:ascii="Times New Roman" w:hAnsi="Times New Roman" w:eastAsiaTheme="minorEastAsia" w:cstheme="minorBidi"/>
      <w:kern w:val="2"/>
      <w:sz w:val="21"/>
      <w:szCs w:val="22"/>
      <w:lang w:val="en-US" w:eastAsia="zh-CN" w:bidi="ar-SA"/>
    </w:rPr>
  </w:style>
  <w:style w:type="paragraph" w:customStyle="1" w:styleId="58">
    <w:name w:val="修订5"/>
    <w:hidden/>
    <w:unhideWhenUsed/>
    <w:qFormat/>
    <w:uiPriority w:val="99"/>
    <w:rPr>
      <w:rFonts w:ascii="Times New Roman" w:hAnsi="Times New Roman" w:eastAsiaTheme="minorEastAsia" w:cstheme="minorBidi"/>
      <w:kern w:val="2"/>
      <w:sz w:val="21"/>
      <w:szCs w:val="22"/>
      <w:lang w:val="en-US" w:eastAsia="zh-CN" w:bidi="ar-SA"/>
    </w:rPr>
  </w:style>
  <w:style w:type="paragraph" w:customStyle="1" w:styleId="59">
    <w:name w:val="修订6"/>
    <w:hidden/>
    <w:unhideWhenUsed/>
    <w:qFormat/>
    <w:uiPriority w:val="99"/>
    <w:rPr>
      <w:rFonts w:ascii="Times New Roman" w:hAnsi="Times New Roman" w:eastAsiaTheme="minorEastAsia" w:cstheme="minorBidi"/>
      <w:kern w:val="2"/>
      <w:sz w:val="21"/>
      <w:szCs w:val="22"/>
      <w:lang w:val="en-US" w:eastAsia="zh-CN" w:bidi="ar-SA"/>
    </w:rPr>
  </w:style>
  <w:style w:type="paragraph" w:customStyle="1" w:styleId="60">
    <w:name w:val="Revision"/>
    <w:hidden/>
    <w:unhideWhenUsed/>
    <w:qFormat/>
    <w:uiPriority w:val="99"/>
    <w:rPr>
      <w:rFonts w:ascii="Times New Roman" w:hAnsi="Times New Roman"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6.bin"/><Relationship Id="rId98" Type="http://schemas.openxmlformats.org/officeDocument/2006/relationships/image" Target="media/image48.wmf"/><Relationship Id="rId97" Type="http://schemas.openxmlformats.org/officeDocument/2006/relationships/oleObject" Target="embeddings/oleObject45.bin"/><Relationship Id="rId96" Type="http://schemas.openxmlformats.org/officeDocument/2006/relationships/image" Target="media/image47.wmf"/><Relationship Id="rId95" Type="http://schemas.openxmlformats.org/officeDocument/2006/relationships/oleObject" Target="embeddings/oleObject44.bin"/><Relationship Id="rId94" Type="http://schemas.openxmlformats.org/officeDocument/2006/relationships/image" Target="media/image46.wmf"/><Relationship Id="rId93" Type="http://schemas.openxmlformats.org/officeDocument/2006/relationships/oleObject" Target="embeddings/oleObject43.bin"/><Relationship Id="rId92" Type="http://schemas.openxmlformats.org/officeDocument/2006/relationships/image" Target="media/image45.wmf"/><Relationship Id="rId91" Type="http://schemas.openxmlformats.org/officeDocument/2006/relationships/oleObject" Target="embeddings/oleObject42.bin"/><Relationship Id="rId90" Type="http://schemas.openxmlformats.org/officeDocument/2006/relationships/image" Target="media/image44.wmf"/><Relationship Id="rId9" Type="http://schemas.openxmlformats.org/officeDocument/2006/relationships/image" Target="media/image2.wmf"/><Relationship Id="rId89" Type="http://schemas.openxmlformats.org/officeDocument/2006/relationships/oleObject" Target="embeddings/oleObject41.bin"/><Relationship Id="rId88" Type="http://schemas.openxmlformats.org/officeDocument/2006/relationships/image" Target="media/image43.wmf"/><Relationship Id="rId87" Type="http://schemas.openxmlformats.org/officeDocument/2006/relationships/oleObject" Target="embeddings/oleObject40.bin"/><Relationship Id="rId86" Type="http://schemas.openxmlformats.org/officeDocument/2006/relationships/image" Target="media/image42.wmf"/><Relationship Id="rId85" Type="http://schemas.openxmlformats.org/officeDocument/2006/relationships/oleObject" Target="embeddings/oleObject39.bin"/><Relationship Id="rId84" Type="http://schemas.openxmlformats.org/officeDocument/2006/relationships/image" Target="media/image41.wmf"/><Relationship Id="rId83" Type="http://schemas.openxmlformats.org/officeDocument/2006/relationships/oleObject" Target="embeddings/oleObject38.bin"/><Relationship Id="rId82" Type="http://schemas.openxmlformats.org/officeDocument/2006/relationships/image" Target="media/image40.wmf"/><Relationship Id="rId81" Type="http://schemas.openxmlformats.org/officeDocument/2006/relationships/oleObject" Target="embeddings/oleObject37.bin"/><Relationship Id="rId80" Type="http://schemas.openxmlformats.org/officeDocument/2006/relationships/image" Target="media/image39.png"/><Relationship Id="rId8" Type="http://schemas.openxmlformats.org/officeDocument/2006/relationships/oleObject" Target="embeddings/oleObject2.bin"/><Relationship Id="rId79" Type="http://schemas.openxmlformats.org/officeDocument/2006/relationships/image" Target="media/image38.wmf"/><Relationship Id="rId78" Type="http://schemas.openxmlformats.org/officeDocument/2006/relationships/oleObject" Target="embeddings/oleObject36.bin"/><Relationship Id="rId77" Type="http://schemas.openxmlformats.org/officeDocument/2006/relationships/image" Target="media/image37.wmf"/><Relationship Id="rId76" Type="http://schemas.openxmlformats.org/officeDocument/2006/relationships/oleObject" Target="embeddings/oleObject35.bin"/><Relationship Id="rId75" Type="http://schemas.openxmlformats.org/officeDocument/2006/relationships/image" Target="media/image36.wmf"/><Relationship Id="rId74" Type="http://schemas.openxmlformats.org/officeDocument/2006/relationships/oleObject" Target="embeddings/oleObject34.bin"/><Relationship Id="rId73" Type="http://schemas.openxmlformats.org/officeDocument/2006/relationships/image" Target="media/image35.wmf"/><Relationship Id="rId72" Type="http://schemas.openxmlformats.org/officeDocument/2006/relationships/oleObject" Target="embeddings/oleObject33.bin"/><Relationship Id="rId71" Type="http://schemas.openxmlformats.org/officeDocument/2006/relationships/image" Target="media/image34.wmf"/><Relationship Id="rId70" Type="http://schemas.openxmlformats.org/officeDocument/2006/relationships/oleObject" Target="embeddings/oleObject32.bin"/><Relationship Id="rId7" Type="http://schemas.openxmlformats.org/officeDocument/2006/relationships/image" Target="media/image1.wmf"/><Relationship Id="rId69" Type="http://schemas.openxmlformats.org/officeDocument/2006/relationships/image" Target="media/image33.wmf"/><Relationship Id="rId68" Type="http://schemas.openxmlformats.org/officeDocument/2006/relationships/oleObject" Target="embeddings/oleObject31.bin"/><Relationship Id="rId67" Type="http://schemas.openxmlformats.org/officeDocument/2006/relationships/image" Target="media/image32.wmf"/><Relationship Id="rId66" Type="http://schemas.openxmlformats.org/officeDocument/2006/relationships/oleObject" Target="embeddings/oleObject30.bin"/><Relationship Id="rId65" Type="http://schemas.openxmlformats.org/officeDocument/2006/relationships/image" Target="media/image31.wmf"/><Relationship Id="rId64" Type="http://schemas.openxmlformats.org/officeDocument/2006/relationships/oleObject" Target="embeddings/oleObject29.bin"/><Relationship Id="rId63" Type="http://schemas.openxmlformats.org/officeDocument/2006/relationships/image" Target="media/image30.wmf"/><Relationship Id="rId62" Type="http://schemas.openxmlformats.org/officeDocument/2006/relationships/oleObject" Target="embeddings/oleObject28.bin"/><Relationship Id="rId61" Type="http://schemas.openxmlformats.org/officeDocument/2006/relationships/image" Target="media/image29.wmf"/><Relationship Id="rId60" Type="http://schemas.openxmlformats.org/officeDocument/2006/relationships/oleObject" Target="embeddings/oleObject27.bin"/><Relationship Id="rId6" Type="http://schemas.openxmlformats.org/officeDocument/2006/relationships/oleObject" Target="embeddings/oleObject1.bin"/><Relationship Id="rId59" Type="http://schemas.openxmlformats.org/officeDocument/2006/relationships/image" Target="media/image28.wmf"/><Relationship Id="rId58" Type="http://schemas.openxmlformats.org/officeDocument/2006/relationships/oleObject" Target="embeddings/oleObject26.bin"/><Relationship Id="rId57" Type="http://schemas.openxmlformats.org/officeDocument/2006/relationships/image" Target="media/image27.wmf"/><Relationship Id="rId56" Type="http://schemas.openxmlformats.org/officeDocument/2006/relationships/oleObject" Target="embeddings/oleObject25.bin"/><Relationship Id="rId55" Type="http://schemas.openxmlformats.org/officeDocument/2006/relationships/image" Target="media/image26.wmf"/><Relationship Id="rId54" Type="http://schemas.openxmlformats.org/officeDocument/2006/relationships/oleObject" Target="embeddings/oleObject24.bin"/><Relationship Id="rId53" Type="http://schemas.openxmlformats.org/officeDocument/2006/relationships/image" Target="media/image25.wmf"/><Relationship Id="rId52" Type="http://schemas.openxmlformats.org/officeDocument/2006/relationships/oleObject" Target="embeddings/oleObject23.bin"/><Relationship Id="rId51" Type="http://schemas.openxmlformats.org/officeDocument/2006/relationships/image" Target="media/image24.wmf"/><Relationship Id="rId50" Type="http://schemas.openxmlformats.org/officeDocument/2006/relationships/oleObject" Target="embeddings/oleObject22.bin"/><Relationship Id="rId5" Type="http://schemas.openxmlformats.org/officeDocument/2006/relationships/theme" Target="theme/theme1.xml"/><Relationship Id="rId49" Type="http://schemas.openxmlformats.org/officeDocument/2006/relationships/image" Target="media/image23.wmf"/><Relationship Id="rId48" Type="http://schemas.openxmlformats.org/officeDocument/2006/relationships/oleObject" Target="embeddings/oleObject21.bin"/><Relationship Id="rId47" Type="http://schemas.openxmlformats.org/officeDocument/2006/relationships/image" Target="media/image22.wmf"/><Relationship Id="rId46" Type="http://schemas.openxmlformats.org/officeDocument/2006/relationships/oleObject" Target="embeddings/oleObject20.bin"/><Relationship Id="rId45" Type="http://schemas.openxmlformats.org/officeDocument/2006/relationships/image" Target="media/image21.wmf"/><Relationship Id="rId44" Type="http://schemas.openxmlformats.org/officeDocument/2006/relationships/oleObject" Target="embeddings/oleObject19.bin"/><Relationship Id="rId43" Type="http://schemas.openxmlformats.org/officeDocument/2006/relationships/image" Target="media/image20.wmf"/><Relationship Id="rId42" Type="http://schemas.openxmlformats.org/officeDocument/2006/relationships/oleObject" Target="embeddings/oleObject18.bin"/><Relationship Id="rId41" Type="http://schemas.openxmlformats.org/officeDocument/2006/relationships/image" Target="media/image19.wmf"/><Relationship Id="rId40" Type="http://schemas.openxmlformats.org/officeDocument/2006/relationships/oleObject" Target="embeddings/oleObject17.bin"/><Relationship Id="rId4" Type="http://schemas.openxmlformats.org/officeDocument/2006/relationships/endnotes" Target="endnotes.xml"/><Relationship Id="rId39" Type="http://schemas.openxmlformats.org/officeDocument/2006/relationships/image" Target="media/image18.wmf"/><Relationship Id="rId38" Type="http://schemas.openxmlformats.org/officeDocument/2006/relationships/oleObject" Target="embeddings/oleObject16.bin"/><Relationship Id="rId37" Type="http://schemas.openxmlformats.org/officeDocument/2006/relationships/image" Target="media/image17.wmf"/><Relationship Id="rId36" Type="http://schemas.openxmlformats.org/officeDocument/2006/relationships/oleObject" Target="embeddings/oleObject15.bin"/><Relationship Id="rId35" Type="http://schemas.openxmlformats.org/officeDocument/2006/relationships/image" Target="media/image16.wmf"/><Relationship Id="rId34" Type="http://schemas.openxmlformats.org/officeDocument/2006/relationships/oleObject" Target="embeddings/oleObject14.bin"/><Relationship Id="rId33" Type="http://schemas.openxmlformats.org/officeDocument/2006/relationships/image" Target="media/image15.wmf"/><Relationship Id="rId32" Type="http://schemas.openxmlformats.org/officeDocument/2006/relationships/oleObject" Target="embeddings/oleObject13.bin"/><Relationship Id="rId31" Type="http://schemas.openxmlformats.org/officeDocument/2006/relationships/image" Target="media/image14.png"/><Relationship Id="rId30" Type="http://schemas.openxmlformats.org/officeDocument/2006/relationships/image" Target="media/image13.wmf"/><Relationship Id="rId3" Type="http://schemas.openxmlformats.org/officeDocument/2006/relationships/footnotes" Target="footnotes.xml"/><Relationship Id="rId29" Type="http://schemas.openxmlformats.org/officeDocument/2006/relationships/oleObject" Target="embeddings/oleObject12.bin"/><Relationship Id="rId28" Type="http://schemas.openxmlformats.org/officeDocument/2006/relationships/image" Target="media/image12.wmf"/><Relationship Id="rId27" Type="http://schemas.openxmlformats.org/officeDocument/2006/relationships/oleObject" Target="embeddings/oleObject11.bin"/><Relationship Id="rId26" Type="http://schemas.openxmlformats.org/officeDocument/2006/relationships/image" Target="media/image11.wmf"/><Relationship Id="rId252" Type="http://schemas.openxmlformats.org/officeDocument/2006/relationships/fontTable" Target="fontTable.xml"/><Relationship Id="rId251" Type="http://schemas.openxmlformats.org/officeDocument/2006/relationships/customXml" Target="../customXml/item1.xml"/><Relationship Id="rId250" Type="http://schemas.openxmlformats.org/officeDocument/2006/relationships/image" Target="media/image130.png"/><Relationship Id="rId25" Type="http://schemas.openxmlformats.org/officeDocument/2006/relationships/oleObject" Target="embeddings/oleObject10.bin"/><Relationship Id="rId249" Type="http://schemas.openxmlformats.org/officeDocument/2006/relationships/image" Target="media/image129.png"/><Relationship Id="rId248" Type="http://schemas.openxmlformats.org/officeDocument/2006/relationships/image" Target="media/image128.tiff"/><Relationship Id="rId247" Type="http://schemas.openxmlformats.org/officeDocument/2006/relationships/image" Target="media/image127.png"/><Relationship Id="rId246" Type="http://schemas.openxmlformats.org/officeDocument/2006/relationships/image" Target="media/image126.png"/><Relationship Id="rId245" Type="http://schemas.openxmlformats.org/officeDocument/2006/relationships/image" Target="media/image125.png"/><Relationship Id="rId244" Type="http://schemas.openxmlformats.org/officeDocument/2006/relationships/image" Target="media/image124.png"/><Relationship Id="rId243" Type="http://schemas.openxmlformats.org/officeDocument/2006/relationships/image" Target="media/image123.png"/><Relationship Id="rId242" Type="http://schemas.openxmlformats.org/officeDocument/2006/relationships/image" Target="media/image122.png"/><Relationship Id="rId241" Type="http://schemas.openxmlformats.org/officeDocument/2006/relationships/image" Target="media/image121.png"/><Relationship Id="rId240" Type="http://schemas.openxmlformats.org/officeDocument/2006/relationships/image" Target="media/image120.wmf"/><Relationship Id="rId24" Type="http://schemas.openxmlformats.org/officeDocument/2006/relationships/image" Target="media/image10.wmf"/><Relationship Id="rId239" Type="http://schemas.openxmlformats.org/officeDocument/2006/relationships/oleObject" Target="embeddings/oleObject115.bin"/><Relationship Id="rId238" Type="http://schemas.openxmlformats.org/officeDocument/2006/relationships/image" Target="media/image119.wmf"/><Relationship Id="rId237" Type="http://schemas.openxmlformats.org/officeDocument/2006/relationships/oleObject" Target="embeddings/oleObject114.bin"/><Relationship Id="rId236" Type="http://schemas.openxmlformats.org/officeDocument/2006/relationships/image" Target="media/image118.wmf"/><Relationship Id="rId235" Type="http://schemas.openxmlformats.org/officeDocument/2006/relationships/oleObject" Target="embeddings/oleObject113.bin"/><Relationship Id="rId234" Type="http://schemas.openxmlformats.org/officeDocument/2006/relationships/image" Target="media/image117.wmf"/><Relationship Id="rId233" Type="http://schemas.openxmlformats.org/officeDocument/2006/relationships/oleObject" Target="embeddings/oleObject112.bin"/><Relationship Id="rId232" Type="http://schemas.openxmlformats.org/officeDocument/2006/relationships/image" Target="media/image116.wmf"/><Relationship Id="rId231" Type="http://schemas.openxmlformats.org/officeDocument/2006/relationships/oleObject" Target="embeddings/oleObject111.bin"/><Relationship Id="rId230" Type="http://schemas.openxmlformats.org/officeDocument/2006/relationships/image" Target="media/image115.wmf"/><Relationship Id="rId23" Type="http://schemas.openxmlformats.org/officeDocument/2006/relationships/oleObject" Target="embeddings/oleObject9.bin"/><Relationship Id="rId229" Type="http://schemas.openxmlformats.org/officeDocument/2006/relationships/oleObject" Target="embeddings/oleObject110.bin"/><Relationship Id="rId228" Type="http://schemas.openxmlformats.org/officeDocument/2006/relationships/image" Target="media/image114.wmf"/><Relationship Id="rId227" Type="http://schemas.openxmlformats.org/officeDocument/2006/relationships/oleObject" Target="embeddings/oleObject109.bin"/><Relationship Id="rId226" Type="http://schemas.openxmlformats.org/officeDocument/2006/relationships/image" Target="media/image113.wmf"/><Relationship Id="rId225" Type="http://schemas.openxmlformats.org/officeDocument/2006/relationships/oleObject" Target="embeddings/oleObject108.bin"/><Relationship Id="rId224" Type="http://schemas.openxmlformats.org/officeDocument/2006/relationships/image" Target="media/image112.png"/><Relationship Id="rId223" Type="http://schemas.openxmlformats.org/officeDocument/2006/relationships/image" Target="media/image111.wmf"/><Relationship Id="rId222" Type="http://schemas.openxmlformats.org/officeDocument/2006/relationships/oleObject" Target="embeddings/oleObject107.bin"/><Relationship Id="rId221" Type="http://schemas.openxmlformats.org/officeDocument/2006/relationships/image" Target="media/image110.wmf"/><Relationship Id="rId220" Type="http://schemas.openxmlformats.org/officeDocument/2006/relationships/oleObject" Target="embeddings/oleObject106.bin"/><Relationship Id="rId22" Type="http://schemas.openxmlformats.org/officeDocument/2006/relationships/image" Target="media/image9.wmf"/><Relationship Id="rId219" Type="http://schemas.openxmlformats.org/officeDocument/2006/relationships/image" Target="media/image109.wmf"/><Relationship Id="rId218" Type="http://schemas.openxmlformats.org/officeDocument/2006/relationships/oleObject" Target="embeddings/oleObject105.bin"/><Relationship Id="rId217" Type="http://schemas.openxmlformats.org/officeDocument/2006/relationships/image" Target="media/image108.png"/><Relationship Id="rId216" Type="http://schemas.openxmlformats.org/officeDocument/2006/relationships/image" Target="media/image107.wmf"/><Relationship Id="rId215" Type="http://schemas.openxmlformats.org/officeDocument/2006/relationships/oleObject" Target="embeddings/oleObject104.bin"/><Relationship Id="rId214" Type="http://schemas.openxmlformats.org/officeDocument/2006/relationships/image" Target="media/image106.wmf"/><Relationship Id="rId213" Type="http://schemas.openxmlformats.org/officeDocument/2006/relationships/oleObject" Target="embeddings/oleObject103.bin"/><Relationship Id="rId212" Type="http://schemas.openxmlformats.org/officeDocument/2006/relationships/image" Target="media/image105.wmf"/><Relationship Id="rId211" Type="http://schemas.openxmlformats.org/officeDocument/2006/relationships/oleObject" Target="embeddings/oleObject102.bin"/><Relationship Id="rId210" Type="http://schemas.openxmlformats.org/officeDocument/2006/relationships/image" Target="media/image104.wmf"/><Relationship Id="rId21" Type="http://schemas.openxmlformats.org/officeDocument/2006/relationships/oleObject" Target="embeddings/oleObject8.bin"/><Relationship Id="rId209" Type="http://schemas.openxmlformats.org/officeDocument/2006/relationships/oleObject" Target="embeddings/oleObject101.bin"/><Relationship Id="rId208" Type="http://schemas.openxmlformats.org/officeDocument/2006/relationships/image" Target="media/image103.wmf"/><Relationship Id="rId207" Type="http://schemas.openxmlformats.org/officeDocument/2006/relationships/oleObject" Target="embeddings/oleObject100.bin"/><Relationship Id="rId206" Type="http://schemas.openxmlformats.org/officeDocument/2006/relationships/image" Target="media/image102.wmf"/><Relationship Id="rId205" Type="http://schemas.openxmlformats.org/officeDocument/2006/relationships/oleObject" Target="embeddings/oleObject99.bin"/><Relationship Id="rId204" Type="http://schemas.openxmlformats.org/officeDocument/2006/relationships/image" Target="media/image101.wmf"/><Relationship Id="rId203" Type="http://schemas.openxmlformats.org/officeDocument/2006/relationships/oleObject" Target="embeddings/oleObject98.bin"/><Relationship Id="rId202" Type="http://schemas.openxmlformats.org/officeDocument/2006/relationships/image" Target="media/image100.wmf"/><Relationship Id="rId201" Type="http://schemas.openxmlformats.org/officeDocument/2006/relationships/oleObject" Target="embeddings/oleObject97.bin"/><Relationship Id="rId200" Type="http://schemas.openxmlformats.org/officeDocument/2006/relationships/image" Target="media/image99.wmf"/><Relationship Id="rId20" Type="http://schemas.openxmlformats.org/officeDocument/2006/relationships/image" Target="media/image8.png"/><Relationship Id="rId2" Type="http://schemas.openxmlformats.org/officeDocument/2006/relationships/settings" Target="settings.xml"/><Relationship Id="rId199" Type="http://schemas.openxmlformats.org/officeDocument/2006/relationships/oleObject" Target="embeddings/oleObject96.bin"/><Relationship Id="rId198" Type="http://schemas.openxmlformats.org/officeDocument/2006/relationships/image" Target="media/image98.wmf"/><Relationship Id="rId197" Type="http://schemas.openxmlformats.org/officeDocument/2006/relationships/oleObject" Target="embeddings/oleObject95.bin"/><Relationship Id="rId196" Type="http://schemas.openxmlformats.org/officeDocument/2006/relationships/image" Target="media/image97.wmf"/><Relationship Id="rId195" Type="http://schemas.openxmlformats.org/officeDocument/2006/relationships/oleObject" Target="embeddings/oleObject94.bin"/><Relationship Id="rId194" Type="http://schemas.openxmlformats.org/officeDocument/2006/relationships/image" Target="media/image96.wmf"/><Relationship Id="rId193" Type="http://schemas.openxmlformats.org/officeDocument/2006/relationships/oleObject" Target="embeddings/oleObject93.bin"/><Relationship Id="rId192" Type="http://schemas.openxmlformats.org/officeDocument/2006/relationships/image" Target="media/image95.wmf"/><Relationship Id="rId191" Type="http://schemas.openxmlformats.org/officeDocument/2006/relationships/oleObject" Target="embeddings/oleObject92.bin"/><Relationship Id="rId190" Type="http://schemas.openxmlformats.org/officeDocument/2006/relationships/image" Target="media/image94.png"/><Relationship Id="rId19" Type="http://schemas.openxmlformats.org/officeDocument/2006/relationships/image" Target="media/image7.wmf"/><Relationship Id="rId189" Type="http://schemas.openxmlformats.org/officeDocument/2006/relationships/image" Target="media/image93.tiff"/><Relationship Id="rId188" Type="http://schemas.openxmlformats.org/officeDocument/2006/relationships/image" Target="media/image92.wmf"/><Relationship Id="rId187" Type="http://schemas.openxmlformats.org/officeDocument/2006/relationships/oleObject" Target="embeddings/oleObject91.bin"/><Relationship Id="rId186" Type="http://schemas.openxmlformats.org/officeDocument/2006/relationships/image" Target="media/image91.wmf"/><Relationship Id="rId185" Type="http://schemas.openxmlformats.org/officeDocument/2006/relationships/oleObject" Target="embeddings/oleObject90.bin"/><Relationship Id="rId184" Type="http://schemas.openxmlformats.org/officeDocument/2006/relationships/image" Target="media/image90.wmf"/><Relationship Id="rId183" Type="http://schemas.openxmlformats.org/officeDocument/2006/relationships/oleObject" Target="embeddings/oleObject89.bin"/><Relationship Id="rId182" Type="http://schemas.openxmlformats.org/officeDocument/2006/relationships/image" Target="media/image89.wmf"/><Relationship Id="rId181" Type="http://schemas.openxmlformats.org/officeDocument/2006/relationships/oleObject" Target="embeddings/oleObject88.bin"/><Relationship Id="rId180" Type="http://schemas.openxmlformats.org/officeDocument/2006/relationships/image" Target="media/image88.wmf"/><Relationship Id="rId18" Type="http://schemas.openxmlformats.org/officeDocument/2006/relationships/oleObject" Target="embeddings/oleObject7.bin"/><Relationship Id="rId179" Type="http://schemas.openxmlformats.org/officeDocument/2006/relationships/oleObject" Target="embeddings/oleObject87.bin"/><Relationship Id="rId178" Type="http://schemas.openxmlformats.org/officeDocument/2006/relationships/image" Target="media/image87.wmf"/><Relationship Id="rId177" Type="http://schemas.openxmlformats.org/officeDocument/2006/relationships/oleObject" Target="embeddings/oleObject86.bin"/><Relationship Id="rId176" Type="http://schemas.openxmlformats.org/officeDocument/2006/relationships/image" Target="media/image86.wmf"/><Relationship Id="rId175" Type="http://schemas.openxmlformats.org/officeDocument/2006/relationships/oleObject" Target="embeddings/oleObject85.bin"/><Relationship Id="rId174" Type="http://schemas.openxmlformats.org/officeDocument/2006/relationships/image" Target="media/image85.wmf"/><Relationship Id="rId173" Type="http://schemas.openxmlformats.org/officeDocument/2006/relationships/oleObject" Target="embeddings/oleObject84.bin"/><Relationship Id="rId172" Type="http://schemas.openxmlformats.org/officeDocument/2006/relationships/image" Target="media/image84.wmf"/><Relationship Id="rId171" Type="http://schemas.openxmlformats.org/officeDocument/2006/relationships/oleObject" Target="embeddings/oleObject83.bin"/><Relationship Id="rId170" Type="http://schemas.openxmlformats.org/officeDocument/2006/relationships/image" Target="media/image83.wmf"/><Relationship Id="rId17" Type="http://schemas.openxmlformats.org/officeDocument/2006/relationships/image" Target="media/image6.wmf"/><Relationship Id="rId169" Type="http://schemas.openxmlformats.org/officeDocument/2006/relationships/oleObject" Target="embeddings/oleObject82.bin"/><Relationship Id="rId168" Type="http://schemas.openxmlformats.org/officeDocument/2006/relationships/image" Target="media/image82.wmf"/><Relationship Id="rId167" Type="http://schemas.openxmlformats.org/officeDocument/2006/relationships/oleObject" Target="embeddings/oleObject81.bin"/><Relationship Id="rId166" Type="http://schemas.openxmlformats.org/officeDocument/2006/relationships/image" Target="media/image81.wmf"/><Relationship Id="rId165" Type="http://schemas.openxmlformats.org/officeDocument/2006/relationships/oleObject" Target="embeddings/oleObject80.bin"/><Relationship Id="rId164" Type="http://schemas.openxmlformats.org/officeDocument/2006/relationships/image" Target="media/image80.wmf"/><Relationship Id="rId163" Type="http://schemas.openxmlformats.org/officeDocument/2006/relationships/oleObject" Target="embeddings/oleObject79.bin"/><Relationship Id="rId162" Type="http://schemas.openxmlformats.org/officeDocument/2006/relationships/image" Target="media/image79.wmf"/><Relationship Id="rId161" Type="http://schemas.openxmlformats.org/officeDocument/2006/relationships/oleObject" Target="embeddings/oleObject78.bin"/><Relationship Id="rId160" Type="http://schemas.openxmlformats.org/officeDocument/2006/relationships/image" Target="media/image78.wmf"/><Relationship Id="rId16" Type="http://schemas.openxmlformats.org/officeDocument/2006/relationships/oleObject" Target="embeddings/oleObject6.bin"/><Relationship Id="rId159" Type="http://schemas.openxmlformats.org/officeDocument/2006/relationships/oleObject" Target="embeddings/oleObject77.bin"/><Relationship Id="rId158" Type="http://schemas.openxmlformats.org/officeDocument/2006/relationships/image" Target="media/image77.wmf"/><Relationship Id="rId157" Type="http://schemas.openxmlformats.org/officeDocument/2006/relationships/oleObject" Target="embeddings/oleObject76.bin"/><Relationship Id="rId156" Type="http://schemas.openxmlformats.org/officeDocument/2006/relationships/image" Target="media/image76.wmf"/><Relationship Id="rId155" Type="http://schemas.openxmlformats.org/officeDocument/2006/relationships/oleObject" Target="embeddings/oleObject75.bin"/><Relationship Id="rId154" Type="http://schemas.openxmlformats.org/officeDocument/2006/relationships/image" Target="media/image75.wmf"/><Relationship Id="rId153" Type="http://schemas.openxmlformats.org/officeDocument/2006/relationships/oleObject" Target="embeddings/oleObject74.bin"/><Relationship Id="rId152" Type="http://schemas.openxmlformats.org/officeDocument/2006/relationships/image" Target="media/image74.wmf"/><Relationship Id="rId151" Type="http://schemas.openxmlformats.org/officeDocument/2006/relationships/oleObject" Target="embeddings/oleObject73.bin"/><Relationship Id="rId150" Type="http://schemas.openxmlformats.org/officeDocument/2006/relationships/image" Target="media/image73.wmf"/><Relationship Id="rId15" Type="http://schemas.openxmlformats.org/officeDocument/2006/relationships/image" Target="media/image5.wmf"/><Relationship Id="rId149" Type="http://schemas.openxmlformats.org/officeDocument/2006/relationships/oleObject" Target="embeddings/oleObject72.bin"/><Relationship Id="rId148" Type="http://schemas.openxmlformats.org/officeDocument/2006/relationships/image" Target="media/image72.wmf"/><Relationship Id="rId147" Type="http://schemas.openxmlformats.org/officeDocument/2006/relationships/oleObject" Target="embeddings/oleObject71.bin"/><Relationship Id="rId146" Type="http://schemas.openxmlformats.org/officeDocument/2006/relationships/image" Target="media/image71.wmf"/><Relationship Id="rId145" Type="http://schemas.openxmlformats.org/officeDocument/2006/relationships/oleObject" Target="embeddings/oleObject70.bin"/><Relationship Id="rId144" Type="http://schemas.openxmlformats.org/officeDocument/2006/relationships/image" Target="media/image70.wmf"/><Relationship Id="rId143" Type="http://schemas.openxmlformats.org/officeDocument/2006/relationships/oleObject" Target="embeddings/oleObject69.bin"/><Relationship Id="rId142" Type="http://schemas.openxmlformats.org/officeDocument/2006/relationships/image" Target="media/image69.jpeg"/><Relationship Id="rId141" Type="http://schemas.openxmlformats.org/officeDocument/2006/relationships/image" Target="media/image68.wmf"/><Relationship Id="rId140" Type="http://schemas.openxmlformats.org/officeDocument/2006/relationships/oleObject" Target="embeddings/oleObject68.bin"/><Relationship Id="rId14" Type="http://schemas.openxmlformats.org/officeDocument/2006/relationships/oleObject" Target="embeddings/oleObject5.bin"/><Relationship Id="rId139" Type="http://schemas.openxmlformats.org/officeDocument/2006/relationships/image" Target="media/image67.wmf"/><Relationship Id="rId138" Type="http://schemas.openxmlformats.org/officeDocument/2006/relationships/oleObject" Target="embeddings/oleObject67.bin"/><Relationship Id="rId137" Type="http://schemas.openxmlformats.org/officeDocument/2006/relationships/image" Target="media/image66.wmf"/><Relationship Id="rId136" Type="http://schemas.openxmlformats.org/officeDocument/2006/relationships/oleObject" Target="embeddings/oleObject66.bin"/><Relationship Id="rId135" Type="http://schemas.openxmlformats.org/officeDocument/2006/relationships/image" Target="media/image65.wmf"/><Relationship Id="rId134" Type="http://schemas.openxmlformats.org/officeDocument/2006/relationships/oleObject" Target="embeddings/oleObject65.bin"/><Relationship Id="rId133" Type="http://schemas.openxmlformats.org/officeDocument/2006/relationships/image" Target="media/image64.wmf"/><Relationship Id="rId132" Type="http://schemas.openxmlformats.org/officeDocument/2006/relationships/oleObject" Target="embeddings/oleObject64.bin"/><Relationship Id="rId131" Type="http://schemas.openxmlformats.org/officeDocument/2006/relationships/image" Target="media/image63.wmf"/><Relationship Id="rId130" Type="http://schemas.openxmlformats.org/officeDocument/2006/relationships/oleObject" Target="embeddings/oleObject63.bin"/><Relationship Id="rId13" Type="http://schemas.openxmlformats.org/officeDocument/2006/relationships/image" Target="media/image4.wmf"/><Relationship Id="rId129" Type="http://schemas.openxmlformats.org/officeDocument/2006/relationships/image" Target="media/image62.wmf"/><Relationship Id="rId128" Type="http://schemas.openxmlformats.org/officeDocument/2006/relationships/oleObject" Target="embeddings/oleObject62.bin"/><Relationship Id="rId127" Type="http://schemas.openxmlformats.org/officeDocument/2006/relationships/image" Target="media/image61.wmf"/><Relationship Id="rId126" Type="http://schemas.openxmlformats.org/officeDocument/2006/relationships/oleObject" Target="embeddings/oleObject61.bin"/><Relationship Id="rId125" Type="http://schemas.openxmlformats.org/officeDocument/2006/relationships/image" Target="media/image60.wmf"/><Relationship Id="rId124" Type="http://schemas.openxmlformats.org/officeDocument/2006/relationships/oleObject" Target="embeddings/oleObject60.bin"/><Relationship Id="rId123" Type="http://schemas.openxmlformats.org/officeDocument/2006/relationships/image" Target="media/image59.wmf"/><Relationship Id="rId122" Type="http://schemas.openxmlformats.org/officeDocument/2006/relationships/oleObject" Target="embeddings/oleObject59.bin"/><Relationship Id="rId121" Type="http://schemas.openxmlformats.org/officeDocument/2006/relationships/image" Target="media/image58.wmf"/><Relationship Id="rId120" Type="http://schemas.openxmlformats.org/officeDocument/2006/relationships/oleObject" Target="embeddings/oleObject58.bin"/><Relationship Id="rId12" Type="http://schemas.openxmlformats.org/officeDocument/2006/relationships/oleObject" Target="embeddings/oleObject4.bin"/><Relationship Id="rId119" Type="http://schemas.openxmlformats.org/officeDocument/2006/relationships/image" Target="media/image57.wmf"/><Relationship Id="rId118" Type="http://schemas.openxmlformats.org/officeDocument/2006/relationships/oleObject" Target="embeddings/oleObject57.bin"/><Relationship Id="rId117" Type="http://schemas.openxmlformats.org/officeDocument/2006/relationships/image" Target="media/image56.wmf"/><Relationship Id="rId116" Type="http://schemas.openxmlformats.org/officeDocument/2006/relationships/oleObject" Target="embeddings/oleObject56.bin"/><Relationship Id="rId115" Type="http://schemas.openxmlformats.org/officeDocument/2006/relationships/image" Target="media/image55.wmf"/><Relationship Id="rId114" Type="http://schemas.openxmlformats.org/officeDocument/2006/relationships/oleObject" Target="embeddings/oleObject55.bin"/><Relationship Id="rId113" Type="http://schemas.openxmlformats.org/officeDocument/2006/relationships/image" Target="media/image54.wmf"/><Relationship Id="rId112" Type="http://schemas.openxmlformats.org/officeDocument/2006/relationships/oleObject" Target="embeddings/oleObject54.bin"/><Relationship Id="rId111" Type="http://schemas.openxmlformats.org/officeDocument/2006/relationships/image" Target="media/image53.wmf"/><Relationship Id="rId110" Type="http://schemas.openxmlformats.org/officeDocument/2006/relationships/oleObject" Target="embeddings/oleObject53.bin"/><Relationship Id="rId11" Type="http://schemas.openxmlformats.org/officeDocument/2006/relationships/image" Target="media/image3.wmf"/><Relationship Id="rId109" Type="http://schemas.openxmlformats.org/officeDocument/2006/relationships/image" Target="media/image52.wmf"/><Relationship Id="rId108" Type="http://schemas.openxmlformats.org/officeDocument/2006/relationships/oleObject" Target="embeddings/oleObject52.bin"/><Relationship Id="rId107" Type="http://schemas.openxmlformats.org/officeDocument/2006/relationships/image" Target="media/image51.wmf"/><Relationship Id="rId106" Type="http://schemas.openxmlformats.org/officeDocument/2006/relationships/oleObject" Target="embeddings/oleObject51.bin"/><Relationship Id="rId105" Type="http://schemas.openxmlformats.org/officeDocument/2006/relationships/image" Target="media/image50.wmf"/><Relationship Id="rId104" Type="http://schemas.openxmlformats.org/officeDocument/2006/relationships/oleObject" Target="embeddings/oleObject50.bin"/><Relationship Id="rId103" Type="http://schemas.openxmlformats.org/officeDocument/2006/relationships/image" Target="media/image49.png"/><Relationship Id="rId102" Type="http://schemas.openxmlformats.org/officeDocument/2006/relationships/oleObject" Target="embeddings/oleObject49.bin"/><Relationship Id="rId101" Type="http://schemas.openxmlformats.org/officeDocument/2006/relationships/oleObject" Target="embeddings/oleObject48.bin"/><Relationship Id="rId100" Type="http://schemas.openxmlformats.org/officeDocument/2006/relationships/oleObject" Target="embeddings/oleObject47.bin"/><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A6B26-F05A-42A7-9BAF-0EE8A9AF87A9}">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3163</Words>
  <Characters>10387</Characters>
  <Lines>810</Lines>
  <Paragraphs>228</Paragraphs>
  <TotalTime>46</TotalTime>
  <ScaleCrop>false</ScaleCrop>
  <LinksUpToDate>false</LinksUpToDate>
  <CharactersWithSpaces>11655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2026-06-24T11:09:00Z</dcterms:created>
  <dc:creator>Jichao Zhuang</dc:creator>
  <cp:lastModifiedBy>YANG</cp:lastModifiedBy>
  <dcterms:modified xsi:type="dcterms:W3CDTF">2026-08-06T15:48:01Z</dcterms:modified>
  <cp:revision>101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618327D4AC834860BB6BC7BDEF556129_13</vt:lpwstr>
  </property>
  <property fmtid="{D5CDD505-2E9C-101B-9397-08002B2CF9AE}" pid="4" name="KSOTemplateDocerSaveRecord">
    <vt:lpwstr>eyJoZGlkIjoiNjU5N2IzZmNkOWM3MDhmOTdiZjVkNDNmNzFiMzkyMjIiLCJ1c2VySWQiOiI2Nzg5OTA4ODEifQ==</vt:lpwstr>
  </property>
  <property fmtid="{D5CDD505-2E9C-101B-9397-08002B2CF9AE}" pid="5" name="MTEquationSection">
    <vt:lpwstr>1</vt:lpwstr>
  </property>
  <property fmtid="{D5CDD505-2E9C-101B-9397-08002B2CF9AE}" pid="6" name="MTWinEqns">
    <vt:bool>true</vt:bool>
  </property>
  <property fmtid="{D5CDD505-2E9C-101B-9397-08002B2CF9AE}" pid="7" name="MTEquationNumber2">
    <vt:lpwstr>(#E1)</vt:lpwstr>
  </property>
  <property fmtid="{D5CDD505-2E9C-101B-9397-08002B2CF9AE}" pid="8" name="MTEqnNumsOnRight">
    <vt:bool>true</vt:bool>
  </property>
  <property fmtid="{D5CDD505-2E9C-101B-9397-08002B2CF9AE}" pid="9" name="Mendeley Document_1">
    <vt:lpwstr>True</vt:lpwstr>
  </property>
  <property fmtid="{D5CDD505-2E9C-101B-9397-08002B2CF9AE}" pid="10" name="Mendeley Unique User Id_1">
    <vt:lpwstr>d53173f5-64ed-35c7-bd05-46d48e10e954</vt:lpwstr>
  </property>
  <property fmtid="{D5CDD505-2E9C-101B-9397-08002B2CF9AE}" pid="11" name="Mendeley Citation Style_1">
    <vt:lpwstr>http://www.zotero.org/styles/applied-energy</vt:lpwstr>
  </property>
  <property fmtid="{D5CDD505-2E9C-101B-9397-08002B2CF9AE}" pid="12" name="Mendeley Recent Style Id 0_1">
    <vt:lpwstr>http://www.zotero.org/styles/american-political-science-association</vt:lpwstr>
  </property>
  <property fmtid="{D5CDD505-2E9C-101B-9397-08002B2CF9AE}" pid="13" name="Mendeley Recent Style Name 0_1">
    <vt:lpwstr>APSA Style Manual revised 2018 edition</vt:lpwstr>
  </property>
  <property fmtid="{D5CDD505-2E9C-101B-9397-08002B2CF9AE}" pid="14" name="Mendeley Recent Style Id 1_1">
    <vt:lpwstr>http://www.zotero.org/styles/apa</vt:lpwstr>
  </property>
  <property fmtid="{D5CDD505-2E9C-101B-9397-08002B2CF9AE}" pid="15" name="Mendeley Recent Style Name 1_1">
    <vt:lpwstr>American Psychological Association 7th edition</vt:lpwstr>
  </property>
  <property fmtid="{D5CDD505-2E9C-101B-9397-08002B2CF9AE}" pid="16" name="Mendeley Recent Style Id 2_1">
    <vt:lpwstr>http://www.zotero.org/styles/applied-energy</vt:lpwstr>
  </property>
  <property fmtid="{D5CDD505-2E9C-101B-9397-08002B2CF9AE}" pid="17" name="Mendeley Recent Style Name 2_1">
    <vt:lpwstr>Applied Energy</vt:lpwstr>
  </property>
  <property fmtid="{D5CDD505-2E9C-101B-9397-08002B2CF9AE}" pid="18" name="Mendeley Recent Style Id 3_1">
    <vt:lpwstr>http://www.zotero.org/styles/chicago-author-date</vt:lpwstr>
  </property>
  <property fmtid="{D5CDD505-2E9C-101B-9397-08002B2CF9AE}" pid="19" name="Mendeley Recent Style Name 3_1">
    <vt:lpwstr>Chicago Manual of Style 18th edition (author-date)</vt:lpwstr>
  </property>
  <property fmtid="{D5CDD505-2E9C-101B-9397-08002B2CF9AE}" pid="20" name="Mendeley Recent Style Id 4_1">
    <vt:lpwstr>http://www.zotero.org/styles/harvard-cite-them-right</vt:lpwstr>
  </property>
  <property fmtid="{D5CDD505-2E9C-101B-9397-08002B2CF9AE}" pid="21" name="Mendeley Recent Style Name 4_1">
    <vt:lpwstr>Cite Them Right 12th edition (author-date/Harvard)</vt:lpwstr>
  </property>
  <property fmtid="{D5CDD505-2E9C-101B-9397-08002B2CF9AE}" pid="22" name="Mendeley Recent Style Id 5_1">
    <vt:lpwstr>http://www.zotero.org/styles/elsevier-vancouver</vt:lpwstr>
  </property>
  <property fmtid="{D5CDD505-2E9C-101B-9397-08002B2CF9AE}" pid="23" name="Mendeley Recent Style Name 5_1">
    <vt:lpwstr>Elsevier - NLM/Vancouver (citation-sequence)</vt:lpwstr>
  </property>
  <property fmtid="{D5CDD505-2E9C-101B-9397-08002B2CF9AE}" pid="24" name="Mendeley Recent Style Id 6_1">
    <vt:lpwstr>http://www.zotero.org/styles/ieee</vt:lpwstr>
  </property>
  <property fmtid="{D5CDD505-2E9C-101B-9397-08002B2CF9AE}" pid="25" name="Mendeley Recent Style Name 6_1">
    <vt:lpwstr>IEEE Reference Guide version 11.29.2023</vt:lpwstr>
  </property>
  <property fmtid="{D5CDD505-2E9C-101B-9397-08002B2CF9AE}" pid="26" name="Mendeley Recent Style Id 7_1">
    <vt:lpwstr>http://www.zotero.org/styles/modern-language-association</vt:lpwstr>
  </property>
  <property fmtid="{D5CDD505-2E9C-101B-9397-08002B2CF9AE}" pid="27" name="Mendeley Recent Style Name 7_1">
    <vt:lpwstr>MLA Handbook 9th edition (in-text citations)</vt:lpwstr>
  </property>
  <property fmtid="{D5CDD505-2E9C-101B-9397-08002B2CF9AE}" pid="28" name="Mendeley Recent Style Id 8_1">
    <vt:lpwstr>http://www.zotero.org/styles/modern-humanities-research-association</vt:lpwstr>
  </property>
  <property fmtid="{D5CDD505-2E9C-101B-9397-08002B2CF9AE}" pid="29" name="Mendeley Recent Style Name 8_1">
    <vt:lpwstr>Modern Humanities Research Association 3rd edition (note with bibliography)</vt:lpwstr>
  </property>
  <property fmtid="{D5CDD505-2E9C-101B-9397-08002B2CF9AE}" pid="30" name="Mendeley Recent Style Id 9_1">
    <vt:lpwstr>http://www.zotero.org/styles/nature</vt:lpwstr>
  </property>
  <property fmtid="{D5CDD505-2E9C-101B-9397-08002B2CF9AE}" pid="31" name="Mendeley Recent Style Name 9_1">
    <vt:lpwstr>Nature</vt:lpwstr>
  </property>
</Properties>
</file>