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PROGRAMMA KLANT IN BEELD · HOOFDPROJECT 30626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3366"/>
          <w:sz w:val="40"/>
          <w:szCs w:val="40"/>
        </w:rPr>
        <w:t xml:space="preserve">Toelichting projectbegroting 2027</w:t>
      </w:r>
    </w:p>
    <w:p>
      <w:pPr>
        <w:spacing w:after="160" w:line="276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Klant in zicht · projectnummer 30626-0003 · begrotingsjaar 2027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Projectleider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Opdrachtgever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Controller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Scenario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Datum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Pim de Burger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Roel Bakker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George Pavel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Plus20 (5 jaar)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11 augustus 2026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left w:val="single" w:color="003366" w:sz="12" w:space="4"/>
        </w:pBdr>
        <w:shd w:fill="E8EDF3" w:val="clear"/>
        <w:spacing w:after="160" w:line="276"/>
        <w:ind w:left="120" w:right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Kern: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 begroting 2027 omvat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€ 301.500 out-of-pocket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(externe kosten, gelijk aan het Plus20-jaarbedrag) en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3.484 interne uren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(€ 261.316 tegen Cito-kostprijstarieven). Alle waarden zijn één-op-één herleid uit de actuele programmadata — niets is handmatig overgetypt of geschat.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3366"/>
        </w:rPr>
        <w:t xml:space="preserve">1. Uitgangspunt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Deze begroting is de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jaarschijf 2027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van het programma Klant in Beeld, volgens het gekozen 20%-scenario ("Plus20": het geadviseerde vijfjarige middenscenario met een jaarbudget 20% boven het huidige plafond — totaal € 1.459.500 externe kosten over 2026–2030). Van dat programma is hier uitsluitend het jaar 2027 opgenomen: € 301.500 externe kosten en 3.484 interne uren. Het jaarbedrag ligt € 1.500 (0,5%) boven het richtbedrag van € 300.000; dat valt binnen de afrondingstolerantie van het scenario.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Alle waarden zijn één-op-één herleid uit de actuele programmadata (extract d.d. 11-08-2026 van de live sessie, laatst gewijzigd 9 juli 2026; lokale kopie: BRON-LIVE-SESSIE-STAP4-2026-08-11.json). Tarieven en bedragen zijn onderbouwd met marktbenchmarks (o.a. Berenschot, Microsoft Pricing, Gartner).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3366"/>
        </w:rPr>
        <w:t xml:space="preserve">2. Out-of-pocket per kostenpost — € 301.500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Cel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Kostenpost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Bedrag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Herkomst (Plus20, jaar 2027)</w:t>
            </w:r>
          </w:p>
        </w:tc>
      </w:tr>
      <w:tr>
        <w:tc>
          <w:tcPr>
            <w:tcW w:type="pct" w:w="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D67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350 — ICT hardware en software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€ 62.500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CRM: Dynamics 365-licenties 85 gebruikers</w:t>
            </w:r>
          </w:p>
        </w:tc>
      </w:tr>
      <w:tr>
        <w:tc>
          <w:tcPr>
            <w:tcW w:type="pct" w:w="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D68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410 — Advies en Consultant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€ 65.000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Leiderschap € 30.000 + processen € 28.000 + onvoorzien € 7.000</w:t>
            </w:r>
          </w:p>
        </w:tc>
      </w:tr>
      <w:tr>
        <w:tc>
          <w:tcPr>
            <w:tcW w:type="pct" w:w="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D75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543 — ICT diensten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€ 134.500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CRM: implementatiepartner + beheer (€ 197.000 − licenties)</w:t>
            </w:r>
          </w:p>
        </w:tc>
      </w:tr>
      <w:tr>
        <w:tc>
          <w:tcPr>
            <w:tcW w:type="pct" w:w="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D85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586 — Trainers/Docenten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€ 39.500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Gespreksvaardigheidstraining, eerste blok</w:t>
            </w:r>
          </w:p>
        </w:tc>
      </w:tr>
      <w:tr>
        <w:tc>
          <w:tcPr>
            <w:tcW w:type="pct" w:w="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D98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843 — Omzet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€ 0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Kostenproject; geen omzet begroot</w:t>
            </w:r>
          </w:p>
        </w:tc>
      </w:tr>
      <w:tr>
        <w:tc>
          <w:tcPr>
            <w:tcW w:type="pct" w:w="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Totaal onkosten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€ 301.500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= Plus20-jaarbedrag 2027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Waarom deze categorieën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350 — ICT hardware en software (€ 62.500):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het CRM-jaarbedrag 2027 (€ 197.000, fase Realisatie &amp; integraties) bevat vanaf jaar 2 de structurele licentiecomponent: MS Dynamics 365 Pro-licenties voor 85 gebruikers, € 50.000–75.000/jaar met middenwaarde € 62.500 (geverifieerd tegen Microsoft Pricing 2025). Licenties zijn softwarekosten en horen op post 350.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543 — ICT diensten (€ 134.500):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het restant van het CRM-jaarbedrag: de externe implementatiepartner bouwt datamodel en koppelingen, realiseert de eerste bronsysteemintegraties (4 van 7–8), migreert data en richt de sectoren PO en VO in; daarnaast beheer en doorontwikkeling. Ingekochte ICT-dienstverlening → post 543.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410 — Advies en Consultant (€ 65.000):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leiderschapsprogramma outside-in € 30.000 (externe begeleider, coaching 9 leidinggevenden, leerkringen), uniforme klantinformatieprocessen € 28.000 (externe procesbegeleiding, werksessies, pilots in Smartprocess — de bestaande procestool) en de programma-brede post onvoorzien € 7.000. Het sjabloon kent geen aparte post onvoorzien; de buffer staat bij 410 omdat de belangrijkste risico’s in de externe advies-/implementatiesfeer liggen. Bij vrijval valt dit bedrag terug aan het programmabudget.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586 — Trainers/Docenten (€ 39.500):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eerste trainingsblok gespreksvaardigheid van drie maanden: externe trainers (kerntraject dagtarief € 2.500), gedragsgerichte coaching en praktijkopdrachten met echte klantcases per sector.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843 — Omzet (€ 0):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kostenproject (projectgroep Kosten, kostenplaats 7040); er wordt geen omzet op dit project begroot. De marge-regel toont daardoor #DIV/0! — inherent aan een kostenproject, geen fout.</w:t>
      </w:r>
    </w:p>
    <w:p>
      <w:pPr>
        <w:spacing w:after="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left w:val="single" w:color="003366" w:sz="12" w:space="4"/>
        </w:pBdr>
        <w:shd w:fill="E8EDF3" w:val="clear"/>
        <w:spacing w:after="160" w:line="276"/>
        <w:ind w:left="120" w:right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Disclaimer 3sides: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 inzet van 3sides is verdisconteerd in de posten 410 én 543. Als strategische- en executiepartner levert 3sides zowel advies en begeleiding (410: leiderschaps- en procescomponenten) als uitvoerend werk op data &amp; systemen binnen de CRM-realisatie (543, naast de technische implementatiepartner). De precieze verdeling over beide posten volgt uit de 3sides-urenraming 2027 (6 maanden, uren aanpasbaar op basis van de 2026-ervaring); de totaalbedragen per post wijzigen daardoor niet.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3366"/>
        </w:rPr>
        <w:t xml:space="preserve">3. Interne uren — 3.484 uur eigen medewerkers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Van programmafunctie naar Cito-rolcode</w:t>
      </w:r>
    </w:p>
    <w:p>
      <w:p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 urenraming van het programma is opgebouwd per functie (bijvoorbeeld accountmanager C, klantenservice C, sectormanager PO) per domein. Het Cito-sjabloon kent 24 rolcodes; elke functie is volgens vier vaste regels aan één rolcode toegewezen: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1. Uitvoerende functies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→ hun directe Cito-code (accountmanager → AM € 81/u, trainer → TRA € 87/u, productmanager → PDM € 95/u, productowner → PDO € 87/u).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2. Klantenservice- en binnendienstfuncties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→ MCB (Medewerker Commerciële Binnendienst, € 56/u) — er is geen aparte klantenservice-code; MCB is hetzelfde klantcontact-cluster.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 Alle leidinggevende functies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(sectormanagers, directeur, managers, teamleiders én de vier inspanningsleiders) → PJM (Projectmanager), tegen het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PJM-tarief van € 90/u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Dit is het Cito-tarief dat het dichtst ligt bij wat het programma voor leidinggevenden rekende (€ 82/u).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4. HR-functies: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curriculum-/opleidingswerk → TRA (€ 87/u); HRM-instrumentarium zoals 360°-feedback en functioneringscyclus → PRO (procesconsultant, € 56/u).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Resultaat per rolregel in de begroting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Code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Tarief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Uren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Bedrag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Bronrollen (uren 2027)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 — Accountmanager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€ 81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378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€ 30.618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accountmanagers a (24) · b (24) · c (168) · c prof (120) · trainee prof (42)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CM — Campagne Marketeer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€ 80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€ 1.440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campagne marketeers a/b (12) · junior marketeer prof (6)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MCB — Mdw Comm. Binnendienst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€ 56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1.050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€ 58.800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klantenservice a/b/c (720, waarvan c: 28 pers × 24 u = 672) · binnendienst (330)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PDO — Productowner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€ 87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46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€ 4.002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 Owner van de systemen — kernteamlid CRM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 — Procesondersteuner/-consultant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€ 56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348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€ 19.488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procesmanager data (101) · procesondersteuners PO/VO/Prof (165) · HR-instrumentarium cultuur (82)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 — Trainer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€ 87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498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€ 43.326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trainers/adviseurs 12 pers (456: 288 training + 168 CRM-adoptie) · HR-curriculum (42)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PDM — Productmanager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€ 95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113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€ 10.735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productmanagers DST/KIB/KLT/LIB/NT2/CVVO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IA — Businessanalist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€ 69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€ 207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business info analist (geconsulteerd)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PJM — Projectmanager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€ 90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1.030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€ 92.700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projectmanager d (101) · 4 inspanningsleiders (380) · sectormanagers PO/VO/Prof (300) · manager D&amp;T (44) · manager klantcontact (90) · directeur BV (41) · teamleiders (71) · commercieel manager (3)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Totaal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3.484</w:t>
            </w:r>
          </w:p>
        </w:tc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€ 261.316</w:t>
            </w:r>
          </w:p>
        </w:tc>
        <w:tc>
          <w:tcPr>
            <w:tcW w:type="pct" w:w="49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left w:val="single" w:color="003366" w:sz="12" w:space="4"/>
        </w:pBdr>
        <w:shd w:fill="E8EDF3" w:val="clear"/>
        <w:spacing w:after="160" w:line="276"/>
        <w:ind w:left="120" w:right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Leeswaarschuwing: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MCB (1.050 u) en PJM (1.030 u) zijn optellingen van meerdere functies — MCB bundelt 8 klantenservice- en binnendienstfuncties, PJM bundelt 15 leidinggevende functies (sectormanagers, teamleiders, directeur, inspanningsleiders). Het zijn dus geen twee individuele medewerkers met een extreem urenbeslag; de opbouw staat gegroepeerd in de tabel hierboven en is per functie reproduceerbaar uit het bronbestand. Inleen (F55–F65) is bewust leeg: alle externe inzet is als out-of-pocket geraamd en staat op de onkostenposten.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Waarom 3.484 uur — 2027 is het bewuste piekjaar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43% van alle programma-uren valt in 2027.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Het vijfjarige scenario kent 8.166 uur; 2026 is aanloop (330 u), 2027 en 2028 zijn de uitvoeringsjaren, daarna zakt het sterk terug. In 2027 vallen twee zware sporen samen: het eerste trainingsblok én het CRM-realisatiejaar.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Mens: 1.896 uur (54%) — déélnemersuren, geen projectteam.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Het trainingsblok (24 u per cursist) draait breed door de organisatie; grootste post is klantenservice: 28 medewerkers × 24 u = 672 u. Daarnaast accountmanagers, binnendienst en 456 u trainer-inzet (train-de-trainer met 12 interne adviseurs).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Data &amp; Systemen: 742 uur (21%) — CRM-realisatiejaar.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Interne begeleiding van bouw en integraties, datamigratie-controle, sectorinrichting PO/VO en reviews naast de externe implementatiepartner.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Cultuur: 464 uur + Processen: 382 uur.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Leiderschapsprogramma (9 leidinggevenden × ± 41 u deelname) plus HR-instrumentarium, en de werkgroep procesherontwerp met pilots per sector.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Per persoon blijft de belasting beperkt: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 uren zijn verspreid over ± 65 functies door grote delen van de organisatie. Voor de meeste betrokkenen gaat het om trainingsdeelname (24 u per jaar) of korte consultatie (3–14 u); kernteamleden zitten op 40–55 u en de grootste individuele posten liggen rond de 100 u (project- en procesmanagement, sectormanagers, inspanningsleiders — ± 0,05 fte).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Ten opzichte van de basis-urenruimte die het scenario hanteert (540 u/jaar)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gaat 2027 er met +2.944 uur bewust overheen: dit is de geplande programmapiek, gedragen vanuit de reguliere personeelsbegroting en hier apart inzichtelijk gemaakt — niet dubbel begroot.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3366"/>
        </w:rPr>
        <w:t xml:space="preserve">Tariefverschil programma-raming vs. Cito-sjabloon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 programma-raming waardeert de 2027-uren tegen een geïndexeerd vlak tarief (€ 77/u; leidinggevenden € 82/u):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€ 266.985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Het Cito-sjabloon rekent met kostprijstarieven per rol uit boekjaar 2026 (sjabloonbereik € 46–95/u; in deze begroting gebruikte codes € 56–95/u):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€ 261.316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Verschil −€ 5.669 (−2,1%): het grootste urenblok (klantenservice/binnendienst, € 56/u) kost werkelijk minder dan het vlakke programmatarief; de duurdere rollen compenseren dat grotendeels. Het urenaantal (3.484) is in beide gelijk — alleen de waardering verschilt. Zodra de tariefkaart boekjaar 2027 is geladen en de tariefjaar-cel wordt bijgezet, herrekent de begroting automatisch naar 2027-tarieven (bij ± 5% indexatie → ± € 274.000).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3366"/>
        </w:rPr>
        <w:t xml:space="preserve">4. Bewust niet ingevuld en openstaande punten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Onderdeel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Status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Reden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Tariefjaar (K1)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01-01-2026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Boekjaar 2027 ontbreekt nog in de tarieven-referentietabel; nu wijzigen zet alle tarieven op 0. Bijzetten zodra de 2027-tariefkaart geladen is — bedragen schalen automatisch mee.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Maandverdeling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Standaard 1/12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Het programmamodel bevat geen maandfasering; gelijkmatige spreiding is de neutrale keuze.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Kostendrager / variant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Leeg — te bepalen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Vorige jaarschijven hebben deze ook niet; keuze voor de controller.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Inleen medewerkers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Leeg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Externe inzet is als out-of-pocket geraamd (zie § 2).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Overige onkostenposten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Niet geraamd in het scenario → niet ingevuld (niets verzonnen).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Openstaande punten voor de controller: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Tariefkaart boekjaar 2027 laden en K1 bijzetten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grootste openstaande actualisatie; een 2027-begroting hoort tegen 2027-tarieven.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Tabblad Stamgegevens bevat drie verouderde hardgecodeerde persnummers (vertaling PL/controller/verkoper) — bewust niet aangepast; administratie-eigenaarschap ligt bij control.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Controlecel F108 staat op −1: bestaande sjabloonafwijking (omzetregel telt niet mee in het aantal-totaal), aanwezig vóór het invullen.</w:t>
      </w:r>
    </w:p>
    <w:p>
      <w:pPr>
        <w:spacing w:after="60" w:line="276"/>
        <w:ind w:left="340" w:hanging="200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3sides-urenraming 2027 nog te ontvangen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de verdeling van de 3sides-inzet over de posten 410 en 543 daarop afstemmen (zie disclaimer in hoofdstuk 2).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3366"/>
        </w:rPr>
        <w:t xml:space="preserve">5. Controlecijfers na invullen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Controle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9"/>
                <w:szCs w:val="19"/>
              </w:rPr>
              <w:t xml:space="preserve">Waarde</w:t>
            </w:r>
          </w:p>
        </w:tc>
      </w:tr>
      <w:tr>
        <w:tc>
          <w:tcPr>
            <w:tcW w:type="pct" w:w="5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Eigen medewerkers (E100)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€ 261.316</w:t>
            </w:r>
          </w:p>
        </w:tc>
      </w:tr>
      <w:tr>
        <w:tc>
          <w:tcPr>
            <w:tcW w:type="pct" w:w="5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Inleen (E101)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€ 0</w:t>
            </w:r>
          </w:p>
        </w:tc>
      </w:tr>
      <w:tr>
        <w:tc>
          <w:tcPr>
            <w:tcW w:type="pct" w:w="5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Onkosten (E102)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€ 301.500  (= Plus20-jaarbedrag 2027, exact)</w:t>
            </w:r>
          </w:p>
        </w:tc>
      </w:tr>
      <w:tr>
        <w:tc>
          <w:tcPr>
            <w:tcW w:type="pct" w:w="5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Omzet (E103)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€ 0</w:t>
            </w:r>
          </w:p>
        </w:tc>
      </w:tr>
      <w:tr>
        <w:tc>
          <w:tcPr>
            <w:tcW w:type="pct" w:w="5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Projectresultaat (E104)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−€ 562.816  (kostenproject)</w:t>
            </w:r>
          </w:p>
        </w:tc>
      </w:tr>
      <w:tr>
        <w:tc>
          <w:tcPr>
            <w:tcW w:type="pct" w:w="5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Som uren F31:F54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3.484  (= live jaartotaal 2027, exact)</w:t>
            </w:r>
          </w:p>
        </w:tc>
      </w:tr>
      <w:tr>
        <w:tc>
          <w:tcPr>
            <w:tcW w:type="pct" w:w="5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Controles (E108, S-kolom, maandcellen)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Alle sluitend ✓</w:t>
            </w:r>
          </w:p>
        </w:tc>
      </w:tr>
      <w:tr>
        <w:tc>
          <w:tcPr>
            <w:tcW w:type="pct" w:w="5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Bestandsintegriteit (Power Query, opmerkingen)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Intact ✓</w:t>
            </w:r>
          </w:p>
        </w:tc>
      </w:tr>
    </w:tbl>
    <w:p>
      <w:pPr>
        <w:spacing w:after="0" w:line="276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Origineel leeg sjabloon bewaard als “… - origineel leeg.xlsx”. Brondata: BRON-LIVE-SESSIE-STAP4-2026-08-11.json (extract live sessie). Volledige bronverwijzingen: ONDERBOUWING-BEGROTING-2027.md.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2026-08-11T07:45:03.604Z</dcterms:created>
  <dcterms:modified xsi:type="dcterms:W3CDTF">2026-08-11T07:45:03.608Z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