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PROGRAMMA KLANT IN BEELD · INTERN · T.B.V. RVB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3366"/>
          <w:sz w:val="40"/>
          <w:szCs w:val="40"/>
        </w:rPr>
        <w:t xml:space="preserve">Verantwoording projectbegroting 2027</w:t>
      </w:r>
    </w:p>
    <w:p>
      <w:pPr>
        <w:spacing w:after="200" w:line="276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Klant in zicht (30626-0003) · 11 augustus 2026 · Pim de Burger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Met het programma Klant in Beeld maakt Cito BV de beweging van reactief leverancier naar proactieve strategische partner, waarbij outside-in — wat klanten werkelijk nodig hebben — leidend wordt voor denken en handelen. De begroting 2027 is de tweede jaarschijf van het gekozen vijfjarige middenscenario (totaal € 1.459.500, jaarplafond € 300.000), dat bewust kiest voor gefaseerde CRM-bouw en een beheersbare jaarlast.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2027 is het realisatiejaar. De externe implementatiepartner bouwt het cross-sectorale CRM-klantdashboard met de eerste bronsysteemintegraties en datamigratie (€ 197.000), het eerste trainingsblok gespreksvaardigheid voor ± 80 medewerkers gaat van start (€ 39.500) en de verankering van leiderschap en uniforme klantprocessen loopt door (€ 58.000, plus € 7.000 onvoorzien). Totaal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€ 301.500 out-of-pocket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conform het jaarplafond. Alle bedragen zijn herleidbaar naar marktbenchmarks (o.a. Berenschot-adviestarieven, Microsoft-licentieprijzen, Gartner CRM-urennormen).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Daarnaast vraagt 2027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± 3.500 interne uren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(≈ € 261.000 tegen 2026-kostprijstarieven; herrekening naar 2027-tarieven volgt zodra de tariefkaart is geladen), apart inzichtelijk gemaakt en gedragen vanuit de reguliere personeelsbegroting. Dit is de bewust geplande programmapiek: brede trainingsdeelname door de organisatie en de CRM-realisatie vallen in hetzelfde jaar. Voor de meeste betrokkenen blijft de belasting beperkt tot de trainingsdeelname (24 uur op jaarbasis) of korte consultatie; leidinggevende en kernteamrollen lopen op tot ± 100 uur.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Mijlpaal eind 2027: alle sectoren werken actief met het nieuwe klantbeeld en het programma draait zelfstandig in de lijnorganisatie. Openstaand met control: kostendrager/variant, actualisatie stamgegevens en het laden van de tariefkaart 2027.</w:t>
      </w:r>
    </w:p>
    <w:p>
      <w:pPr>
        <w:spacing w:after="0" w:line="276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Volledige onderbouwing en bronverwijzingen: Toelichting projectbegroting 2027 (bijlage).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2026-08-11T07:45:03.610Z</dcterms:created>
  <dcterms:modified xsi:type="dcterms:W3CDTF">2026-08-11T07:45:03.610Z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