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ACAB9" w14:textId="77777777" w:rsidR="00404735" w:rsidRDefault="00000000" is_subsub="false" is_formula="false" orig_style="Normal">
      <w:bookmarkStart w:id="101" w:name="_Toc100"/>
      <w:pPr>
        <w:pStyle w:val="Heading1"/>
        <w:pageBreakBefore/>
        <w:spacing w:after="240" w:line="276" w:lineRule="auto" w:before="480"/>
        <w:ind w:left="0" w:right="0" w:firstLine="0"/>
        <w:jc w:val="center"/>
        <w:outlineLvl w:val="0"/>
      </w:pPr>
      <w:r>
        <w:rPr>
          <w:rFonts w:ascii="Times New Roman" w:hAnsi="Times New Roman"/>
          <w:b/>
          <w:i w:val="0"/>
          <w:color w:val="000000"/>
          <w:sz w:val="28"/>
        </w:rPr>
        <w:t>DAFTAR ISI</w:t>
      </w:r>
      <w:bookmarkEnd w:id="101"/>
    </w:p>
    <w:p>
      <w:pPr>
        <w:spacing w:line="276" w:lineRule="auto" w:before="40" w:after="40"/>
        <w:ind w:left="0" w:right="0" w:firstLine="0"/>
        <w:jc w:val="left"/>
        <w:tabs>
          <w:tab w:val="right" w:leader="dot" w:pos="7937"/>
        </w:tabs>
      </w:pPr>
      <w:r>
        <w:rPr>
          <w:rFonts w:ascii="Times New Roman" w:hAnsi="Times New Roman"/>
          <w:b w:val="0"/>
          <w:color w:val="000000"/>
          <w:sz w:val="24"/>
        </w:rPr>
        <w:t>DAFTAR ISI</w:t>
      </w:r>
      <w:r>
        <w:tab/>
      </w:r>
      <w:r>
        <w:rPr>
          <w:rFonts w:ascii="Times New Roman" w:hAnsi="Times New Roman"/>
          <w:b w:val="0"/>
          <w:color w:val="000000"/>
          <w:sz w:val="24"/>
        </w:rPr>
        <w:t>i</w:t>
      </w:r>
    </w:p>
    <w:p>
      <w:pPr>
        <w:spacing w:line="276" w:lineRule="auto" w:before="40" w:after="40"/>
        <w:ind w:left="0" w:right="0" w:firstLine="0"/>
        <w:jc w:val="left"/>
        <w:tabs>
          <w:tab w:val="right" w:leader="dot" w:pos="7937"/>
        </w:tabs>
      </w:pPr>
      <w:r>
        <w:rPr>
          <w:rFonts w:ascii="Times New Roman" w:hAnsi="Times New Roman"/>
          <w:b w:val="0"/>
          <w:color w:val="000000"/>
          <w:sz w:val="24"/>
        </w:rPr>
        <w:t>DAFTAR TABEL</w:t>
      </w:r>
      <w:r>
        <w:tab/>
      </w:r>
      <w:r>
        <w:rPr>
          <w:rFonts w:ascii="Times New Roman" w:hAnsi="Times New Roman"/>
          <w:b w:val="0"/>
          <w:color w:val="000000"/>
          <w:sz w:val="24"/>
        </w:rPr>
        <w:t>ii</w:t>
      </w:r>
    </w:p>
    <w:p>
      <w:pPr>
        <w:spacing w:line="276" w:lineRule="auto" w:before="40" w:after="40"/>
        <w:ind w:left="0" w:right="0" w:firstLine="0"/>
        <w:jc w:val="left"/>
        <w:tabs>
          <w:tab w:val="right" w:leader="dot" w:pos="7937"/>
        </w:tabs>
      </w:pPr>
      <w:r>
        <w:rPr>
          <w:rFonts w:ascii="Times New Roman" w:hAnsi="Times New Roman"/>
          <w:b w:val="0"/>
          <w:color w:val="000000"/>
          <w:sz w:val="24"/>
        </w:rPr>
        <w:t>DAFTAR GAMBAR</w:t>
      </w:r>
      <w:r>
        <w:tab/>
      </w:r>
      <w:r>
        <w:rPr>
          <w:rFonts w:ascii="Times New Roman" w:hAnsi="Times New Roman"/>
          <w:b w:val="0"/>
          <w:color w:val="000000"/>
          <w:sz w:val="24"/>
        </w:rPr>
        <w:t>iii</w:t>
      </w:r>
    </w:p>
    <w:p>
      <w:pPr>
        <w:spacing w:line="276" w:lineRule="auto" w:before="40" w:after="40"/>
        <w:ind w:left="0" w:right="0" w:firstLine="0"/>
        <w:jc w:val="left"/>
        <w:tabs>
          <w:tab w:val="right" w:leader="dot" w:pos="7937"/>
        </w:tabs>
      </w:pPr>
      <w:r>
        <w:rPr>
          <w:rFonts w:ascii="Times New Roman" w:hAnsi="Times New Roman"/>
          <w:b w:val="0"/>
          <w:color w:val="000000"/>
          <w:sz w:val="24"/>
        </w:rPr>
        <w:t>BAB 1 PENDAHULUAN</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1.1 Latar Belakang</w:t>
      </w:r>
      <w:r>
        <w:tab/>
      </w:r>
      <w:r>
        <w:rPr>
          <w:rFonts w:ascii="Times New Roman" w:hAnsi="Times New Roman"/>
          <w:b w:val="0"/>
          <w:color w:val="000000"/>
          <w:sz w:val="24"/>
        </w:rPr>
        <w:t>1</w:t>
      </w:r>
    </w:p>
    <w:p>
      <w:pPr>
        <w:spacing w:line="276" w:lineRule="auto" w:before="40" w:after="40"/>
        <w:ind w:left="283" w:right="0" w:firstLine="0"/>
        <w:jc w:val="left"/>
        <w:tabs>
          <w:tab w:val="right" w:leader="dot" w:pos="7937"/>
        </w:tabs>
      </w:pPr>
      <w:r>
        <w:rPr>
          <w:rFonts w:ascii="Times New Roman" w:hAnsi="Times New Roman"/>
          <w:b w:val="0"/>
          <w:color w:val="000000"/>
          <w:sz w:val="24"/>
        </w:rPr>
        <w:t>1.2 Perumusan Masalah</w:t>
      </w:r>
      <w:r>
        <w:tab/>
      </w:r>
      <w:r>
        <w:rPr>
          <w:rFonts w:ascii="Times New Roman" w:hAnsi="Times New Roman"/>
          <w:b w:val="0"/>
          <w:color w:val="000000"/>
          <w:sz w:val="24"/>
        </w:rPr>
        <w:t>6</w:t>
      </w:r>
    </w:p>
    <w:p>
      <w:pPr>
        <w:spacing w:line="276" w:lineRule="auto" w:before="40" w:after="40"/>
        <w:ind w:left="283" w:right="0" w:firstLine="0"/>
        <w:jc w:val="left"/>
        <w:tabs>
          <w:tab w:val="right" w:leader="dot" w:pos="7937"/>
        </w:tabs>
      </w:pPr>
      <w:r>
        <w:rPr>
          <w:rFonts w:ascii="Times New Roman" w:hAnsi="Times New Roman"/>
          <w:b w:val="0"/>
          <w:color w:val="000000"/>
          <w:sz w:val="24"/>
        </w:rPr>
        <w:t>1.3 Tujuan Penelitian</w:t>
      </w:r>
      <w:r>
        <w:tab/>
      </w:r>
      <w:r>
        <w:rPr>
          <w:rFonts w:ascii="Times New Roman" w:hAnsi="Times New Roman"/>
          <w:b w:val="0"/>
          <w:color w:val="000000"/>
          <w:sz w:val="24"/>
        </w:rPr>
        <w:t>7</w:t>
      </w:r>
    </w:p>
    <w:p>
      <w:pPr>
        <w:spacing w:line="276" w:lineRule="auto" w:before="40" w:after="40"/>
        <w:ind w:left="283" w:right="0" w:firstLine="0"/>
        <w:jc w:val="left"/>
        <w:tabs>
          <w:tab w:val="right" w:leader="dot" w:pos="7937"/>
        </w:tabs>
      </w:pPr>
      <w:r>
        <w:rPr>
          <w:rFonts w:ascii="Times New Roman" w:hAnsi="Times New Roman"/>
          <w:b w:val="0"/>
          <w:color w:val="000000"/>
          <w:sz w:val="24"/>
        </w:rPr>
        <w:t>1.4 Kontribusi Penelitian</w:t>
      </w:r>
      <w:r>
        <w:tab/>
      </w:r>
      <w:r>
        <w:rPr>
          <w:rFonts w:ascii="Times New Roman" w:hAnsi="Times New Roman"/>
          <w:b w:val="0"/>
          <w:color w:val="000000"/>
          <w:sz w:val="24"/>
        </w:rPr>
        <w:t>7</w:t>
      </w:r>
    </w:p>
    <w:p>
      <w:pPr>
        <w:spacing w:line="276" w:lineRule="auto" w:before="40" w:after="40"/>
        <w:ind w:left="0" w:right="0" w:firstLine="0"/>
        <w:jc w:val="left"/>
        <w:tabs>
          <w:tab w:val="right" w:leader="dot" w:pos="7937"/>
        </w:tabs>
      </w:pPr>
      <w:r>
        <w:rPr>
          <w:rFonts w:ascii="Times New Roman" w:hAnsi="Times New Roman"/>
          <w:b w:val="0"/>
          <w:color w:val="000000"/>
          <w:sz w:val="24"/>
        </w:rPr>
        <w:t>BAB 2 KAJIAN PUSTAKA, RERANGKA PEMIKIRAN, DAN HIPOTESIS</w:t>
      </w:r>
      <w:r>
        <w:tab/>
      </w:r>
      <w:r>
        <w:rPr>
          <w:rFonts w:ascii="Times New Roman" w:hAnsi="Times New Roman"/>
          <w:b w:val="0"/>
          <w:color w:val="000000"/>
          <w:sz w:val="24"/>
        </w:rPr>
        <w:t>9</w:t>
      </w:r>
    </w:p>
    <w:p>
      <w:pPr>
        <w:spacing w:line="276" w:lineRule="auto" w:before="40" w:after="40"/>
        <w:ind w:left="283" w:right="0" w:firstLine="0"/>
        <w:jc w:val="left"/>
        <w:tabs>
          <w:tab w:val="right" w:leader="dot" w:pos="7937"/>
        </w:tabs>
      </w:pPr>
      <w:r>
        <w:rPr>
          <w:rFonts w:ascii="Times New Roman" w:hAnsi="Times New Roman"/>
          <w:b w:val="0"/>
          <w:color w:val="000000"/>
          <w:sz w:val="24"/>
        </w:rPr>
        <w:t>2.1 Kajian Pustaka</w:t>
      </w:r>
      <w:r>
        <w:tab/>
      </w:r>
      <w:r>
        <w:rPr>
          <w:rFonts w:ascii="Times New Roman" w:hAnsi="Times New Roman"/>
          <w:b w:val="0"/>
          <w:color w:val="000000"/>
          <w:sz w:val="24"/>
        </w:rPr>
        <w:t>9</w:t>
      </w:r>
    </w:p>
    <w:p>
      <w:pPr>
        <w:spacing w:line="276" w:lineRule="auto" w:before="40" w:after="40"/>
        <w:ind w:left="567" w:right="0" w:firstLine="0"/>
        <w:jc w:val="left"/>
        <w:tabs>
          <w:tab w:val="right" w:leader="dot" w:pos="7937"/>
        </w:tabs>
      </w:pPr>
      <w:r>
        <w:rPr>
          <w:rFonts w:ascii="Times New Roman" w:hAnsi="Times New Roman"/>
          <w:b w:val="0"/>
          <w:color w:val="000000"/>
          <w:sz w:val="24"/>
        </w:rPr>
        <w:t>2.1.1 Theory Of Planned Behavior</w:t>
      </w:r>
      <w:r>
        <w:tab/>
      </w:r>
      <w:r>
        <w:rPr>
          <w:rFonts w:ascii="Times New Roman" w:hAnsi="Times New Roman"/>
          <w:b w:val="0"/>
          <w:color w:val="000000"/>
          <w:sz w:val="24"/>
        </w:rPr>
        <w:t>9</w:t>
      </w:r>
    </w:p>
    <w:p>
      <w:pPr>
        <w:spacing w:line="276" w:lineRule="auto" w:before="40" w:after="40"/>
        <w:ind w:left="567" w:right="0" w:firstLine="0"/>
        <w:jc w:val="left"/>
        <w:tabs>
          <w:tab w:val="right" w:leader="dot" w:pos="7937"/>
        </w:tabs>
      </w:pPr>
      <w:r>
        <w:rPr>
          <w:rFonts w:ascii="Times New Roman" w:hAnsi="Times New Roman"/>
          <w:b w:val="0"/>
          <w:color w:val="000000"/>
          <w:sz w:val="24"/>
        </w:rPr>
        <w:t>2.1.2 Slippery Slope Framework</w:t>
      </w:r>
      <w:r>
        <w:tab/>
      </w:r>
      <w:r>
        <w:rPr>
          <w:rFonts w:ascii="Times New Roman" w:hAnsi="Times New Roman"/>
          <w:b w:val="0"/>
          <w:color w:val="000000"/>
          <w:sz w:val="24"/>
        </w:rPr>
        <w:t>9</w:t>
      </w:r>
    </w:p>
    <w:p>
      <w:pPr>
        <w:spacing w:line="276" w:lineRule="auto" w:before="40" w:after="40"/>
        <w:ind w:left="567" w:right="0" w:firstLine="0"/>
        <w:jc w:val="left"/>
        <w:tabs>
          <w:tab w:val="right" w:leader="dot" w:pos="7937"/>
        </w:tabs>
      </w:pPr>
      <w:r>
        <w:rPr>
          <w:rFonts w:ascii="Times New Roman" w:hAnsi="Times New Roman"/>
          <w:b w:val="0"/>
          <w:color w:val="000000"/>
          <w:sz w:val="24"/>
        </w:rPr>
        <w:t>2.1.3 Kepatuhan Wajib Pajak</w:t>
      </w:r>
      <w:r>
        <w:tab/>
      </w:r>
      <w:r>
        <w:rPr>
          <w:rFonts w:ascii="Times New Roman" w:hAnsi="Times New Roman"/>
          <w:b w:val="0"/>
          <w:color w:val="000000"/>
          <w:sz w:val="24"/>
        </w:rPr>
        <w:t>10</w:t>
      </w:r>
    </w:p>
    <w:p>
      <w:pPr>
        <w:spacing w:line="276" w:lineRule="auto" w:before="40" w:after="40"/>
        <w:ind w:left="567" w:right="0" w:firstLine="0"/>
        <w:jc w:val="left"/>
        <w:tabs>
          <w:tab w:val="right" w:leader="dot" w:pos="7937"/>
        </w:tabs>
      </w:pPr>
      <w:r>
        <w:rPr>
          <w:rFonts w:ascii="Times New Roman" w:hAnsi="Times New Roman"/>
          <w:b w:val="0"/>
          <w:color w:val="000000"/>
          <w:sz w:val="24"/>
        </w:rPr>
        <w:t>2.1.4 Pajak Bumi dan Bangunan Perdesaan dan Perkotaan (pbb-P2)</w:t>
      </w:r>
      <w:r>
        <w:tab/>
      </w:r>
      <w:r>
        <w:rPr>
          <w:rFonts w:ascii="Times New Roman" w:hAnsi="Times New Roman"/>
          <w:b w:val="0"/>
          <w:color w:val="000000"/>
          <w:sz w:val="24"/>
        </w:rPr>
        <w:t>11</w:t>
      </w:r>
    </w:p>
    <w:p>
      <w:pPr>
        <w:spacing w:line="276" w:lineRule="auto" w:before="40" w:after="40"/>
        <w:ind w:left="567" w:right="0" w:firstLine="0"/>
        <w:jc w:val="left"/>
        <w:tabs>
          <w:tab w:val="right" w:leader="dot" w:pos="7937"/>
        </w:tabs>
      </w:pPr>
      <w:r>
        <w:rPr>
          <w:rFonts w:ascii="Times New Roman" w:hAnsi="Times New Roman"/>
          <w:b w:val="0"/>
          <w:color w:val="000000"/>
          <w:sz w:val="24"/>
        </w:rPr>
        <w:t>2.1.5 Sosialisasi Perpajakan</w:t>
      </w:r>
      <w:r>
        <w:tab/>
      </w:r>
      <w:r>
        <w:rPr>
          <w:rFonts w:ascii="Times New Roman" w:hAnsi="Times New Roman"/>
          <w:b w:val="0"/>
          <w:color w:val="000000"/>
          <w:sz w:val="24"/>
        </w:rPr>
        <w:t>12</w:t>
      </w:r>
    </w:p>
    <w:p>
      <w:pPr>
        <w:spacing w:line="276" w:lineRule="auto" w:before="40" w:after="40"/>
        <w:ind w:left="567" w:right="0" w:firstLine="0"/>
        <w:jc w:val="left"/>
        <w:tabs>
          <w:tab w:val="right" w:leader="dot" w:pos="7937"/>
        </w:tabs>
      </w:pPr>
      <w:r>
        <w:rPr>
          <w:rFonts w:ascii="Times New Roman" w:hAnsi="Times New Roman"/>
          <w:b w:val="0"/>
          <w:color w:val="000000"/>
          <w:sz w:val="24"/>
        </w:rPr>
        <w:t>2.1.6 Sanksi Perpajakan</w:t>
      </w:r>
      <w:r>
        <w:tab/>
      </w:r>
      <w:r>
        <w:rPr>
          <w:rFonts w:ascii="Times New Roman" w:hAnsi="Times New Roman"/>
          <w:b w:val="0"/>
          <w:color w:val="000000"/>
          <w:sz w:val="24"/>
        </w:rPr>
        <w:t>12</w:t>
      </w:r>
    </w:p>
    <w:p>
      <w:pPr>
        <w:spacing w:line="276" w:lineRule="auto" w:before="40" w:after="40"/>
        <w:ind w:left="567" w:right="0" w:firstLine="0"/>
        <w:jc w:val="left"/>
        <w:tabs>
          <w:tab w:val="right" w:leader="dot" w:pos="7937"/>
        </w:tabs>
      </w:pPr>
      <w:r>
        <w:rPr>
          <w:rFonts w:ascii="Times New Roman" w:hAnsi="Times New Roman"/>
          <w:b w:val="0"/>
          <w:color w:val="000000"/>
          <w:sz w:val="24"/>
        </w:rPr>
        <w:t>2.1.7 Kepercayaan pada Pemerintah</w:t>
      </w:r>
      <w:r>
        <w:tab/>
      </w:r>
      <w:r>
        <w:rPr>
          <w:rFonts w:ascii="Times New Roman" w:hAnsi="Times New Roman"/>
          <w:b w:val="0"/>
          <w:color w:val="000000"/>
          <w:sz w:val="24"/>
        </w:rPr>
        <w:t>13</w:t>
      </w:r>
    </w:p>
    <w:p>
      <w:pPr>
        <w:spacing w:line="276" w:lineRule="auto" w:before="40" w:after="40"/>
        <w:ind w:left="567" w:right="0" w:firstLine="0"/>
        <w:jc w:val="left"/>
        <w:tabs>
          <w:tab w:val="right" w:leader="dot" w:pos="7937"/>
        </w:tabs>
      </w:pPr>
      <w:r>
        <w:rPr>
          <w:rFonts w:ascii="Times New Roman" w:hAnsi="Times New Roman"/>
          <w:b w:val="0"/>
          <w:color w:val="000000"/>
          <w:sz w:val="24"/>
        </w:rPr>
        <w:t>2.1.8 Penelitian Terdahulu</w:t>
      </w:r>
      <w:r>
        <w:tab/>
      </w:r>
      <w:r>
        <w:rPr>
          <w:rFonts w:ascii="Times New Roman" w:hAnsi="Times New Roman"/>
          <w:b w:val="0"/>
          <w:color w:val="000000"/>
          <w:sz w:val="24"/>
        </w:rPr>
        <w:t>13</w:t>
      </w:r>
    </w:p>
    <w:p>
      <w:pPr>
        <w:spacing w:line="276" w:lineRule="auto" w:before="40" w:after="40"/>
        <w:ind w:left="283" w:right="0" w:firstLine="0"/>
        <w:jc w:val="left"/>
        <w:tabs>
          <w:tab w:val="right" w:leader="dot" w:pos="7937"/>
        </w:tabs>
      </w:pPr>
      <w:r>
        <w:rPr>
          <w:rFonts w:ascii="Times New Roman" w:hAnsi="Times New Roman"/>
          <w:b w:val="0"/>
          <w:color w:val="000000"/>
          <w:sz w:val="24"/>
        </w:rPr>
        <w:t>2.2 Rerangka Pemikiran</w:t>
      </w:r>
      <w:r>
        <w:tab/>
      </w:r>
      <w:r>
        <w:rPr>
          <w:rFonts w:ascii="Times New Roman" w:hAnsi="Times New Roman"/>
          <w:b w:val="0"/>
          <w:color w:val="000000"/>
          <w:sz w:val="24"/>
        </w:rPr>
        <w:t>14</w:t>
      </w:r>
    </w:p>
    <w:p>
      <w:pPr>
        <w:spacing w:line="276" w:lineRule="auto" w:before="40" w:after="40"/>
        <w:ind w:left="283" w:right="0" w:firstLine="0"/>
        <w:jc w:val="left"/>
        <w:tabs>
          <w:tab w:val="right" w:leader="dot" w:pos="7937"/>
        </w:tabs>
      </w:pPr>
      <w:r>
        <w:rPr>
          <w:rFonts w:ascii="Times New Roman" w:hAnsi="Times New Roman"/>
          <w:b w:val="0"/>
          <w:color w:val="000000"/>
          <w:sz w:val="24"/>
        </w:rPr>
        <w:t>2.3 Hipotesis</w:t>
      </w:r>
      <w:r>
        <w:tab/>
      </w:r>
      <w:r>
        <w:rPr>
          <w:rFonts w:ascii="Times New Roman" w:hAnsi="Times New Roman"/>
          <w:b w:val="0"/>
          <w:color w:val="000000"/>
          <w:sz w:val="24"/>
        </w:rPr>
        <w:t>15</w:t>
      </w:r>
    </w:p>
    <w:p>
      <w:pPr>
        <w:spacing w:line="276" w:lineRule="auto" w:before="40" w:after="40"/>
        <w:ind w:left="0" w:right="0" w:firstLine="0"/>
        <w:jc w:val="left"/>
        <w:tabs>
          <w:tab w:val="right" w:leader="dot" w:pos="7937"/>
        </w:tabs>
      </w:pPr>
      <w:r>
        <w:rPr>
          <w:rFonts w:ascii="Times New Roman" w:hAnsi="Times New Roman"/>
          <w:b w:val="0"/>
          <w:color w:val="000000"/>
          <w:sz w:val="24"/>
        </w:rPr>
        <w:t>BAB 3 DESAIN DAN METODE PENELITIAN</w:t>
      </w:r>
      <w:r>
        <w:tab/>
      </w:r>
      <w:r>
        <w:rPr>
          <w:rFonts w:ascii="Times New Roman" w:hAnsi="Times New Roman"/>
          <w:b w:val="0"/>
          <w:color w:val="000000"/>
          <w:sz w:val="24"/>
        </w:rPr>
        <w:t>17</w:t>
      </w:r>
    </w:p>
    <w:p>
      <w:pPr>
        <w:spacing w:line="276" w:lineRule="auto" w:before="40" w:after="40"/>
        <w:ind w:left="283" w:right="0" w:firstLine="0"/>
        <w:jc w:val="left"/>
        <w:tabs>
          <w:tab w:val="right" w:leader="dot" w:pos="7937"/>
        </w:tabs>
      </w:pPr>
      <w:r>
        <w:rPr>
          <w:rFonts w:ascii="Times New Roman" w:hAnsi="Times New Roman"/>
          <w:b w:val="0"/>
          <w:color w:val="000000"/>
          <w:sz w:val="24"/>
        </w:rPr>
        <w:t>3.1 Jenis Penelitian</w:t>
      </w:r>
      <w:r>
        <w:tab/>
      </w:r>
      <w:r>
        <w:rPr>
          <w:rFonts w:ascii="Times New Roman" w:hAnsi="Times New Roman"/>
          <w:b w:val="0"/>
          <w:color w:val="000000"/>
          <w:sz w:val="24"/>
        </w:rPr>
        <w:t>17</w:t>
      </w:r>
    </w:p>
    <w:p>
      <w:pPr>
        <w:spacing w:line="276" w:lineRule="auto" w:before="40" w:after="40"/>
        <w:ind w:left="283" w:right="0" w:firstLine="0"/>
        <w:jc w:val="left"/>
        <w:tabs>
          <w:tab w:val="right" w:leader="dot" w:pos="7937"/>
        </w:tabs>
      </w:pPr>
      <w:r>
        <w:rPr>
          <w:rFonts w:ascii="Times New Roman" w:hAnsi="Times New Roman"/>
          <w:b w:val="0"/>
          <w:color w:val="000000"/>
          <w:sz w:val="24"/>
        </w:rPr>
        <w:t>3.2 Definisi Operasionalisasi Variabel dan Pengukuran Variabel</w:t>
      </w:r>
      <w:r>
        <w:tab/>
      </w:r>
      <w:r>
        <w:rPr>
          <w:rFonts w:ascii="Times New Roman" w:hAnsi="Times New Roman"/>
          <w:b w:val="0"/>
          <w:color w:val="000000"/>
          <w:sz w:val="24"/>
        </w:rPr>
        <w:t>17</w:t>
      </w:r>
    </w:p>
    <w:p>
      <w:pPr>
        <w:spacing w:line="276" w:lineRule="auto" w:before="40" w:after="40"/>
        <w:ind w:left="567" w:right="0" w:firstLine="0"/>
        <w:jc w:val="left"/>
        <w:tabs>
          <w:tab w:val="right" w:leader="dot" w:pos="7937"/>
        </w:tabs>
      </w:pPr>
      <w:r>
        <w:rPr>
          <w:rFonts w:ascii="Times New Roman" w:hAnsi="Times New Roman"/>
          <w:b w:val="0"/>
          <w:color w:val="000000"/>
          <w:sz w:val="24"/>
        </w:rPr>
        <w:t>3.2.1 Kepatuhan Wajib Pajak Pbb-P2 (y)</w:t>
      </w:r>
      <w:r>
        <w:tab/>
      </w:r>
      <w:r>
        <w:rPr>
          <w:rFonts w:ascii="Times New Roman" w:hAnsi="Times New Roman"/>
          <w:b w:val="0"/>
          <w:color w:val="000000"/>
          <w:sz w:val="24"/>
        </w:rPr>
        <w:t>18</w:t>
      </w:r>
    </w:p>
    <w:p>
      <w:pPr>
        <w:spacing w:line="276" w:lineRule="auto" w:before="40" w:after="40"/>
        <w:ind w:left="567" w:right="0" w:firstLine="0"/>
        <w:jc w:val="left"/>
        <w:tabs>
          <w:tab w:val="right" w:leader="dot" w:pos="7937"/>
        </w:tabs>
      </w:pPr>
      <w:r>
        <w:rPr>
          <w:rFonts w:ascii="Times New Roman" w:hAnsi="Times New Roman"/>
          <w:b w:val="0"/>
          <w:color w:val="000000"/>
          <w:sz w:val="24"/>
        </w:rPr>
        <w:t>3.2.2 Sosialisasi Perpajakan (x1)</w:t>
      </w:r>
      <w:r>
        <w:tab/>
      </w:r>
      <w:r>
        <w:rPr>
          <w:rFonts w:ascii="Times New Roman" w:hAnsi="Times New Roman"/>
          <w:b w:val="0"/>
          <w:color w:val="000000"/>
          <w:sz w:val="24"/>
        </w:rPr>
        <w:t>18</w:t>
      </w:r>
    </w:p>
    <w:p>
      <w:pPr>
        <w:spacing w:line="276" w:lineRule="auto" w:before="40" w:after="40"/>
        <w:ind w:left="567" w:right="0" w:firstLine="0"/>
        <w:jc w:val="left"/>
        <w:tabs>
          <w:tab w:val="right" w:leader="dot" w:pos="7937"/>
        </w:tabs>
      </w:pPr>
      <w:r>
        <w:rPr>
          <w:rFonts w:ascii="Times New Roman" w:hAnsi="Times New Roman"/>
          <w:b w:val="0"/>
          <w:color w:val="000000"/>
          <w:sz w:val="24"/>
        </w:rPr>
        <w:t>3.2.3 Sanksi Perpajakan (x2)</w:t>
      </w:r>
      <w:r>
        <w:tab/>
      </w:r>
      <w:r>
        <w:rPr>
          <w:rFonts w:ascii="Times New Roman" w:hAnsi="Times New Roman"/>
          <w:b w:val="0"/>
          <w:color w:val="000000"/>
          <w:sz w:val="24"/>
        </w:rPr>
        <w:t>18</w:t>
      </w:r>
    </w:p>
    <w:p>
      <w:pPr>
        <w:spacing w:line="276" w:lineRule="auto" w:before="40" w:after="40"/>
        <w:ind w:left="567" w:right="0" w:firstLine="0"/>
        <w:jc w:val="left"/>
        <w:tabs>
          <w:tab w:val="right" w:leader="dot" w:pos="7937"/>
        </w:tabs>
      </w:pPr>
      <w:r>
        <w:rPr>
          <w:rFonts w:ascii="Times New Roman" w:hAnsi="Times New Roman"/>
          <w:b w:val="0"/>
          <w:color w:val="000000"/>
          <w:sz w:val="24"/>
        </w:rPr>
        <w:t>3.2.4 Kepercayaan pada Pemerintah (x3)</w:t>
      </w:r>
      <w:r>
        <w:tab/>
      </w:r>
      <w:r>
        <w:rPr>
          <w:rFonts w:ascii="Times New Roman" w:hAnsi="Times New Roman"/>
          <w:b w:val="0"/>
          <w:color w:val="000000"/>
          <w:sz w:val="24"/>
        </w:rPr>
        <w:t>18</w:t>
      </w:r>
    </w:p>
    <w:p>
      <w:pPr>
        <w:spacing w:line="276" w:lineRule="auto" w:before="40" w:after="40"/>
        <w:ind w:left="283" w:right="0" w:firstLine="0"/>
        <w:jc w:val="left"/>
        <w:tabs>
          <w:tab w:val="right" w:leader="dot" w:pos="7937"/>
        </w:tabs>
      </w:pPr>
      <w:r>
        <w:rPr>
          <w:rFonts w:ascii="Times New Roman" w:hAnsi="Times New Roman"/>
          <w:b w:val="0"/>
          <w:color w:val="000000"/>
          <w:sz w:val="24"/>
        </w:rPr>
        <w:t>3.3 Populasi dan Sampel Penelitian</w:t>
      </w:r>
      <w:r>
        <w:tab/>
      </w:r>
      <w:r>
        <w:rPr>
          <w:rFonts w:ascii="Times New Roman" w:hAnsi="Times New Roman"/>
          <w:b w:val="0"/>
          <w:color w:val="000000"/>
          <w:sz w:val="24"/>
        </w:rPr>
        <w:t>19</w:t>
      </w:r>
    </w:p>
    <w:p>
      <w:pPr>
        <w:spacing w:line="276" w:lineRule="auto" w:before="40" w:after="40"/>
        <w:ind w:left="567" w:right="0" w:firstLine="0"/>
        <w:jc w:val="left"/>
        <w:tabs>
          <w:tab w:val="right" w:leader="dot" w:pos="7937"/>
        </w:tabs>
      </w:pPr>
      <w:r>
        <w:rPr>
          <w:rFonts w:ascii="Times New Roman" w:hAnsi="Times New Roman"/>
          <w:b w:val="0"/>
          <w:color w:val="000000"/>
          <w:sz w:val="24"/>
        </w:rPr>
        <w:t>3.3.1 Populasi</w:t>
      </w:r>
      <w:r>
        <w:tab/>
      </w:r>
      <w:r>
        <w:rPr>
          <w:rFonts w:ascii="Times New Roman" w:hAnsi="Times New Roman"/>
          <w:b w:val="0"/>
          <w:color w:val="000000"/>
          <w:sz w:val="24"/>
        </w:rPr>
        <w:t>19</w:t>
      </w:r>
    </w:p>
    <w:p>
      <w:pPr>
        <w:spacing w:line="276" w:lineRule="auto" w:before="40" w:after="40"/>
        <w:ind w:left="567" w:right="0" w:firstLine="0"/>
        <w:jc w:val="left"/>
        <w:tabs>
          <w:tab w:val="right" w:leader="dot" w:pos="7937"/>
        </w:tabs>
      </w:pPr>
      <w:r>
        <w:rPr>
          <w:rFonts w:ascii="Times New Roman" w:hAnsi="Times New Roman"/>
          <w:b w:val="0"/>
          <w:color w:val="000000"/>
          <w:sz w:val="24"/>
        </w:rPr>
        <w:t>3.3.2 Sampel</w:t>
      </w:r>
      <w:r>
        <w:tab/>
      </w:r>
      <w:r>
        <w:rPr>
          <w:rFonts w:ascii="Times New Roman" w:hAnsi="Times New Roman"/>
          <w:b w:val="0"/>
          <w:color w:val="000000"/>
          <w:sz w:val="24"/>
        </w:rPr>
        <w:t>19</w:t>
      </w:r>
    </w:p>
    <w:p>
      <w:pPr>
        <w:spacing w:line="276" w:lineRule="auto" w:before="40" w:after="40"/>
        <w:ind w:left="283" w:right="0" w:firstLine="0"/>
        <w:jc w:val="left"/>
        <w:tabs>
          <w:tab w:val="right" w:leader="dot" w:pos="7937"/>
        </w:tabs>
      </w:pPr>
      <w:r>
        <w:rPr>
          <w:rFonts w:ascii="Times New Roman" w:hAnsi="Times New Roman"/>
          <w:b w:val="0"/>
          <w:color w:val="000000"/>
          <w:sz w:val="24"/>
        </w:rPr>
        <w:t>3.4 Teknik Pengumpulan Data</w:t>
      </w:r>
      <w:r>
        <w:tab/>
      </w:r>
      <w:r>
        <w:rPr>
          <w:rFonts w:ascii="Times New Roman" w:hAnsi="Times New Roman"/>
          <w:b w:val="0"/>
          <w:color w:val="000000"/>
          <w:sz w:val="24"/>
        </w:rPr>
        <w:t>20</w:t>
      </w:r>
    </w:p>
    <w:p>
      <w:pPr>
        <w:spacing w:line="276" w:lineRule="auto" w:before="40" w:after="40"/>
        <w:ind w:left="283" w:right="0" w:firstLine="0"/>
        <w:jc w:val="left"/>
        <w:tabs>
          <w:tab w:val="right" w:leader="dot" w:pos="7937"/>
        </w:tabs>
      </w:pPr>
      <w:r>
        <w:rPr>
          <w:rFonts w:ascii="Times New Roman" w:hAnsi="Times New Roman"/>
          <w:b w:val="0"/>
          <w:color w:val="000000"/>
          <w:sz w:val="24"/>
        </w:rPr>
        <w:t>3.5 Metode Analisis Data</w:t>
      </w:r>
      <w:r>
        <w:tab/>
      </w:r>
      <w:r>
        <w:rPr>
          <w:rFonts w:ascii="Times New Roman" w:hAnsi="Times New Roman"/>
          <w:b w:val="0"/>
          <w:color w:val="000000"/>
          <w:sz w:val="24"/>
        </w:rPr>
        <w:t>21</w:t>
      </w:r>
    </w:p>
    <w:p>
      <w:pPr>
        <w:spacing w:line="276" w:lineRule="auto" w:before="40" w:after="40"/>
        <w:ind w:left="567" w:right="0" w:firstLine="0"/>
        <w:jc w:val="left"/>
        <w:tabs>
          <w:tab w:val="right" w:leader="dot" w:pos="7937"/>
        </w:tabs>
      </w:pPr>
      <w:r>
        <w:rPr>
          <w:rFonts w:ascii="Times New Roman" w:hAnsi="Times New Roman"/>
          <w:b w:val="0"/>
          <w:color w:val="000000"/>
          <w:sz w:val="24"/>
        </w:rPr>
        <w:t>3.5.1 Statistik Deskriptif</w:t>
      </w:r>
      <w:r>
        <w:tab/>
      </w:r>
      <w:r>
        <w:rPr>
          <w:rFonts w:ascii="Times New Roman" w:hAnsi="Times New Roman"/>
          <w:b w:val="0"/>
          <w:color w:val="000000"/>
          <w:sz w:val="24"/>
        </w:rPr>
        <w:t>21</w:t>
      </w:r>
    </w:p>
    <w:p>
      <w:pPr>
        <w:spacing w:line="276" w:lineRule="auto" w:before="40" w:after="40"/>
        <w:ind w:left="567" w:right="0" w:firstLine="0"/>
        <w:jc w:val="left"/>
        <w:tabs>
          <w:tab w:val="right" w:leader="dot" w:pos="7937"/>
        </w:tabs>
      </w:pPr>
      <w:r>
        <w:rPr>
          <w:rFonts w:ascii="Times New Roman" w:hAnsi="Times New Roman"/>
          <w:b w:val="0"/>
          <w:color w:val="000000"/>
          <w:sz w:val="24"/>
        </w:rPr>
        <w:t>3.5.2 Evaluasi Model Pengukuran (outer Model)</w:t>
      </w:r>
      <w:r>
        <w:tab/>
      </w:r>
      <w:r>
        <w:rPr>
          <w:rFonts w:ascii="Times New Roman" w:hAnsi="Times New Roman"/>
          <w:b w:val="0"/>
          <w:color w:val="000000"/>
          <w:sz w:val="24"/>
        </w:rPr>
        <w:t>21</w:t>
      </w:r>
    </w:p>
    <w:p>
      <w:pPr>
        <w:spacing w:line="276" w:lineRule="auto" w:before="40" w:after="40"/>
        <w:ind w:left="567" w:right="0" w:firstLine="0"/>
        <w:jc w:val="left"/>
        <w:tabs>
          <w:tab w:val="right" w:leader="dot" w:pos="7937"/>
        </w:tabs>
      </w:pPr>
      <w:r>
        <w:rPr>
          <w:rFonts w:ascii="Times New Roman" w:hAnsi="Times New Roman"/>
          <w:b w:val="0"/>
          <w:color w:val="000000"/>
          <w:sz w:val="24"/>
        </w:rPr>
        <w:t>3.5.3 Evaluasi Model Struktural (inner Model)</w:t>
      </w:r>
      <w:r>
        <w:tab/>
      </w:r>
      <w:r>
        <w:rPr>
          <w:rFonts w:ascii="Times New Roman" w:hAnsi="Times New Roman"/>
          <w:b w:val="0"/>
          <w:color w:val="000000"/>
          <w:sz w:val="24"/>
        </w:rPr>
        <w:t>22</w:t>
      </w:r>
    </w:p>
    <w:p>
      <w:pPr>
        <w:spacing w:line="276" w:lineRule="auto" w:before="40" w:after="40"/>
        <w:ind w:left="567" w:right="0" w:firstLine="0"/>
        <w:jc w:val="left"/>
        <w:tabs>
          <w:tab w:val="right" w:leader="dot" w:pos="7937"/>
        </w:tabs>
      </w:pPr>
      <w:r>
        <w:rPr>
          <w:rFonts w:ascii="Times New Roman" w:hAnsi="Times New Roman"/>
          <w:b w:val="0"/>
          <w:color w:val="000000"/>
          <w:sz w:val="24"/>
        </w:rPr>
        <w:t>3.5.4 Pengujian Hipotesis</w:t>
      </w:r>
      <w:r>
        <w:tab/>
      </w:r>
      <w:r>
        <w:rPr>
          <w:rFonts w:ascii="Times New Roman" w:hAnsi="Times New Roman"/>
          <w:b w:val="0"/>
          <w:color w:val="000000"/>
          <w:sz w:val="24"/>
        </w:rPr>
        <w:t>23</w:t>
      </w:r>
    </w:p>
    <w:p>
      <w:pPr>
        <w:spacing w:line="276" w:lineRule="auto" w:before="40" w:after="40"/>
        <w:ind w:left="0" w:right="0" w:firstLine="0"/>
        <w:jc w:val="left"/>
        <w:tabs>
          <w:tab w:val="right" w:leader="dot" w:pos="7937"/>
        </w:tabs>
      </w:pPr>
      <w:r>
        <w:rPr>
          <w:rFonts w:ascii="Times New Roman" w:hAnsi="Times New Roman"/>
          <w:b w:val="0"/>
          <w:color w:val="000000"/>
          <w:sz w:val="24"/>
        </w:rPr>
        <w:t>DAFTAR PUSTAKA</w:t>
      </w:r>
      <w:r>
        <w:tab/>
      </w:r>
      <w:r>
        <w:rPr>
          <w:rFonts w:ascii="Times New Roman" w:hAnsi="Times New Roman"/>
          <w:b w:val="0"/>
          <w:color w:val="000000"/>
          <w:sz w:val="24"/>
        </w:rPr>
        <w:t>25</w:t>
      </w:r>
    </w:p>
    <w:p w14:paraId="2EB72B79" w14:textId="77777777" w:rsidR="00404735" w:rsidRDefault="00000000" is_subsub="false" is_formula="false" orig_style="Normal">
      <w:bookmarkStart w:id="102" w:name="_Toc101"/>
      <w:pPr>
        <w:pStyle w:val="Heading1"/>
        <w:pageBreakBefore/>
        <w:spacing w:after="240" w:line="276" w:lineRule="auto" w:before="480"/>
        <w:ind w:left="0" w:right="0" w:firstLine="0"/>
        <w:jc w:val="center"/>
        <w:outlineLvl w:val="0"/>
      </w:pPr>
      <w:r>
        <w:rPr>
          <w:rFonts w:ascii="Times New Roman" w:hAnsi="Times New Roman"/>
          <w:b/>
          <w:i w:val="0"/>
          <w:color w:val="000000"/>
          <w:sz w:val="28"/>
        </w:rPr>
        <w:t>DAFTAR TABEL</w:t>
      </w:r>
      <w:bookmarkEnd w:id="102"/>
    </w:p>
    <w:p>
      <w:pPr>
        <w:spacing w:line="276" w:lineRule="auto" w:before="40" w:after="40"/>
        <w:ind w:left="0" w:right="0" w:firstLine="0"/>
        <w:jc w:val="left"/>
        <w:tabs>
          <w:tab w:val="right" w:leader="dot" w:pos="7937"/>
        </w:tabs>
      </w:pPr>
      <w:r>
        <w:rPr>
          <w:rFonts w:ascii="Times New Roman" w:hAnsi="Times New Roman"/>
          <w:b w:val="0"/>
          <w:color w:val="000000"/>
          <w:sz w:val="24"/>
        </w:rPr>
        <w:t>Tabel 1.1 Rekapitulasi SPPT Terbit, Lunas, Belum Lunas, dan Tingkat Kepatuhan Wajib Pajak PBB-P2 Jakarta Barat Tahun 2021–2025</w:t>
      </w:r>
      <w:r>
        <w:tab/>
      </w:r>
      <w:r>
        <w:rPr>
          <w:rFonts w:ascii="Times New Roman" w:hAnsi="Times New Roman"/>
          <w:b w:val="0"/>
          <w:color w:val="000000"/>
          <w:sz w:val="24"/>
        </w:rPr>
        <w:t>1</w:t>
      </w:r>
    </w:p>
    <w:p>
      <w:pPr>
        <w:spacing w:line="276" w:lineRule="auto" w:before="40" w:after="40"/>
        <w:ind w:left="0" w:right="0" w:firstLine="0"/>
        <w:jc w:val="left"/>
        <w:tabs>
          <w:tab w:val="right" w:leader="dot" w:pos="7937"/>
        </w:tabs>
      </w:pPr>
      <w:r>
        <w:rPr>
          <w:rFonts w:ascii="Times New Roman" w:hAnsi="Times New Roman"/>
          <w:b w:val="0"/>
          <w:color w:val="000000"/>
          <w:sz w:val="24"/>
        </w:rPr>
        <w:t>Tabel 1.2 Target dan Realisasi Penerimaan PBB-P2 Wilayah Jakarta Barat Tahun 2021–2025</w:t>
      </w:r>
      <w:r>
        <w:tab/>
      </w:r>
      <w:r>
        <w:rPr>
          <w:rFonts w:ascii="Times New Roman" w:hAnsi="Times New Roman"/>
          <w:b w:val="0"/>
          <w:color w:val="000000"/>
          <w:sz w:val="24"/>
        </w:rPr>
        <w:t>2</w:t>
      </w:r>
    </w:p>
    <w:p>
      <w:pPr>
        <w:spacing w:line="276" w:lineRule="auto" w:before="40" w:after="40"/>
        <w:ind w:left="0" w:right="0" w:firstLine="0"/>
        <w:jc w:val="left"/>
        <w:tabs>
          <w:tab w:val="right" w:leader="dot" w:pos="7937"/>
        </w:tabs>
      </w:pPr>
      <w:r>
        <w:rPr>
          <w:rFonts w:ascii="Times New Roman" w:hAnsi="Times New Roman"/>
          <w:b w:val="0"/>
          <w:color w:val="000000"/>
          <w:sz w:val="24"/>
        </w:rPr>
        <w:t>Tabel 1.3 Jumlah Objek PBB-P2 Terdaftar per Kecamatan di Jakarta Barat Tahun 2021–2025</w:t>
      </w:r>
      <w:r>
        <w:tab/>
      </w:r>
      <w:r>
        <w:rPr>
          <w:rFonts w:ascii="Times New Roman" w:hAnsi="Times New Roman"/>
          <w:b w:val="0"/>
          <w:color w:val="000000"/>
          <w:sz w:val="24"/>
        </w:rPr>
        <w:t>2</w:t>
      </w:r>
    </w:p>
    <w:p>
      <w:pPr>
        <w:spacing w:line="276" w:lineRule="auto" w:before="40" w:after="40"/>
        <w:ind w:left="0" w:right="0" w:firstLine="0"/>
        <w:jc w:val="left"/>
        <w:tabs>
          <w:tab w:val="right" w:leader="dot" w:pos="7937"/>
        </w:tabs>
      </w:pPr>
      <w:r>
        <w:rPr>
          <w:rFonts w:ascii="Times New Roman" w:hAnsi="Times New Roman"/>
          <w:b w:val="0"/>
          <w:color w:val="000000"/>
          <w:sz w:val="24"/>
        </w:rPr>
        <w:t>Tabel 1.4 Tingkat Kepatuhan Wajib Pajak PBB-P2 per Kecamatan di Jakarta Barat Tahun 2021–2025 (%)</w:t>
      </w:r>
      <w:r>
        <w:tab/>
      </w:r>
      <w:r>
        <w:rPr>
          <w:rFonts w:ascii="Times New Roman" w:hAnsi="Times New Roman"/>
          <w:b w:val="0"/>
          <w:color w:val="000000"/>
          <w:sz w:val="24"/>
        </w:rPr>
        <w:t>3</w:t>
      </w:r>
    </w:p>
    <w:p>
      <w:pPr>
        <w:spacing w:line="276" w:lineRule="auto" w:before="40" w:after="40"/>
        <w:ind w:left="0" w:right="0" w:firstLine="0"/>
        <w:jc w:val="left"/>
        <w:tabs>
          <w:tab w:val="right" w:leader="dot" w:pos="7937"/>
        </w:tabs>
      </w:pPr>
      <w:r>
        <w:rPr>
          <w:rFonts w:ascii="Times New Roman" w:hAnsi="Times New Roman"/>
          <w:b w:val="0"/>
          <w:color w:val="000000"/>
          <w:sz w:val="24"/>
        </w:rPr>
        <w:t>Tabel 2.1 Daftar Penelitian Sebelumnya</w:t>
      </w:r>
      <w:r>
        <w:tab/>
      </w:r>
      <w:r>
        <w:rPr>
          <w:rFonts w:ascii="Times New Roman" w:hAnsi="Times New Roman"/>
          <w:b w:val="0"/>
          <w:color w:val="000000"/>
          <w:sz w:val="24"/>
        </w:rPr>
        <w:t>14</w:t>
      </w:r>
    </w:p>
    <w:p>
      <w:pPr>
        <w:spacing w:line="276" w:lineRule="auto" w:before="40" w:after="40"/>
        <w:ind w:left="0" w:right="0" w:firstLine="0"/>
        <w:jc w:val="left"/>
        <w:tabs>
          <w:tab w:val="right" w:leader="dot" w:pos="7937"/>
        </w:tabs>
      </w:pPr>
      <w:r>
        <w:rPr>
          <w:rFonts w:ascii="Times New Roman" w:hAnsi="Times New Roman"/>
          <w:b w:val="0"/>
          <w:color w:val="000000"/>
          <w:sz w:val="24"/>
        </w:rPr>
        <w:t>Tabel 3.1 Operasionalisasi Variabel Penelitian</w:t>
      </w:r>
      <w:r>
        <w:tab/>
      </w:r>
      <w:r>
        <w:rPr>
          <w:rFonts w:ascii="Times New Roman" w:hAnsi="Times New Roman"/>
          <w:b w:val="0"/>
          <w:color w:val="000000"/>
          <w:sz w:val="24"/>
        </w:rPr>
        <w:t>19</w:t>
      </w:r>
    </w:p>
    <w:p>
      <w:pPr>
        <w:spacing w:line="276" w:lineRule="auto" w:before="40" w:after="40"/>
        <w:ind w:left="0" w:right="0" w:firstLine="0"/>
        <w:jc w:val="left"/>
        <w:tabs>
          <w:tab w:val="right" w:leader="dot" w:pos="7937"/>
        </w:tabs>
      </w:pPr>
      <w:r>
        <w:rPr>
          <w:rFonts w:ascii="Times New Roman" w:hAnsi="Times New Roman"/>
          <w:b w:val="0"/>
          <w:color w:val="000000"/>
          <w:sz w:val="24"/>
        </w:rPr>
        <w:t>Tabel 3.2 Distribusi Sampel Penelitian per Kecamatan di Jakarta Barat</w:t>
      </w:r>
      <w:r>
        <w:tab/>
      </w:r>
      <w:r>
        <w:rPr>
          <w:rFonts w:ascii="Times New Roman" w:hAnsi="Times New Roman"/>
          <w:b w:val="0"/>
          <w:color w:val="000000"/>
          <w:sz w:val="24"/>
        </w:rPr>
        <w:t>20</w:t>
      </w:r>
    </w:p>
    <w:p w14:paraId="0955D748" w14:textId="77777777" w:rsidR="00404735" w:rsidRDefault="00000000" is_subsub="false" is_formula="false" orig_style="Normal">
      <w:bookmarkStart w:id="103" w:name="_Toc102"/>
      <w:pPr>
        <w:pStyle w:val="Heading1"/>
        <w:pageBreakBefore/>
        <w:spacing w:after="240" w:line="276" w:lineRule="auto" w:before="480"/>
        <w:ind w:left="0" w:right="0" w:firstLine="0"/>
        <w:jc w:val="center"/>
        <w:outlineLvl w:val="0"/>
      </w:pPr>
      <w:r>
        <w:rPr>
          <w:rFonts w:ascii="Times New Roman" w:hAnsi="Times New Roman"/>
          <w:b/>
          <w:i w:val="0"/>
          <w:color w:val="000000"/>
          <w:sz w:val="28"/>
        </w:rPr>
        <w:t>DAFTAR GAMBAR</w:t>
      </w:r>
      <w:bookmarkEnd w:id="103"/>
    </w:p>
    <w:p is_section_break_carrier="true">
      <w:pPr>
        <w:spacing w:line="276" w:lineRule="auto" w:before="40" w:after="40"/>
        <w:ind w:left="0" w:right="0" w:firstLine="0"/>
        <w:jc w:val="left"/>
        <w:tabs>
          <w:tab w:val="right" w:leader="dot" w:pos="7937"/>
        </w:tabs>
        <w:sectPr>
          <w:footerReference w:type="default" r:id="rId16"/>
          <w:headerReference w:type="default" r:id="rId17"/>
          <w:type w:val="nextPage"/>
          <w:pgSz w:w="11906" w:h="16838" w:code="9" w:orient="portrait"/>
          <w:pgMar w:top="1701" w:right="1701" w:bottom="1701" w:left="2268" w:header="1134" w:footer="1134" w:gutter="0"/>
          <w:pgNumType w:fmt="lowerRoman" w:start="1"/>
        </w:sectPr>
      </w:pPr>
      <w:r>
        <w:rPr>
          <w:rFonts w:ascii="Times New Roman" w:hAnsi="Times New Roman"/>
          <w:b w:val="0"/>
          <w:color w:val="000000"/>
          <w:sz w:val="24"/>
        </w:rPr>
        <w:t>Gambar 2.1 Model Konseptual Penelitian</w:t>
      </w:r>
      <w:r>
        <w:tab/>
      </w:r>
      <w:r>
        <w:rPr>
          <w:rFonts w:ascii="Times New Roman" w:hAnsi="Times New Roman"/>
          <w:b w:val="0"/>
          <w:color w:val="000000"/>
          <w:sz w:val="24"/>
        </w:rPr>
        <w:t>15</w:t>
      </w:r>
    </w:p>
    <w:p w14:paraId="03DBDEAE" w14:textId="77777777" w:rsidR="00404735" w:rsidRDefault="00000000" is_subsub="false" is_formula="false" orig_style="Heading 1">
      <w:bookmarkStart w:id="104" w:name="_Toc103"/>
      <w:pPr>
        <w:pStyle w:val="Heading1"/>
        <w:keepNext/>
        <w:pageBreakBefore/>
        <w:jc w:val="center"/>
        <w:ind w:left="0" w:right="0" w:firstLine="0" w:hanging="0"/>
        <w:numPr>
          <w:ilvl w:val="0"/>
          <w:numId w:val="2"/>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PENDAHULUAN</w:t>
      </w:r>
      <w:bookmarkEnd w:id="104"/>
    </w:p>
    <w:p w14:paraId="24FA6319" w14:textId="77777777" w:rsidR="00404735" w:rsidRDefault="00000000" is_subsub="false" is_formula="false" orig_style="Heading 2">
      <w:bookmarkStart w:id="105" w:name="_Toc104"/>
      <w:pPr>
        <w:pStyle w:val="Heading2"/>
        <w:keepNext/>
        <w:jc w:val="left"/>
        <w:numPr>
          <w:ilvl w:val="1"/>
          <w:numId w:val="2"/>
        </w:numPr>
        <w:ind w:left="567" w:hanging="567"/>
        <w:outlineLvl w:val="1"/>
        <w:spacing w:before="240" w:after="120" w:line="276" w:lineRule="auto" w:beforeAutospacing="0" w:afterAutospacing="0"/>
      </w:pPr>
      <w:r>
        <w:rPr>
          <w:rFonts w:ascii="Times New Roman" w:hAnsi="Times New Roman"/>
          <w:b/>
          <w:i w:val="0"/>
          <w:color w:val="000000"/>
          <w:sz w:val="24"/>
        </w:rPr>
        <w:t>Latar Belakang</w:t>
      </w:r>
      <w:bookmarkEnd w:id="105"/>
    </w:p>
    <w:p w14:paraId="34B87E2A"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Pajak menempati posisi sentral dalam pembiayaan negara. Undang-Undang Nomor 28 Tahun 2007 merumuskan pajak sebagai kontribusi wajib kepada negara yang bersifat memaksa berdasarkan undang-undang, tanpa imbalan langsung, dan diperuntukkan bagi sebesar-besarnya kemakmuran rakyat. Mardiasmo (2018) memperluas pemahaman tersebut dengan menegaskan bahwa manfaat pajak tidak dapat dinikmati secara langsung oleh pembayarnya, melainkan dirasakan secara kolektif melalui penyediaan fasilitas dan layanan publik. Kedua rumusan ini menunjukkan dua karakteristik mendasar pajak, yaitu sifatnya yang memaksa secara hukum serta manfaatnya yang tidak langsung bagi individu. Karakteristik tersebut menjadikan kepatuhan membayar pajak bukan sekadar kewajiban hukum, tetapi juga bentuk partisipasi warga dalam membiayai pembangunan daerah dan nasional.</w:t>
      </w:r>
    </w:p>
    <w:p w14:paraId="24CCE10F" w14:textId="77777777" w:rsidR="00404735" w:rsidRDefault="00000000" is_subsub="false" is_formula="false" orig_style="Normal">
      <w:pPr>
        <w:spacing w:after="120" w:line="360" w:lineRule="auto"/>
        <w:ind w:firstLine="720"/>
        <w:jc w:val="both"/>
      </w:pPr>
      <w:r>
        <w:t>Di antara berbagai jenis pajak daerah, Pajak Bumi dan Bangunan Perdesaan dan Perkotaan (PBB-P2) memegang peran strategis dalam memperkuat Pendapatan Asli Daerah (PAD). Pasal 38 Undang-Undang Nomor 1 Tahun 2022 tentang Hubungan Keuangan antara Pemerintah Pusat dan Pemerintahan Daerah merumuskan PBB-P2 sebagai pajak atas bumi dan/atau bangunan yang dimiliki, dikuasai, dan/atau dimanfaatkan oleh orang pribadi atau badan. PBB-P2 melekat pada hampir setiap pihak yang memiliki atau menempati tanah dan bangunan sehingga memiliki basis wajib pajak yang sangat luas dan potensi penerimaannya bagi daerah pun besar. Potensi itu hanya dapat terealisasi secara optimal apabila wajib pajak melunasi kewajibannya secara sukarela dan tepat waktu setelah menerima Surat Pemberitahuan Pajak Terutang (SPPT). Kenyataan di wilayah Jakarta Barat memperlihatkan bahwa kondisi ideal tersebut belum sepenuhnya tercapai.</w:t>
      </w:r>
    </w:p>
    <w:p w14:paraId="62E2C115"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 xml:space="preserve">Rendahnya kepatuhan wajib pajak dalam membayar PBB-P2 menjadi persoalan utama yang melatarbelakangi penelitian ini. Tingkat kepatuhan dapat diukur secara langsung melalui rasio antara SPPT yang telah dilunasi dan total </w:t>
      </w:r>
      <w:r>
        <w:rPr>
          <w:rFonts w:ascii="Times New Roman" w:hAnsi="Times New Roman"/>
          <w:b w:val="0"/>
          <w:i w:val="0"/>
          <w:color w:val="000000"/>
          <w:sz w:val="24"/>
        </w:rPr>
        <w:lastRenderedPageBreak/>
        <w:t>SPPT yang diterbitkan pada setiap tahun pajak. Data resmi Badan Pendapatan Daerah (Bapenda) Provinsi DKI Jakarta memperlihatkan perkembangan kepatuhan wajib pajak PBB-P2 di Jakarta Barat selama periode 2021–2025 sebagaimana tersaji pada Tabel 1.1.</w:t>
      </w:r>
    </w:p>
    <w:p w14:paraId="30162B28" w14:textId="77777777" w:rsidR="00404735" w:rsidRDefault="00000000" is_subsub="false" is_formula="false" orig_style="Caption Tabel">
      <w:pPr>
        <w:pStyle w:val="CaptionTabel"/>
        <w:ind w:left="0" w:right="0" w:firstLine="0" w:hanging="0"/>
        <w:jc w:val="center"/>
        <w:spacing w:before="240" w:after="120" w:line="240" w:lineRule="auto"/>
      </w:pPr>
      <w:bookmarkStart w:id="106" w:name="_Toc105"/>
      <w:r>
        <w:rPr>
          <w:rFonts w:ascii="Times New Roman" w:hAnsi="Times New Roman"/>
          <w:b/>
          <w:color w:val="000000"/>
          <w:sz w:val="24"/>
        </w:rPr>
        <w:t xml:space="preserve">Tabel </w:t>
      </w:r>
      <w:fldSimple w:instr=" STYLEREF 1 \s ">
        <w:r>
          <w:rPr>
            <w:rFonts w:ascii="Times New Roman" w:hAnsi="Times New Roman"/>
            <w:sz w:val="24"/>
            <w:b/>
            <w:color w:val="000000"/>
            <w:noProof/>
          </w:rPr>
          <w:t>1</w:t>
        </w:r>
      </w:fldSimple>
      <w:r>
        <w:rPr>
          <w:rFonts w:ascii="Times New Roman" w:hAnsi="Times New Roman"/>
          <w:b/>
          <w:color w:val="000000"/>
          <w:sz w:val="24"/>
        </w:rPr>
        <w:t>.</w:t>
      </w:r>
      <w:fldSimple w:instr=" SEQ Tabel \* ARABIC \s 1 ">
        <w:r>
          <w:rPr>
            <w:rFonts w:ascii="Times New Roman" w:hAnsi="Times New Roman"/>
            <w:sz w:val="24"/>
            <w:b/>
            <w:color w:val="000000"/>
            <w:noProof/>
          </w:rPr>
          <w:t>1</w:t>
        </w:r>
      </w:fldSimple>
      <w:r>
        <w:rPr>
          <w:rFonts w:ascii="Times New Roman" w:hAnsi="Times New Roman"/>
          <w:b/>
          <w:color w:val="000000"/>
          <w:sz w:val="24"/>
        </w:rPr>
        <w:t xml:space="preserve"> Rekapitulasi SPPT Terbit, Lunas, Belum Lunas, dan Tingkat Kepatuhan Wajib Pajak PBB-P2 Jakarta Barat Tahun 2021–2025</w:t>
      </w:r>
      <w:bookmarkEnd w:id="106"/>
    </w:p>
    <w:tbl>
      <w:tblPr>
        <w:tblW w:w="7937" w:type="dxa"/>
        <w:jc w:val="center"/>
        <w:tblCellMar>
          <w:left w:w="10" w:type="dxa"/>
          <w:right w:w="10" w:type="dxa"/>
        </w:tblCellMar>
        <w:tblLook w:val="0000" w:firstRow="0" w:lastRow="0" w:firstColumn="0" w:lastColumn="0" w:noHBand="0" w:noVBand="0"/>
        <w:tblBorders>
          <w:top w:val="single" w:sz="8" w:space="0" w:color="000000"/>
          <w:bottom w:val="single" w:sz="8" w:space="0" w:color="000000"/>
          <w:left w:val="none"/>
          <w:right w:val="none"/>
          <w:insideH w:val="single" w:sz="4" w:space="0" w:color="000000"/>
          <w:insideV w:val="none"/>
        </w:tblBorders>
      </w:tblPr>
      <w:tblGrid>
        <w:gridCol w:w="1101"/>
        <w:gridCol w:w="1700"/>
        <w:gridCol w:w="1900"/>
        <w:gridCol w:w="1700"/>
        <w:gridCol w:w="1536"/>
      </w:tblGrid>
      <w:tr w:rsidR="00404735" w14:paraId="7B586E3C" w14:textId="77777777">
        <w:tblPrEx>
          <w:tblCellMar>
            <w:top w:w="0" w:type="dxa"/>
            <w:bottom w:w="0" w:type="dxa"/>
          </w:tblCellMar>
        </w:tblPrEx>
        <w:trPr>
          <w:tblHeader/>
          <w:jc w:val="center"/>
          <w:cantSplit/>
        </w:trPr>
        <w:tc>
          <w:tcPr>
            <w:tcW w:w="11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5D825FEB" w14:textId="77777777" w:rsidR="00404735" w:rsidRDefault="00000000">
            <w:pPr>
              <w:spacing w:before="40" w:after="40" w:line="240" w:lineRule="auto"/>
              <w:jc w:val="center"/>
            </w:pPr>
            <w:r>
              <w:rPr>
                <w:rFonts w:ascii="Times New Roman" w:hAnsi="Times New Roman"/>
                <w:b/>
                <w:bCs/>
                <w:color w:val="000000"/>
                <w:sz w:val="20"/>
              </w:rPr>
              <w:t>Tahun</w:t>
            </w:r>
          </w:p>
        </w:tc>
        <w:tc>
          <w:tcPr>
            <w:tcW w:w="17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6DA691A9" w14:textId="77777777" w:rsidR="00404735" w:rsidRDefault="00000000">
            <w:pPr>
              <w:spacing w:before="40" w:after="40" w:line="240" w:lineRule="auto"/>
              <w:jc w:val="center"/>
            </w:pPr>
            <w:r>
              <w:rPr>
                <w:rFonts w:ascii="Times New Roman" w:hAnsi="Times New Roman"/>
                <w:b/>
                <w:bCs/>
                <w:color w:val="000000"/>
                <w:sz w:val="20"/>
              </w:rPr>
              <w:t>SPPT Lunas</w:t>
            </w:r>
          </w:p>
        </w:tc>
        <w:tc>
          <w:tcPr>
            <w:tcW w:w="19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2A2EF1B0" w14:textId="77777777" w:rsidR="00404735" w:rsidRDefault="00000000">
            <w:pPr>
              <w:spacing w:before="40" w:after="40" w:line="240" w:lineRule="auto"/>
              <w:jc w:val="center"/>
            </w:pPr>
            <w:r>
              <w:rPr>
                <w:rFonts w:ascii="Times New Roman" w:hAnsi="Times New Roman"/>
                <w:b/>
                <w:bCs/>
                <w:color w:val="000000"/>
                <w:sz w:val="20"/>
              </w:rPr>
              <w:t>SPPT Belum Lunas</w:t>
            </w:r>
          </w:p>
        </w:tc>
        <w:tc>
          <w:tcPr>
            <w:tcW w:w="17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65FAB8FD" w14:textId="77777777" w:rsidR="00404735" w:rsidRDefault="00000000">
            <w:pPr>
              <w:spacing w:before="40" w:after="40" w:line="240" w:lineRule="auto"/>
              <w:jc w:val="center"/>
            </w:pPr>
            <w:r>
              <w:rPr>
                <w:rFonts w:ascii="Times New Roman" w:hAnsi="Times New Roman"/>
                <w:b/>
                <w:bCs/>
                <w:color w:val="000000"/>
                <w:sz w:val="20"/>
              </w:rPr>
              <w:t>Total SPPT</w:t>
            </w:r>
          </w:p>
        </w:tc>
        <w:tc>
          <w:tcPr>
            <w:tcW w:w="1536"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5E97A9C2" w14:textId="77777777" w:rsidR="00404735" w:rsidRDefault="00000000">
            <w:pPr>
              <w:spacing w:before="40" w:after="40" w:line="240" w:lineRule="auto"/>
              <w:jc w:val="center"/>
            </w:pPr>
            <w:r>
              <w:rPr>
                <w:rFonts w:ascii="Times New Roman" w:hAnsi="Times New Roman"/>
                <w:b/>
                <w:bCs/>
                <w:color w:val="000000"/>
                <w:sz w:val="20"/>
              </w:rPr>
              <w:t>Tingkat Kepatuhan (%)</w:t>
            </w:r>
          </w:p>
        </w:tc>
      </w:tr>
      <w:tr w:rsidR="00404735" w14:paraId="59E384C6" w14:textId="77777777">
        <w:tblPrEx>
          <w:tblCellMar>
            <w:top w:w="0" w:type="dxa"/>
            <w:bottom w:w="0" w:type="dxa"/>
          </w:tblCellMar>
        </w:tblPrEx>
        <w:trPr>
          <w:jc w:val="center"/>
          <w:cantSplit/>
        </w:trPr>
        <w:tc>
          <w:tcPr>
            <w:tcW w:w="1100" w:type="dxa"/>
            <w:tcMar>
              <w:top w:w="40" w:type="dxa"/>
              <w:left w:w="80" w:type="dxa"/>
              <w:bottom w:w="40" w:type="dxa"/>
              <w:right w:w="80" w:type="dxa"/>
            </w:tcMar>
            <w:vAlign w:val="center"/>
            <w:tcBorders>
              <w:top w:val="none"/>
              <w:left w:val="none"/>
              <w:right w:val="none"/>
              <w:bottom w:val="single" w:sz="4" w:space="0" w:color="000000"/>
            </w:tcBorders>
          </w:tcPr>
          <w:p w14:paraId="0A89F02E" w14:textId="77777777" w:rsidR="00404735" w:rsidRDefault="00000000">
            <w:pPr>
              <w:spacing w:before="40" w:after="40" w:line="240" w:lineRule="auto"/>
            </w:pPr>
            <w:r>
              <w:rPr>
                <w:rFonts w:ascii="Times New Roman" w:hAnsi="Times New Roman"/>
                <w:color w:val="000000"/>
                <w:sz w:val="20"/>
              </w:rPr>
              <w:t>2021</w:t>
            </w:r>
          </w:p>
        </w:tc>
        <w:tc>
          <w:tcPr>
            <w:tcW w:w="1700" w:type="dxa"/>
            <w:tcMar>
              <w:top w:w="40" w:type="dxa"/>
              <w:left w:w="80" w:type="dxa"/>
              <w:bottom w:w="40" w:type="dxa"/>
              <w:right w:w="80" w:type="dxa"/>
            </w:tcMar>
            <w:vAlign w:val="center"/>
            <w:tcBorders>
              <w:top w:val="none"/>
              <w:left w:val="none"/>
              <w:right w:val="none"/>
              <w:bottom w:val="single" w:sz="4" w:space="0" w:color="000000"/>
            </w:tcBorders>
          </w:tcPr>
          <w:p w14:paraId="68CFDC44" w14:textId="77777777" w:rsidR="00404735" w:rsidRDefault="00000000">
            <w:pPr>
              <w:spacing w:before="40" w:after="40" w:line="240" w:lineRule="auto"/>
              <w:jc w:val="center"/>
            </w:pPr>
            <w:r>
              <w:rPr>
                <w:rFonts w:ascii="Times New Roman" w:hAnsi="Times New Roman"/>
                <w:color w:val="000000"/>
                <w:sz w:val="20"/>
              </w:rPr>
              <w:t>429.298</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09420874" w14:textId="77777777" w:rsidR="00404735" w:rsidRDefault="00000000">
            <w:pPr>
              <w:spacing w:before="40" w:after="40" w:line="240" w:lineRule="auto"/>
              <w:jc w:val="center"/>
            </w:pPr>
            <w:r>
              <w:rPr>
                <w:rFonts w:ascii="Times New Roman" w:hAnsi="Times New Roman"/>
                <w:color w:val="000000"/>
                <w:sz w:val="20"/>
              </w:rPr>
              <w:t>50.583</w:t>
            </w:r>
          </w:p>
        </w:tc>
        <w:tc>
          <w:tcPr>
            <w:tcW w:w="1700" w:type="dxa"/>
            <w:tcMar>
              <w:top w:w="40" w:type="dxa"/>
              <w:left w:w="80" w:type="dxa"/>
              <w:bottom w:w="40" w:type="dxa"/>
              <w:right w:w="80" w:type="dxa"/>
            </w:tcMar>
            <w:vAlign w:val="center"/>
            <w:tcBorders>
              <w:top w:val="none"/>
              <w:left w:val="none"/>
              <w:right w:val="none"/>
              <w:bottom w:val="single" w:sz="4" w:space="0" w:color="000000"/>
            </w:tcBorders>
          </w:tcPr>
          <w:p w14:paraId="454B0542" w14:textId="77777777" w:rsidR="00404735" w:rsidRDefault="00000000">
            <w:pPr>
              <w:spacing w:before="40" w:after="40" w:line="240" w:lineRule="auto"/>
              <w:jc w:val="center"/>
            </w:pPr>
            <w:r>
              <w:rPr>
                <w:rFonts w:ascii="Times New Roman" w:hAnsi="Times New Roman"/>
                <w:color w:val="000000"/>
                <w:sz w:val="20"/>
              </w:rPr>
              <w:t>479.881</w:t>
            </w:r>
          </w:p>
        </w:tc>
        <w:tc>
          <w:tcPr>
            <w:tcW w:w="1536" w:type="dxa"/>
            <w:tcMar>
              <w:top w:w="40" w:type="dxa"/>
              <w:left w:w="80" w:type="dxa"/>
              <w:bottom w:w="40" w:type="dxa"/>
              <w:right w:w="80" w:type="dxa"/>
            </w:tcMar>
            <w:vAlign w:val="center"/>
            <w:tcBorders>
              <w:top w:val="none"/>
              <w:left w:val="none"/>
              <w:right w:val="none"/>
              <w:bottom w:val="single" w:sz="4" w:space="0" w:color="000000"/>
            </w:tcBorders>
          </w:tcPr>
          <w:p w14:paraId="6A159AE0" w14:textId="77777777" w:rsidR="00404735" w:rsidRDefault="00000000">
            <w:pPr>
              <w:spacing w:before="40" w:after="40" w:line="240" w:lineRule="auto"/>
              <w:jc w:val="center"/>
            </w:pPr>
            <w:r>
              <w:rPr>
                <w:rFonts w:ascii="Times New Roman" w:hAnsi="Times New Roman"/>
                <w:color w:val="000000"/>
                <w:sz w:val="20"/>
              </w:rPr>
              <w:t>89,46%</w:t>
            </w:r>
          </w:p>
        </w:tc>
      </w:tr>
      <w:tr w:rsidR="00404735" w14:paraId="4B26040A" w14:textId="77777777">
        <w:tblPrEx>
          <w:tblCellMar>
            <w:top w:w="0" w:type="dxa"/>
            <w:bottom w:w="0" w:type="dxa"/>
          </w:tblCellMar>
        </w:tblPrEx>
        <w:trPr>
          <w:jc w:val="center"/>
          <w:cantSplit/>
        </w:trPr>
        <w:tc>
          <w:tcPr>
            <w:tcW w:w="1100" w:type="dxa"/>
            <w:tcMar>
              <w:top w:w="40" w:type="dxa"/>
              <w:left w:w="80" w:type="dxa"/>
              <w:bottom w:w="40" w:type="dxa"/>
              <w:right w:w="80" w:type="dxa"/>
            </w:tcMar>
            <w:vAlign w:val="center"/>
            <w:tcBorders>
              <w:top w:val="none"/>
              <w:left w:val="none"/>
              <w:right w:val="none"/>
              <w:bottom w:val="single" w:sz="4" w:space="0" w:color="000000"/>
            </w:tcBorders>
          </w:tcPr>
          <w:p w14:paraId="0869945F" w14:textId="77777777" w:rsidR="00404735" w:rsidRDefault="00000000">
            <w:pPr>
              <w:spacing w:before="40" w:after="40" w:line="240" w:lineRule="auto"/>
            </w:pPr>
            <w:r>
              <w:rPr>
                <w:rFonts w:ascii="Times New Roman" w:hAnsi="Times New Roman"/>
                <w:color w:val="000000"/>
                <w:sz w:val="20"/>
              </w:rPr>
              <w:t>2022</w:t>
            </w:r>
          </w:p>
        </w:tc>
        <w:tc>
          <w:tcPr>
            <w:tcW w:w="1700" w:type="dxa"/>
            <w:tcMar>
              <w:top w:w="40" w:type="dxa"/>
              <w:left w:w="80" w:type="dxa"/>
              <w:bottom w:w="40" w:type="dxa"/>
              <w:right w:w="80" w:type="dxa"/>
            </w:tcMar>
            <w:vAlign w:val="center"/>
            <w:tcBorders>
              <w:top w:val="none"/>
              <w:left w:val="none"/>
              <w:right w:val="none"/>
              <w:bottom w:val="single" w:sz="4" w:space="0" w:color="000000"/>
            </w:tcBorders>
          </w:tcPr>
          <w:p w14:paraId="556DBE54" w14:textId="77777777" w:rsidR="00404735" w:rsidRDefault="00000000">
            <w:pPr>
              <w:spacing w:before="40" w:after="40" w:line="240" w:lineRule="auto"/>
              <w:jc w:val="center"/>
            </w:pPr>
            <w:r>
              <w:rPr>
                <w:rFonts w:ascii="Times New Roman" w:hAnsi="Times New Roman"/>
                <w:color w:val="000000"/>
                <w:sz w:val="20"/>
              </w:rPr>
              <w:t>164.325</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6E2B70BC" w14:textId="77777777" w:rsidR="00404735" w:rsidRDefault="00000000">
            <w:pPr>
              <w:spacing w:before="40" w:after="40" w:line="240" w:lineRule="auto"/>
              <w:jc w:val="center"/>
            </w:pPr>
            <w:r>
              <w:rPr>
                <w:rFonts w:ascii="Times New Roman" w:hAnsi="Times New Roman"/>
                <w:color w:val="000000"/>
                <w:sz w:val="20"/>
              </w:rPr>
              <w:t>304.751</w:t>
            </w:r>
          </w:p>
        </w:tc>
        <w:tc>
          <w:tcPr>
            <w:tcW w:w="1700" w:type="dxa"/>
            <w:tcMar>
              <w:top w:w="40" w:type="dxa"/>
              <w:left w:w="80" w:type="dxa"/>
              <w:bottom w:w="40" w:type="dxa"/>
              <w:right w:w="80" w:type="dxa"/>
            </w:tcMar>
            <w:vAlign w:val="center"/>
            <w:tcBorders>
              <w:top w:val="none"/>
              <w:left w:val="none"/>
              <w:right w:val="none"/>
              <w:bottom w:val="single" w:sz="4" w:space="0" w:color="000000"/>
            </w:tcBorders>
          </w:tcPr>
          <w:p w14:paraId="1390BC6F" w14:textId="77777777" w:rsidR="00404735" w:rsidRDefault="00000000">
            <w:pPr>
              <w:spacing w:before="40" w:after="40" w:line="240" w:lineRule="auto"/>
              <w:jc w:val="center"/>
            </w:pPr>
            <w:r>
              <w:rPr>
                <w:rFonts w:ascii="Times New Roman" w:hAnsi="Times New Roman"/>
                <w:color w:val="000000"/>
                <w:sz w:val="20"/>
              </w:rPr>
              <w:t>469.076</w:t>
            </w:r>
          </w:p>
        </w:tc>
        <w:tc>
          <w:tcPr>
            <w:tcW w:w="1536" w:type="dxa"/>
            <w:tcMar>
              <w:top w:w="40" w:type="dxa"/>
              <w:left w:w="80" w:type="dxa"/>
              <w:bottom w:w="40" w:type="dxa"/>
              <w:right w:w="80" w:type="dxa"/>
            </w:tcMar>
            <w:vAlign w:val="center"/>
            <w:tcBorders>
              <w:top w:val="none"/>
              <w:left w:val="none"/>
              <w:right w:val="none"/>
              <w:bottom w:val="single" w:sz="4" w:space="0" w:color="000000"/>
            </w:tcBorders>
          </w:tcPr>
          <w:p w14:paraId="3299A399" w14:textId="77777777" w:rsidR="00404735" w:rsidRDefault="00000000">
            <w:pPr>
              <w:spacing w:before="40" w:after="40" w:line="240" w:lineRule="auto"/>
              <w:jc w:val="center"/>
            </w:pPr>
            <w:r>
              <w:rPr>
                <w:rFonts w:ascii="Times New Roman" w:hAnsi="Times New Roman"/>
                <w:color w:val="000000"/>
                <w:sz w:val="20"/>
              </w:rPr>
              <w:t>35,03%</w:t>
            </w:r>
          </w:p>
        </w:tc>
      </w:tr>
      <w:tr w:rsidR="00404735" w14:paraId="2E70EC61" w14:textId="77777777">
        <w:tblPrEx>
          <w:tblCellMar>
            <w:top w:w="0" w:type="dxa"/>
            <w:bottom w:w="0" w:type="dxa"/>
          </w:tblCellMar>
        </w:tblPrEx>
        <w:trPr>
          <w:jc w:val="center"/>
          <w:cantSplit/>
        </w:trPr>
        <w:tc>
          <w:tcPr>
            <w:tcW w:w="1100" w:type="dxa"/>
            <w:tcMar>
              <w:top w:w="40" w:type="dxa"/>
              <w:left w:w="80" w:type="dxa"/>
              <w:bottom w:w="40" w:type="dxa"/>
              <w:right w:w="80" w:type="dxa"/>
            </w:tcMar>
            <w:vAlign w:val="center"/>
            <w:tcBorders>
              <w:top w:val="none"/>
              <w:left w:val="none"/>
              <w:right w:val="none"/>
              <w:bottom w:val="single" w:sz="4" w:space="0" w:color="000000"/>
            </w:tcBorders>
          </w:tcPr>
          <w:p w14:paraId="0C75DD36" w14:textId="77777777" w:rsidR="00404735" w:rsidRDefault="00000000">
            <w:pPr>
              <w:spacing w:before="40" w:after="40" w:line="240" w:lineRule="auto"/>
            </w:pPr>
            <w:r>
              <w:rPr>
                <w:rFonts w:ascii="Times New Roman" w:hAnsi="Times New Roman"/>
                <w:color w:val="000000"/>
                <w:sz w:val="20"/>
              </w:rPr>
              <w:t>2023</w:t>
            </w:r>
          </w:p>
        </w:tc>
        <w:tc>
          <w:tcPr>
            <w:tcW w:w="1700" w:type="dxa"/>
            <w:tcMar>
              <w:top w:w="40" w:type="dxa"/>
              <w:left w:w="80" w:type="dxa"/>
              <w:bottom w:w="40" w:type="dxa"/>
              <w:right w:w="80" w:type="dxa"/>
            </w:tcMar>
            <w:vAlign w:val="center"/>
            <w:tcBorders>
              <w:top w:val="none"/>
              <w:left w:val="none"/>
              <w:right w:val="none"/>
              <w:bottom w:val="single" w:sz="4" w:space="0" w:color="000000"/>
            </w:tcBorders>
          </w:tcPr>
          <w:p w14:paraId="20B41179" w14:textId="77777777" w:rsidR="00404735" w:rsidRDefault="00000000">
            <w:pPr>
              <w:spacing w:before="40" w:after="40" w:line="240" w:lineRule="auto"/>
              <w:jc w:val="center"/>
            </w:pPr>
            <w:r>
              <w:rPr>
                <w:rFonts w:ascii="Times New Roman" w:hAnsi="Times New Roman"/>
                <w:color w:val="000000"/>
                <w:sz w:val="20"/>
              </w:rPr>
              <w:t>161.512</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370F12EB" w14:textId="77777777" w:rsidR="00404735" w:rsidRDefault="00000000">
            <w:pPr>
              <w:spacing w:before="40" w:after="40" w:line="240" w:lineRule="auto"/>
              <w:jc w:val="center"/>
            </w:pPr>
            <w:r>
              <w:rPr>
                <w:rFonts w:ascii="Times New Roman" w:hAnsi="Times New Roman"/>
                <w:color w:val="000000"/>
                <w:sz w:val="20"/>
              </w:rPr>
              <w:t>312.835</w:t>
            </w:r>
          </w:p>
        </w:tc>
        <w:tc>
          <w:tcPr>
            <w:tcW w:w="1700" w:type="dxa"/>
            <w:tcMar>
              <w:top w:w="40" w:type="dxa"/>
              <w:left w:w="80" w:type="dxa"/>
              <w:bottom w:w="40" w:type="dxa"/>
              <w:right w:w="80" w:type="dxa"/>
            </w:tcMar>
            <w:vAlign w:val="center"/>
            <w:tcBorders>
              <w:top w:val="none"/>
              <w:left w:val="none"/>
              <w:right w:val="none"/>
              <w:bottom w:val="single" w:sz="4" w:space="0" w:color="000000"/>
            </w:tcBorders>
          </w:tcPr>
          <w:p w14:paraId="5855918B" w14:textId="77777777" w:rsidR="00404735" w:rsidRDefault="00000000">
            <w:pPr>
              <w:spacing w:before="40" w:after="40" w:line="240" w:lineRule="auto"/>
              <w:jc w:val="center"/>
            </w:pPr>
            <w:r>
              <w:rPr>
                <w:rFonts w:ascii="Times New Roman" w:hAnsi="Times New Roman"/>
                <w:color w:val="000000"/>
                <w:sz w:val="20"/>
              </w:rPr>
              <w:t>474.347</w:t>
            </w:r>
          </w:p>
        </w:tc>
        <w:tc>
          <w:tcPr>
            <w:tcW w:w="1536" w:type="dxa"/>
            <w:tcMar>
              <w:top w:w="40" w:type="dxa"/>
              <w:left w:w="80" w:type="dxa"/>
              <w:bottom w:w="40" w:type="dxa"/>
              <w:right w:w="80" w:type="dxa"/>
            </w:tcMar>
            <w:vAlign w:val="center"/>
            <w:tcBorders>
              <w:top w:val="none"/>
              <w:left w:val="none"/>
              <w:right w:val="none"/>
              <w:bottom w:val="single" w:sz="4" w:space="0" w:color="000000"/>
            </w:tcBorders>
          </w:tcPr>
          <w:p w14:paraId="65BD68F8" w14:textId="77777777" w:rsidR="00404735" w:rsidRDefault="00000000">
            <w:pPr>
              <w:spacing w:before="40" w:after="40" w:line="240" w:lineRule="auto"/>
              <w:jc w:val="center"/>
            </w:pPr>
            <w:r>
              <w:rPr>
                <w:rFonts w:ascii="Times New Roman" w:hAnsi="Times New Roman"/>
                <w:color w:val="000000"/>
                <w:sz w:val="20"/>
              </w:rPr>
              <w:t>34,05%</w:t>
            </w:r>
          </w:p>
        </w:tc>
      </w:tr>
      <w:tr w:rsidR="00404735" w14:paraId="6FCD258A" w14:textId="77777777">
        <w:tblPrEx>
          <w:tblCellMar>
            <w:top w:w="0" w:type="dxa"/>
            <w:bottom w:w="0" w:type="dxa"/>
          </w:tblCellMar>
        </w:tblPrEx>
        <w:trPr>
          <w:jc w:val="center"/>
          <w:cantSplit/>
        </w:trPr>
        <w:tc>
          <w:tcPr>
            <w:tcW w:w="1100" w:type="dxa"/>
            <w:tcMar>
              <w:top w:w="40" w:type="dxa"/>
              <w:left w:w="80" w:type="dxa"/>
              <w:bottom w:w="40" w:type="dxa"/>
              <w:right w:w="80" w:type="dxa"/>
            </w:tcMar>
            <w:vAlign w:val="center"/>
            <w:tcBorders>
              <w:top w:val="none"/>
              <w:left w:val="none"/>
              <w:right w:val="none"/>
              <w:bottom w:val="single" w:sz="4" w:space="0" w:color="000000"/>
            </w:tcBorders>
          </w:tcPr>
          <w:p w14:paraId="3D290980" w14:textId="77777777" w:rsidR="00404735" w:rsidRDefault="00000000">
            <w:pPr>
              <w:spacing w:before="40" w:after="40" w:line="240" w:lineRule="auto"/>
            </w:pPr>
            <w:r>
              <w:rPr>
                <w:rFonts w:ascii="Times New Roman" w:hAnsi="Times New Roman"/>
                <w:color w:val="000000"/>
                <w:sz w:val="20"/>
              </w:rPr>
              <w:t>2024</w:t>
            </w:r>
          </w:p>
        </w:tc>
        <w:tc>
          <w:tcPr>
            <w:tcW w:w="1700" w:type="dxa"/>
            <w:tcMar>
              <w:top w:w="40" w:type="dxa"/>
              <w:left w:w="80" w:type="dxa"/>
              <w:bottom w:w="40" w:type="dxa"/>
              <w:right w:w="80" w:type="dxa"/>
            </w:tcMar>
            <w:vAlign w:val="center"/>
            <w:tcBorders>
              <w:top w:val="none"/>
              <w:left w:val="none"/>
              <w:right w:val="none"/>
              <w:bottom w:val="single" w:sz="4" w:space="0" w:color="000000"/>
            </w:tcBorders>
          </w:tcPr>
          <w:p w14:paraId="6A5E392E" w14:textId="77777777" w:rsidR="00404735" w:rsidRDefault="00000000">
            <w:pPr>
              <w:spacing w:before="40" w:after="40" w:line="240" w:lineRule="auto"/>
              <w:jc w:val="center"/>
            </w:pPr>
            <w:r>
              <w:rPr>
                <w:rFonts w:ascii="Times New Roman" w:hAnsi="Times New Roman"/>
                <w:color w:val="000000"/>
                <w:sz w:val="20"/>
              </w:rPr>
              <w:t>228.293</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3BC49711" w14:textId="77777777" w:rsidR="00404735" w:rsidRDefault="00000000">
            <w:pPr>
              <w:spacing w:before="40" w:after="40" w:line="240" w:lineRule="auto"/>
              <w:jc w:val="center"/>
            </w:pPr>
            <w:r>
              <w:rPr>
                <w:rFonts w:ascii="Times New Roman" w:hAnsi="Times New Roman"/>
                <w:color w:val="000000"/>
                <w:sz w:val="20"/>
              </w:rPr>
              <w:t>250.005</w:t>
            </w:r>
          </w:p>
        </w:tc>
        <w:tc>
          <w:tcPr>
            <w:tcW w:w="1700" w:type="dxa"/>
            <w:tcMar>
              <w:top w:w="40" w:type="dxa"/>
              <w:left w:w="80" w:type="dxa"/>
              <w:bottom w:w="40" w:type="dxa"/>
              <w:right w:w="80" w:type="dxa"/>
            </w:tcMar>
            <w:vAlign w:val="center"/>
            <w:tcBorders>
              <w:top w:val="none"/>
              <w:left w:val="none"/>
              <w:right w:val="none"/>
              <w:bottom w:val="single" w:sz="4" w:space="0" w:color="000000"/>
            </w:tcBorders>
          </w:tcPr>
          <w:p w14:paraId="7FE43C97" w14:textId="77777777" w:rsidR="00404735" w:rsidRDefault="00000000">
            <w:pPr>
              <w:spacing w:before="40" w:after="40" w:line="240" w:lineRule="auto"/>
              <w:jc w:val="center"/>
            </w:pPr>
            <w:r>
              <w:rPr>
                <w:rFonts w:ascii="Times New Roman" w:hAnsi="Times New Roman"/>
                <w:color w:val="000000"/>
                <w:sz w:val="20"/>
              </w:rPr>
              <w:t>478.298</w:t>
            </w:r>
          </w:p>
        </w:tc>
        <w:tc>
          <w:tcPr>
            <w:tcW w:w="1536" w:type="dxa"/>
            <w:tcMar>
              <w:top w:w="40" w:type="dxa"/>
              <w:left w:w="80" w:type="dxa"/>
              <w:bottom w:w="40" w:type="dxa"/>
              <w:right w:w="80" w:type="dxa"/>
            </w:tcMar>
            <w:vAlign w:val="center"/>
            <w:tcBorders>
              <w:top w:val="none"/>
              <w:left w:val="none"/>
              <w:right w:val="none"/>
              <w:bottom w:val="single" w:sz="4" w:space="0" w:color="000000"/>
            </w:tcBorders>
          </w:tcPr>
          <w:p w14:paraId="71F56FC1" w14:textId="77777777" w:rsidR="00404735" w:rsidRDefault="00000000">
            <w:pPr>
              <w:spacing w:before="40" w:after="40" w:line="240" w:lineRule="auto"/>
              <w:jc w:val="center"/>
            </w:pPr>
            <w:r>
              <w:rPr>
                <w:rFonts w:ascii="Times New Roman" w:hAnsi="Times New Roman"/>
                <w:color w:val="000000"/>
                <w:sz w:val="20"/>
              </w:rPr>
              <w:t>47,73%</w:t>
            </w:r>
          </w:p>
        </w:tc>
      </w:tr>
      <w:tr w:rsidR="00404735" w14:paraId="3689EC4C" w14:textId="77777777">
        <w:tblPrEx>
          <w:tblCellMar>
            <w:top w:w="0" w:type="dxa"/>
            <w:bottom w:w="0" w:type="dxa"/>
          </w:tblCellMar>
        </w:tblPrEx>
        <w:trPr>
          <w:jc w:val="center"/>
          <w:cantSplit/>
        </w:trPr>
        <w:tc>
          <w:tcPr>
            <w:tcW w:w="1100" w:type="dxa"/>
            <w:tcMar>
              <w:top w:w="40" w:type="dxa"/>
              <w:left w:w="80" w:type="dxa"/>
              <w:bottom w:w="40" w:type="dxa"/>
              <w:right w:w="80" w:type="dxa"/>
            </w:tcMar>
            <w:vAlign w:val="center"/>
            <w:tcBorders>
              <w:top w:val="none"/>
              <w:left w:val="none"/>
              <w:right w:val="none"/>
              <w:bottom w:val="single" w:sz="8" w:space="0" w:color="000000"/>
            </w:tcBorders>
          </w:tcPr>
          <w:p w14:paraId="2C2604AA" w14:textId="77777777" w:rsidR="00404735" w:rsidRDefault="00000000">
            <w:pPr>
              <w:spacing w:before="40" w:after="40" w:line="240" w:lineRule="auto"/>
            </w:pPr>
            <w:r>
              <w:rPr>
                <w:rFonts w:ascii="Times New Roman" w:hAnsi="Times New Roman"/>
                <w:color w:val="000000"/>
                <w:sz w:val="20"/>
              </w:rPr>
              <w:t>2025</w:t>
            </w:r>
          </w:p>
        </w:tc>
        <w:tc>
          <w:tcPr>
            <w:tcW w:w="1700" w:type="dxa"/>
            <w:tcMar>
              <w:top w:w="40" w:type="dxa"/>
              <w:left w:w="80" w:type="dxa"/>
              <w:bottom w:w="40" w:type="dxa"/>
              <w:right w:w="80" w:type="dxa"/>
            </w:tcMar>
            <w:vAlign w:val="center"/>
            <w:tcBorders>
              <w:top w:val="none"/>
              <w:left w:val="none"/>
              <w:right w:val="none"/>
              <w:bottom w:val="single" w:sz="8" w:space="0" w:color="000000"/>
            </w:tcBorders>
          </w:tcPr>
          <w:p w14:paraId="498DA607" w14:textId="77777777" w:rsidR="00404735" w:rsidRDefault="00000000">
            <w:pPr>
              <w:spacing w:before="40" w:after="40" w:line="240" w:lineRule="auto"/>
              <w:jc w:val="center"/>
            </w:pPr>
            <w:r>
              <w:rPr>
                <w:rFonts w:ascii="Times New Roman" w:hAnsi="Times New Roman"/>
                <w:color w:val="000000"/>
                <w:sz w:val="20"/>
              </w:rPr>
              <w:t>208.566</w:t>
            </w:r>
          </w:p>
        </w:tc>
        <w:tc>
          <w:tcPr>
            <w:tcW w:w="1900" w:type="dxa"/>
            <w:tcMar>
              <w:top w:w="40" w:type="dxa"/>
              <w:left w:w="80" w:type="dxa"/>
              <w:bottom w:w="40" w:type="dxa"/>
              <w:right w:w="80" w:type="dxa"/>
            </w:tcMar>
            <w:vAlign w:val="center"/>
            <w:tcBorders>
              <w:top w:val="none"/>
              <w:left w:val="none"/>
              <w:right w:val="none"/>
              <w:bottom w:val="single" w:sz="8" w:space="0" w:color="000000"/>
            </w:tcBorders>
          </w:tcPr>
          <w:p w14:paraId="5A274431" w14:textId="77777777" w:rsidR="00404735" w:rsidRDefault="00000000">
            <w:pPr>
              <w:spacing w:before="40" w:after="40" w:line="240" w:lineRule="auto"/>
              <w:jc w:val="center"/>
            </w:pPr>
            <w:r>
              <w:rPr>
                <w:rFonts w:ascii="Times New Roman" w:hAnsi="Times New Roman"/>
                <w:color w:val="000000"/>
                <w:sz w:val="20"/>
              </w:rPr>
              <w:t>278.666</w:t>
            </w:r>
          </w:p>
        </w:tc>
        <w:tc>
          <w:tcPr>
            <w:tcW w:w="1700" w:type="dxa"/>
            <w:tcMar>
              <w:top w:w="40" w:type="dxa"/>
              <w:left w:w="80" w:type="dxa"/>
              <w:bottom w:w="40" w:type="dxa"/>
              <w:right w:w="80" w:type="dxa"/>
            </w:tcMar>
            <w:vAlign w:val="center"/>
            <w:tcBorders>
              <w:top w:val="none"/>
              <w:left w:val="none"/>
              <w:right w:val="none"/>
              <w:bottom w:val="single" w:sz="8" w:space="0" w:color="000000"/>
            </w:tcBorders>
          </w:tcPr>
          <w:p w14:paraId="2F6FE9FD" w14:textId="77777777" w:rsidR="00404735" w:rsidRDefault="00000000">
            <w:pPr>
              <w:spacing w:before="40" w:after="40" w:line="240" w:lineRule="auto"/>
              <w:jc w:val="center"/>
            </w:pPr>
            <w:r>
              <w:rPr>
                <w:rFonts w:ascii="Times New Roman" w:hAnsi="Times New Roman"/>
                <w:color w:val="000000"/>
                <w:sz w:val="20"/>
              </w:rPr>
              <w:t>487.232</w:t>
            </w:r>
          </w:p>
        </w:tc>
        <w:tc>
          <w:tcPr>
            <w:tcW w:w="1536" w:type="dxa"/>
            <w:tcMar>
              <w:top w:w="40" w:type="dxa"/>
              <w:left w:w="80" w:type="dxa"/>
              <w:bottom w:w="40" w:type="dxa"/>
              <w:right w:w="80" w:type="dxa"/>
            </w:tcMar>
            <w:vAlign w:val="center"/>
            <w:tcBorders>
              <w:top w:val="none"/>
              <w:left w:val="none"/>
              <w:right w:val="none"/>
              <w:bottom w:val="single" w:sz="8" w:space="0" w:color="000000"/>
            </w:tcBorders>
          </w:tcPr>
          <w:p w14:paraId="73704EBF" w14:textId="77777777" w:rsidR="00404735" w:rsidRDefault="00000000">
            <w:pPr>
              <w:spacing w:before="40" w:after="40" w:line="240" w:lineRule="auto"/>
              <w:jc w:val="center"/>
            </w:pPr>
            <w:r>
              <w:rPr>
                <w:rFonts w:ascii="Times New Roman" w:hAnsi="Times New Roman"/>
                <w:color w:val="000000"/>
                <w:sz w:val="20"/>
              </w:rPr>
              <w:t>42,81%</w:t>
            </w:r>
          </w:p>
        </w:tc>
      </w:tr>
    </w:tbl>
    <w:p w14:paraId="643B03A3" w14:textId="77777777" w:rsidR="00404735" w:rsidRDefault="00000000" is_subsub="false" is_formula="false" orig_style="Normal">
      <w:pPr>
        <w:spacing w:before="60" w:after="120" w:line="240" w:lineRule="auto"/>
        <w:ind w:left="0" w:right="0" w:firstLine="0"/>
        <w:jc w:val="left"/>
      </w:pPr>
      <w:r>
        <w:rPr>
          <w:rFonts w:ascii="Times New Roman" w:hAnsi="Times New Roman"/>
          <w:b w:val="0"/>
          <w:i w:val="0"/>
          <w:iCs/>
          <w:color w:val="000000"/>
          <w:sz w:val="20"/>
          <w:szCs w:val="22"/>
        </w:rPr>
        <w:t>Sumber: Badan Pendapatan Daerah Provinsi DKI Jakarta (data ditarik per 11 Mei 2026, diolah oleh peneliti, 2026).</w:t>
      </w:r>
    </w:p>
    <w:p w14:paraId="470770DC" w14:textId="77777777" w:rsidR="00404735" w:rsidRDefault="00000000" is_subsub="false" is_formula="false" orig_style="Normal">
      <w:pPr>
        <w:spacing w:after="120" w:line="360" w:lineRule="auto"/>
        <w:ind w:firstLine="720"/>
        <w:jc w:val="both"/>
      </w:pPr>
      <w:r>
        <w:t>Tabel 1.1 memperlihatkan penurunan kepatuhan yang tajam setelah tahun 2021. Pada 2021 tingkat kepatuhan masih mencapai 89,46%, yaitu 429.298 SPPT terlunasi dari 479.881 SPPT yang diterbitkan. Angka tersebut turun drastis menjadi 35,03% pada 2022 ketika hanya 164.325 dari 469.076 SPPT yang terbayar. Kondisi serupa berlanjut pada 2023 dengan kepatuhan 34,05%, lalu membaik tipis menjadi 47,73% pada 2024, sebelum kembali turun ke 42,81% pada 2025 dengan 278.666 SPPT belum terlunasi dari total 487.232. Selama empat tahun beruntun sejak 2022, lebih dari separuh wajib pajak PBB-P2 di Jakarta Barat tidak memenuhi kewajibannya.</w:t>
      </w:r>
    </w:p>
    <w:p w14:paraId="0381904D"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Rendahnya kepatuhan berdampak langsung pada capaian penerimaan PBB-P2 daerah. Sepanjang 2021 hingga 2023, realisasi penerimaan PBB-P2 di Jakarta Barat tidak mencapai target yang ditetapkan. Pada 2021, dari target Rp1.559.073.000.000 hanya terealisasi Rp1.194.266.066.859 atau 76,60%, sehingga terdapat kekurangan sebesar Rp364.806.933.141. Realisasi baru melampaui target pada 2024 dan 2025, masing-masing sebesar 101,12% dan 106,78%. Rincian data disajikan pada Tabel 1.2.</w:t>
      </w:r>
    </w:p>
    <w:p w14:paraId="1C898E6D" w14:textId="77777777" w:rsidR="00404735" w:rsidRDefault="00000000" is_subsub="false" is_formula="false" orig_style="Caption Tabel">
      <w:pPr>
        <w:pStyle w:val="CaptionTabel"/>
        <w:ind w:left="0" w:right="0" w:firstLine="0" w:hanging="0"/>
        <w:jc w:val="center"/>
        <w:spacing w:before="240" w:after="120" w:line="240" w:lineRule="auto"/>
      </w:pPr>
      <w:bookmarkStart w:id="107" w:name="_Toc106"/>
      <w:r>
        <w:rPr>
          <w:rFonts w:ascii="Times New Roman" w:hAnsi="Times New Roman"/>
          <w:b/>
          <w:color w:val="000000"/>
          <w:sz w:val="24"/>
        </w:rPr>
        <w:t xml:space="preserve">Tabel </w:t>
      </w:r>
      <w:fldSimple w:instr=" STYLEREF 1 \s ">
        <w:r>
          <w:rPr>
            <w:rFonts w:ascii="Times New Roman" w:hAnsi="Times New Roman"/>
            <w:sz w:val="24"/>
            <w:b/>
            <w:color w:val="000000"/>
            <w:noProof/>
          </w:rPr>
          <w:t>1</w:t>
        </w:r>
      </w:fldSimple>
      <w:r>
        <w:rPr>
          <w:rFonts w:ascii="Times New Roman" w:hAnsi="Times New Roman"/>
          <w:b/>
          <w:color w:val="000000"/>
          <w:sz w:val="24"/>
        </w:rPr>
        <w:t>.</w:t>
      </w:r>
      <w:fldSimple w:instr=" SEQ Tabel \* ARABIC \s 1 ">
        <w:r>
          <w:rPr>
            <w:rFonts w:ascii="Times New Roman" w:hAnsi="Times New Roman"/>
            <w:sz w:val="24"/>
            <w:b/>
            <w:color w:val="000000"/>
            <w:noProof/>
          </w:rPr>
          <w:t>2</w:t>
        </w:r>
      </w:fldSimple>
      <w:r>
        <w:rPr>
          <w:rFonts w:ascii="Times New Roman" w:hAnsi="Times New Roman"/>
          <w:b/>
          <w:color w:val="000000"/>
          <w:sz w:val="24"/>
        </w:rPr>
        <w:t xml:space="preserve"> Target dan Realisasi Penerimaan PBB-P2 Wilayah Jakarta Barat Tahun 2021–2025</w:t>
      </w:r>
      <w:bookmarkEnd w:id="107"/>
    </w:p>
    <w:tbl>
      <w:tblPr>
        <w:tblW w:w="7937" w:type="dxa"/>
        <w:jc w:val="center"/>
        <w:tblCellMar>
          <w:left w:w="10" w:type="dxa"/>
          <w:right w:w="10" w:type="dxa"/>
        </w:tblCellMar>
        <w:tblLook w:val="0000" w:firstRow="0" w:lastRow="0" w:firstColumn="0" w:lastColumn="0" w:noHBand="0" w:noVBand="0"/>
        <w:tblBorders>
          <w:top w:val="single" w:sz="8" w:space="0" w:color="000000"/>
          <w:bottom w:val="single" w:sz="8" w:space="0" w:color="000000"/>
          <w:left w:val="none"/>
          <w:right w:val="none"/>
          <w:insideH w:val="single" w:sz="4" w:space="0" w:color="000000"/>
          <w:insideV w:val="none"/>
        </w:tblBorders>
      </w:tblPr>
      <w:tblGrid>
        <w:gridCol w:w="875"/>
        <w:gridCol w:w="1960"/>
        <w:gridCol w:w="1960"/>
        <w:gridCol w:w="1940"/>
        <w:gridCol w:w="1202"/>
      </w:tblGrid>
      <w:tr w:rsidR="00404735" w14:paraId="18FC1820" w14:textId="77777777">
        <w:tblPrEx>
          <w:tblCellMar>
            <w:top w:w="0" w:type="dxa"/>
            <w:bottom w:w="0" w:type="dxa"/>
          </w:tblCellMar>
        </w:tblPrEx>
        <w:trPr>
          <w:tblHeader/>
          <w:jc w:val="center"/>
          <w:cantSplit/>
        </w:trPr>
        <w:tc>
          <w:tcPr>
            <w:tcW w:w="9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6429A4C4" w14:textId="77777777" w:rsidR="00404735" w:rsidRDefault="00000000">
            <w:pPr>
              <w:spacing w:before="40" w:after="40" w:line="240" w:lineRule="auto"/>
              <w:jc w:val="center"/>
            </w:pPr>
            <w:r>
              <w:rPr>
                <w:rFonts w:ascii="Times New Roman" w:hAnsi="Times New Roman"/>
                <w:b/>
                <w:bCs/>
                <w:color w:val="000000"/>
                <w:sz w:val="20"/>
              </w:rPr>
              <w:t>Tahun</w:t>
            </w:r>
          </w:p>
        </w:tc>
        <w:tc>
          <w:tcPr>
            <w:tcW w:w="19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2CA2E3BF" w14:textId="77777777" w:rsidR="00404735" w:rsidRDefault="00000000">
            <w:pPr>
              <w:spacing w:before="40" w:after="40" w:line="240" w:lineRule="auto"/>
              <w:jc w:val="center"/>
            </w:pPr>
            <w:r>
              <w:rPr>
                <w:rFonts w:ascii="Times New Roman" w:hAnsi="Times New Roman"/>
                <w:b/>
                <w:bCs/>
                <w:color w:val="000000"/>
                <w:sz w:val="20"/>
              </w:rPr>
              <w:t>Target (Rp)</w:t>
            </w:r>
          </w:p>
        </w:tc>
        <w:tc>
          <w:tcPr>
            <w:tcW w:w="19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0007E97D" w14:textId="77777777" w:rsidR="00404735" w:rsidRDefault="00000000">
            <w:pPr>
              <w:spacing w:before="40" w:after="40" w:line="240" w:lineRule="auto"/>
              <w:jc w:val="center"/>
            </w:pPr>
            <w:r>
              <w:rPr>
                <w:rFonts w:ascii="Times New Roman" w:hAnsi="Times New Roman"/>
                <w:b/>
                <w:bCs/>
                <w:color w:val="000000"/>
                <w:sz w:val="20"/>
              </w:rPr>
              <w:t>Realisasi (Rp)</w:t>
            </w:r>
          </w:p>
        </w:tc>
        <w:tc>
          <w:tcPr>
            <w:tcW w:w="19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4A94FE62" w14:textId="77777777" w:rsidR="00404735" w:rsidRDefault="00000000">
            <w:pPr>
              <w:spacing w:before="40" w:after="40" w:line="240" w:lineRule="auto"/>
              <w:jc w:val="center"/>
            </w:pPr>
            <w:r>
              <w:rPr>
                <w:rFonts w:ascii="Times New Roman" w:hAnsi="Times New Roman"/>
                <w:b/>
                <w:bCs/>
                <w:color w:val="000000"/>
                <w:sz w:val="20"/>
              </w:rPr>
              <w:t>Selisih (Rp)</w:t>
            </w:r>
          </w:p>
        </w:tc>
        <w:tc>
          <w:tcPr>
            <w:tcW w:w="1336"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50EFC241" w14:textId="77777777" w:rsidR="00404735" w:rsidRDefault="00000000">
            <w:pPr>
              <w:spacing w:before="40" w:after="40" w:line="240" w:lineRule="auto"/>
              <w:jc w:val="center"/>
            </w:pPr>
            <w:r>
              <w:rPr>
                <w:rFonts w:ascii="Times New Roman" w:hAnsi="Times New Roman"/>
                <w:b/>
                <w:bCs/>
                <w:color w:val="000000"/>
                <w:sz w:val="20"/>
              </w:rPr>
              <w:t>Capaian (%)</w:t>
            </w:r>
          </w:p>
        </w:tc>
      </w:tr>
      <w:tr w:rsidR="00404735" w14:paraId="3619CA52" w14:textId="77777777">
        <w:tblPrEx>
          <w:tblCellMar>
            <w:top w:w="0" w:type="dxa"/>
            <w:bottom w:w="0" w:type="dxa"/>
          </w:tblCellMar>
        </w:tblPrEx>
        <w:trPr>
          <w:jc w:val="center"/>
          <w:cantSplit/>
        </w:trPr>
        <w:tc>
          <w:tcPr>
            <w:tcW w:w="900" w:type="dxa"/>
            <w:tcMar>
              <w:top w:w="40" w:type="dxa"/>
              <w:left w:w="80" w:type="dxa"/>
              <w:bottom w:w="40" w:type="dxa"/>
              <w:right w:w="80" w:type="dxa"/>
            </w:tcMar>
            <w:vAlign w:val="center"/>
            <w:tcBorders>
              <w:top w:val="none"/>
              <w:left w:val="none"/>
              <w:right w:val="none"/>
              <w:bottom w:val="single" w:sz="4" w:space="0" w:color="000000"/>
            </w:tcBorders>
          </w:tcPr>
          <w:p w14:paraId="1A36354E" w14:textId="77777777" w:rsidR="00404735" w:rsidRDefault="00000000">
            <w:pPr>
              <w:spacing w:before="40" w:after="40" w:line="240" w:lineRule="auto"/>
            </w:pPr>
            <w:r>
              <w:rPr>
                <w:rFonts w:ascii="Times New Roman" w:hAnsi="Times New Roman"/>
                <w:color w:val="000000"/>
                <w:sz w:val="20"/>
              </w:rPr>
              <w:t>2021</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2CA7B539" w14:textId="77777777" w:rsidR="00404735" w:rsidRDefault="00000000">
            <w:pPr>
              <w:spacing w:before="40" w:after="40" w:line="240" w:lineRule="auto"/>
              <w:jc w:val="center"/>
            </w:pPr>
            <w:r>
              <w:rPr>
                <w:rFonts w:ascii="Times New Roman" w:hAnsi="Times New Roman"/>
                <w:color w:val="000000"/>
                <w:sz w:val="20"/>
              </w:rPr>
              <w:t>1.559.073.000.000</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38E014EA" w14:textId="77777777" w:rsidR="00404735" w:rsidRDefault="00000000">
            <w:pPr>
              <w:spacing w:before="40" w:after="40" w:line="240" w:lineRule="auto"/>
              <w:jc w:val="center"/>
            </w:pPr>
            <w:r>
              <w:rPr>
                <w:rFonts w:ascii="Times New Roman" w:hAnsi="Times New Roman"/>
                <w:color w:val="000000"/>
                <w:sz w:val="20"/>
              </w:rPr>
              <w:t>1.194.266.066.859</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078F1A3F" w14:textId="77777777" w:rsidR="00404735" w:rsidRDefault="00000000">
            <w:pPr>
              <w:spacing w:before="40" w:after="40" w:line="240" w:lineRule="auto"/>
              <w:jc w:val="center"/>
            </w:pPr>
            <w:r>
              <w:rPr>
                <w:rFonts w:ascii="Times New Roman" w:hAnsi="Times New Roman"/>
                <w:color w:val="000000"/>
                <w:sz w:val="20"/>
              </w:rPr>
              <w:t>364.806.933.141</w:t>
            </w:r>
          </w:p>
        </w:tc>
        <w:tc>
          <w:tcPr>
            <w:tcW w:w="1336" w:type="dxa"/>
            <w:tcMar>
              <w:top w:w="40" w:type="dxa"/>
              <w:left w:w="80" w:type="dxa"/>
              <w:bottom w:w="40" w:type="dxa"/>
              <w:right w:w="80" w:type="dxa"/>
            </w:tcMar>
            <w:vAlign w:val="center"/>
            <w:tcBorders>
              <w:top w:val="none"/>
              <w:left w:val="none"/>
              <w:right w:val="none"/>
              <w:bottom w:val="single" w:sz="4" w:space="0" w:color="000000"/>
            </w:tcBorders>
          </w:tcPr>
          <w:p w14:paraId="17EE9012" w14:textId="77777777" w:rsidR="00404735" w:rsidRDefault="00000000">
            <w:pPr>
              <w:spacing w:before="40" w:after="40" w:line="240" w:lineRule="auto"/>
              <w:jc w:val="center"/>
            </w:pPr>
            <w:r>
              <w:rPr>
                <w:rFonts w:ascii="Times New Roman" w:hAnsi="Times New Roman"/>
                <w:color w:val="000000"/>
                <w:sz w:val="20"/>
              </w:rPr>
              <w:t>76,60%</w:t>
            </w:r>
          </w:p>
        </w:tc>
      </w:tr>
      <w:tr w:rsidR="00404735" w14:paraId="6344787E" w14:textId="77777777">
        <w:tblPrEx>
          <w:tblCellMar>
            <w:top w:w="0" w:type="dxa"/>
            <w:bottom w:w="0" w:type="dxa"/>
          </w:tblCellMar>
        </w:tblPrEx>
        <w:trPr>
          <w:jc w:val="center"/>
          <w:cantSplit/>
        </w:trPr>
        <w:tc>
          <w:tcPr>
            <w:tcW w:w="900" w:type="dxa"/>
            <w:tcMar>
              <w:top w:w="40" w:type="dxa"/>
              <w:left w:w="80" w:type="dxa"/>
              <w:bottom w:w="40" w:type="dxa"/>
              <w:right w:w="80" w:type="dxa"/>
            </w:tcMar>
            <w:vAlign w:val="center"/>
            <w:tcBorders>
              <w:top w:val="none"/>
              <w:left w:val="none"/>
              <w:right w:val="none"/>
              <w:bottom w:val="single" w:sz="4" w:space="0" w:color="000000"/>
            </w:tcBorders>
          </w:tcPr>
          <w:p w14:paraId="16738615" w14:textId="77777777" w:rsidR="00404735" w:rsidRDefault="00000000">
            <w:pPr>
              <w:spacing w:before="40" w:after="40" w:line="240" w:lineRule="auto"/>
            </w:pPr>
            <w:r>
              <w:rPr>
                <w:rFonts w:ascii="Times New Roman" w:hAnsi="Times New Roman"/>
                <w:color w:val="000000"/>
                <w:sz w:val="20"/>
              </w:rPr>
              <w:t>2022</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68EB8262" w14:textId="77777777" w:rsidR="00404735" w:rsidRDefault="00000000">
            <w:pPr>
              <w:spacing w:before="40" w:after="40" w:line="240" w:lineRule="auto"/>
              <w:jc w:val="center"/>
            </w:pPr>
            <w:r>
              <w:rPr>
                <w:rFonts w:ascii="Times New Roman" w:hAnsi="Times New Roman"/>
                <w:color w:val="000000"/>
                <w:sz w:val="20"/>
              </w:rPr>
              <w:t>1.446.189.000.000</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2DF5D0A1" w14:textId="77777777" w:rsidR="00404735" w:rsidRDefault="00000000">
            <w:pPr>
              <w:spacing w:before="40" w:after="40" w:line="240" w:lineRule="auto"/>
              <w:jc w:val="center"/>
            </w:pPr>
            <w:r>
              <w:rPr>
                <w:rFonts w:ascii="Times New Roman" w:hAnsi="Times New Roman"/>
                <w:color w:val="000000"/>
                <w:sz w:val="20"/>
              </w:rPr>
              <w:t>1.186.259.118.230</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4A5180F6" w14:textId="77777777" w:rsidR="00404735" w:rsidRDefault="00000000">
            <w:pPr>
              <w:spacing w:before="40" w:after="40" w:line="240" w:lineRule="auto"/>
              <w:jc w:val="center"/>
            </w:pPr>
            <w:r>
              <w:rPr>
                <w:rFonts w:ascii="Times New Roman" w:hAnsi="Times New Roman"/>
                <w:color w:val="000000"/>
                <w:sz w:val="20"/>
              </w:rPr>
              <w:t>259.929.881.770</w:t>
            </w:r>
          </w:p>
        </w:tc>
        <w:tc>
          <w:tcPr>
            <w:tcW w:w="1336" w:type="dxa"/>
            <w:tcMar>
              <w:top w:w="40" w:type="dxa"/>
              <w:left w:w="80" w:type="dxa"/>
              <w:bottom w:w="40" w:type="dxa"/>
              <w:right w:w="80" w:type="dxa"/>
            </w:tcMar>
            <w:vAlign w:val="center"/>
            <w:tcBorders>
              <w:top w:val="none"/>
              <w:left w:val="none"/>
              <w:right w:val="none"/>
              <w:bottom w:val="single" w:sz="4" w:space="0" w:color="000000"/>
            </w:tcBorders>
          </w:tcPr>
          <w:p w14:paraId="33CD3A5B" w14:textId="77777777" w:rsidR="00404735" w:rsidRDefault="00000000">
            <w:pPr>
              <w:spacing w:before="40" w:after="40" w:line="240" w:lineRule="auto"/>
              <w:jc w:val="center"/>
            </w:pPr>
            <w:r>
              <w:rPr>
                <w:rFonts w:ascii="Times New Roman" w:hAnsi="Times New Roman"/>
                <w:color w:val="000000"/>
                <w:sz w:val="20"/>
              </w:rPr>
              <w:t>82,03%</w:t>
            </w:r>
          </w:p>
        </w:tc>
      </w:tr>
      <w:tr w:rsidR="00404735" w14:paraId="55E16E86" w14:textId="77777777">
        <w:tblPrEx>
          <w:tblCellMar>
            <w:top w:w="0" w:type="dxa"/>
            <w:bottom w:w="0" w:type="dxa"/>
          </w:tblCellMar>
        </w:tblPrEx>
        <w:trPr>
          <w:jc w:val="center"/>
          <w:cantSplit/>
        </w:trPr>
        <w:tc>
          <w:tcPr>
            <w:tcW w:w="900" w:type="dxa"/>
            <w:tcMar>
              <w:top w:w="40" w:type="dxa"/>
              <w:left w:w="80" w:type="dxa"/>
              <w:bottom w:w="40" w:type="dxa"/>
              <w:right w:w="80" w:type="dxa"/>
            </w:tcMar>
            <w:vAlign w:val="center"/>
            <w:tcBorders>
              <w:top w:val="none"/>
              <w:left w:val="none"/>
              <w:right w:val="none"/>
              <w:bottom w:val="single" w:sz="4" w:space="0" w:color="000000"/>
            </w:tcBorders>
          </w:tcPr>
          <w:p w14:paraId="54CF65E5" w14:textId="77777777" w:rsidR="00404735" w:rsidRDefault="00000000">
            <w:pPr>
              <w:spacing w:before="40" w:after="40" w:line="240" w:lineRule="auto"/>
            </w:pPr>
            <w:r>
              <w:rPr>
                <w:rFonts w:ascii="Times New Roman" w:hAnsi="Times New Roman"/>
                <w:color w:val="000000"/>
                <w:sz w:val="20"/>
              </w:rPr>
              <w:t>2023</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3384E027" w14:textId="77777777" w:rsidR="00404735" w:rsidRDefault="00000000">
            <w:pPr>
              <w:spacing w:before="40" w:after="40" w:line="240" w:lineRule="auto"/>
              <w:jc w:val="center"/>
            </w:pPr>
            <w:r>
              <w:rPr>
                <w:rFonts w:ascii="Times New Roman" w:hAnsi="Times New Roman"/>
                <w:color w:val="000000"/>
                <w:sz w:val="20"/>
              </w:rPr>
              <w:t>1.362.404.460.000</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0B980978" w14:textId="77777777" w:rsidR="00404735" w:rsidRDefault="00000000">
            <w:pPr>
              <w:spacing w:before="40" w:after="40" w:line="240" w:lineRule="auto"/>
              <w:jc w:val="center"/>
            </w:pPr>
            <w:r>
              <w:rPr>
                <w:rFonts w:ascii="Times New Roman" w:hAnsi="Times New Roman"/>
                <w:color w:val="000000"/>
                <w:sz w:val="20"/>
              </w:rPr>
              <w:t>1.290.668.395.497</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62AFF724" w14:textId="77777777" w:rsidR="00404735" w:rsidRDefault="00000000">
            <w:pPr>
              <w:spacing w:before="40" w:after="40" w:line="240" w:lineRule="auto"/>
              <w:jc w:val="center"/>
            </w:pPr>
            <w:r>
              <w:rPr>
                <w:rFonts w:ascii="Times New Roman" w:hAnsi="Times New Roman"/>
                <w:color w:val="000000"/>
                <w:sz w:val="20"/>
              </w:rPr>
              <w:t>71.736.064.503</w:t>
            </w:r>
          </w:p>
        </w:tc>
        <w:tc>
          <w:tcPr>
            <w:tcW w:w="1336" w:type="dxa"/>
            <w:tcMar>
              <w:top w:w="40" w:type="dxa"/>
              <w:left w:w="80" w:type="dxa"/>
              <w:bottom w:w="40" w:type="dxa"/>
              <w:right w:w="80" w:type="dxa"/>
            </w:tcMar>
            <w:vAlign w:val="center"/>
            <w:tcBorders>
              <w:top w:val="none"/>
              <w:left w:val="none"/>
              <w:right w:val="none"/>
              <w:bottom w:val="single" w:sz="4" w:space="0" w:color="000000"/>
            </w:tcBorders>
          </w:tcPr>
          <w:p w14:paraId="13A902E9" w14:textId="77777777" w:rsidR="00404735" w:rsidRDefault="00000000">
            <w:pPr>
              <w:spacing w:before="40" w:after="40" w:line="240" w:lineRule="auto"/>
              <w:jc w:val="center"/>
            </w:pPr>
            <w:r>
              <w:rPr>
                <w:rFonts w:ascii="Times New Roman" w:hAnsi="Times New Roman"/>
                <w:color w:val="000000"/>
                <w:sz w:val="20"/>
              </w:rPr>
              <w:t>94,73%</w:t>
            </w:r>
          </w:p>
        </w:tc>
      </w:tr>
      <w:tr w:rsidR="00404735" w14:paraId="63C54FD7" w14:textId="77777777">
        <w:tblPrEx>
          <w:tblCellMar>
            <w:top w:w="0" w:type="dxa"/>
            <w:bottom w:w="0" w:type="dxa"/>
          </w:tblCellMar>
        </w:tblPrEx>
        <w:trPr>
          <w:jc w:val="center"/>
          <w:cantSplit/>
        </w:trPr>
        <w:tc>
          <w:tcPr>
            <w:tcW w:w="900" w:type="dxa"/>
            <w:tcMar>
              <w:top w:w="40" w:type="dxa"/>
              <w:left w:w="80" w:type="dxa"/>
              <w:bottom w:w="40" w:type="dxa"/>
              <w:right w:w="80" w:type="dxa"/>
            </w:tcMar>
            <w:vAlign w:val="center"/>
            <w:tcBorders>
              <w:top w:val="none"/>
              <w:left w:val="none"/>
              <w:right w:val="none"/>
              <w:bottom w:val="single" w:sz="4" w:space="0" w:color="000000"/>
            </w:tcBorders>
          </w:tcPr>
          <w:p w14:paraId="4459E844" w14:textId="77777777" w:rsidR="00404735" w:rsidRDefault="00000000">
            <w:pPr>
              <w:spacing w:before="40" w:after="40" w:line="240" w:lineRule="auto"/>
            </w:pPr>
            <w:r>
              <w:rPr>
                <w:rFonts w:ascii="Times New Roman" w:hAnsi="Times New Roman"/>
                <w:color w:val="000000"/>
                <w:sz w:val="20"/>
              </w:rPr>
              <w:t>2024</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48304D86" w14:textId="77777777" w:rsidR="00404735" w:rsidRDefault="00000000">
            <w:pPr>
              <w:spacing w:before="40" w:after="40" w:line="240" w:lineRule="auto"/>
              <w:jc w:val="center"/>
            </w:pPr>
            <w:r>
              <w:rPr>
                <w:rFonts w:ascii="Times New Roman" w:hAnsi="Times New Roman"/>
                <w:color w:val="000000"/>
                <w:sz w:val="20"/>
              </w:rPr>
              <w:t>1.497.534.000.000</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001AD8D6" w14:textId="77777777" w:rsidR="00404735" w:rsidRDefault="00000000">
            <w:pPr>
              <w:spacing w:before="40" w:after="40" w:line="240" w:lineRule="auto"/>
              <w:jc w:val="center"/>
            </w:pPr>
            <w:r>
              <w:rPr>
                <w:rFonts w:ascii="Times New Roman" w:hAnsi="Times New Roman"/>
                <w:color w:val="000000"/>
                <w:sz w:val="20"/>
              </w:rPr>
              <w:t>1.514.262.407.159</w:t>
            </w:r>
          </w:p>
        </w:tc>
        <w:tc>
          <w:tcPr>
            <w:tcW w:w="1900" w:type="dxa"/>
            <w:tcMar>
              <w:top w:w="40" w:type="dxa"/>
              <w:left w:w="80" w:type="dxa"/>
              <w:bottom w:w="40" w:type="dxa"/>
              <w:right w:w="80" w:type="dxa"/>
            </w:tcMar>
            <w:vAlign w:val="center"/>
            <w:tcBorders>
              <w:top w:val="none"/>
              <w:left w:val="none"/>
              <w:right w:val="none"/>
              <w:bottom w:val="single" w:sz="4" w:space="0" w:color="000000"/>
            </w:tcBorders>
          </w:tcPr>
          <w:p w14:paraId="20FD4457" w14:textId="77777777" w:rsidR="00404735" w:rsidRDefault="00000000">
            <w:pPr>
              <w:spacing w:before="40" w:after="40" w:line="240" w:lineRule="auto"/>
              <w:jc w:val="center"/>
            </w:pPr>
            <w:r>
              <w:rPr>
                <w:rFonts w:ascii="Times New Roman" w:hAnsi="Times New Roman"/>
                <w:color w:val="000000"/>
                <w:sz w:val="20"/>
              </w:rPr>
              <w:t>(16.728.407.159)</w:t>
            </w:r>
          </w:p>
        </w:tc>
        <w:tc>
          <w:tcPr>
            <w:tcW w:w="1336" w:type="dxa"/>
            <w:tcMar>
              <w:top w:w="40" w:type="dxa"/>
              <w:left w:w="80" w:type="dxa"/>
              <w:bottom w:w="40" w:type="dxa"/>
              <w:right w:w="80" w:type="dxa"/>
            </w:tcMar>
            <w:vAlign w:val="center"/>
            <w:tcBorders>
              <w:top w:val="none"/>
              <w:left w:val="none"/>
              <w:right w:val="none"/>
              <w:bottom w:val="single" w:sz="4" w:space="0" w:color="000000"/>
            </w:tcBorders>
          </w:tcPr>
          <w:p w14:paraId="2F3372BC" w14:textId="77777777" w:rsidR="00404735" w:rsidRDefault="00000000">
            <w:pPr>
              <w:spacing w:before="40" w:after="40" w:line="240" w:lineRule="auto"/>
              <w:jc w:val="center"/>
            </w:pPr>
            <w:r>
              <w:rPr>
                <w:rFonts w:ascii="Times New Roman" w:hAnsi="Times New Roman"/>
                <w:color w:val="000000"/>
                <w:sz w:val="20"/>
              </w:rPr>
              <w:t>101,12%</w:t>
            </w:r>
          </w:p>
        </w:tc>
      </w:tr>
      <w:tr w:rsidR="00404735" w14:paraId="4376E918" w14:textId="77777777">
        <w:tblPrEx>
          <w:tblCellMar>
            <w:top w:w="0" w:type="dxa"/>
            <w:bottom w:w="0" w:type="dxa"/>
          </w:tblCellMar>
        </w:tblPrEx>
        <w:trPr>
          <w:jc w:val="center"/>
          <w:cantSplit/>
        </w:trPr>
        <w:tc>
          <w:tcPr>
            <w:tcW w:w="900" w:type="dxa"/>
            <w:tcMar>
              <w:top w:w="40" w:type="dxa"/>
              <w:left w:w="80" w:type="dxa"/>
              <w:bottom w:w="40" w:type="dxa"/>
              <w:right w:w="80" w:type="dxa"/>
            </w:tcMar>
            <w:vAlign w:val="center"/>
            <w:tcBorders>
              <w:top w:val="none"/>
              <w:left w:val="none"/>
              <w:right w:val="none"/>
              <w:bottom w:val="single" w:sz="8" w:space="0" w:color="000000"/>
            </w:tcBorders>
          </w:tcPr>
          <w:p w14:paraId="2394D821" w14:textId="77777777" w:rsidR="00404735" w:rsidRDefault="00000000">
            <w:pPr>
              <w:spacing w:before="40" w:after="40" w:line="240" w:lineRule="auto"/>
            </w:pPr>
            <w:r>
              <w:rPr>
                <w:rFonts w:ascii="Times New Roman" w:hAnsi="Times New Roman"/>
                <w:color w:val="000000"/>
                <w:sz w:val="20"/>
              </w:rPr>
              <w:t>2025</w:t>
            </w:r>
          </w:p>
        </w:tc>
        <w:tc>
          <w:tcPr>
            <w:tcW w:w="1900" w:type="dxa"/>
            <w:tcMar>
              <w:top w:w="40" w:type="dxa"/>
              <w:left w:w="80" w:type="dxa"/>
              <w:bottom w:w="40" w:type="dxa"/>
              <w:right w:w="80" w:type="dxa"/>
            </w:tcMar>
            <w:vAlign w:val="center"/>
            <w:tcBorders>
              <w:top w:val="none"/>
              <w:left w:val="none"/>
              <w:right w:val="none"/>
              <w:bottom w:val="single" w:sz="8" w:space="0" w:color="000000"/>
            </w:tcBorders>
          </w:tcPr>
          <w:p w14:paraId="2034287B" w14:textId="77777777" w:rsidR="00404735" w:rsidRDefault="00000000">
            <w:pPr>
              <w:spacing w:before="40" w:after="40" w:line="240" w:lineRule="auto"/>
              <w:jc w:val="center"/>
            </w:pPr>
            <w:r>
              <w:rPr>
                <w:rFonts w:ascii="Times New Roman" w:hAnsi="Times New Roman"/>
                <w:color w:val="000000"/>
                <w:sz w:val="20"/>
              </w:rPr>
              <w:t>1.586.731.000.000</w:t>
            </w:r>
          </w:p>
        </w:tc>
        <w:tc>
          <w:tcPr>
            <w:tcW w:w="1900" w:type="dxa"/>
            <w:tcMar>
              <w:top w:w="40" w:type="dxa"/>
              <w:left w:w="80" w:type="dxa"/>
              <w:bottom w:w="40" w:type="dxa"/>
              <w:right w:w="80" w:type="dxa"/>
            </w:tcMar>
            <w:vAlign w:val="center"/>
            <w:tcBorders>
              <w:top w:val="none"/>
              <w:left w:val="none"/>
              <w:right w:val="none"/>
              <w:bottom w:val="single" w:sz="8" w:space="0" w:color="000000"/>
            </w:tcBorders>
          </w:tcPr>
          <w:p w14:paraId="0C01BCE5" w14:textId="77777777" w:rsidR="00404735" w:rsidRDefault="00000000">
            <w:pPr>
              <w:spacing w:before="40" w:after="40" w:line="240" w:lineRule="auto"/>
              <w:jc w:val="center"/>
            </w:pPr>
            <w:r>
              <w:rPr>
                <w:rFonts w:ascii="Times New Roman" w:hAnsi="Times New Roman"/>
                <w:color w:val="000000"/>
                <w:sz w:val="20"/>
              </w:rPr>
              <w:t>1.694.377.080.775</w:t>
            </w:r>
          </w:p>
        </w:tc>
        <w:tc>
          <w:tcPr>
            <w:tcW w:w="1900" w:type="dxa"/>
            <w:tcMar>
              <w:top w:w="40" w:type="dxa"/>
              <w:left w:w="80" w:type="dxa"/>
              <w:bottom w:w="40" w:type="dxa"/>
              <w:right w:w="80" w:type="dxa"/>
            </w:tcMar>
            <w:vAlign w:val="center"/>
            <w:tcBorders>
              <w:top w:val="none"/>
              <w:left w:val="none"/>
              <w:right w:val="none"/>
              <w:bottom w:val="single" w:sz="8" w:space="0" w:color="000000"/>
            </w:tcBorders>
          </w:tcPr>
          <w:p w14:paraId="39B8583C" w14:textId="77777777" w:rsidR="00404735" w:rsidRDefault="00000000">
            <w:pPr>
              <w:spacing w:before="40" w:after="40" w:line="240" w:lineRule="auto"/>
              <w:jc w:val="center"/>
            </w:pPr>
            <w:r>
              <w:rPr>
                <w:rFonts w:ascii="Times New Roman" w:hAnsi="Times New Roman"/>
                <w:color w:val="000000"/>
                <w:sz w:val="20"/>
              </w:rPr>
              <w:t>(107.646.080.775)</w:t>
            </w:r>
          </w:p>
        </w:tc>
        <w:tc>
          <w:tcPr>
            <w:tcW w:w="1336" w:type="dxa"/>
            <w:tcMar>
              <w:top w:w="40" w:type="dxa"/>
              <w:left w:w="80" w:type="dxa"/>
              <w:bottom w:w="40" w:type="dxa"/>
              <w:right w:w="80" w:type="dxa"/>
            </w:tcMar>
            <w:vAlign w:val="center"/>
            <w:tcBorders>
              <w:top w:val="none"/>
              <w:left w:val="none"/>
              <w:right w:val="none"/>
              <w:bottom w:val="single" w:sz="8" w:space="0" w:color="000000"/>
            </w:tcBorders>
          </w:tcPr>
          <w:p w14:paraId="701DD4BA" w14:textId="77777777" w:rsidR="00404735" w:rsidRDefault="00000000">
            <w:pPr>
              <w:spacing w:before="40" w:after="40" w:line="240" w:lineRule="auto"/>
              <w:jc w:val="center"/>
            </w:pPr>
            <w:r>
              <w:rPr>
                <w:rFonts w:ascii="Times New Roman" w:hAnsi="Times New Roman"/>
                <w:color w:val="000000"/>
                <w:sz w:val="20"/>
              </w:rPr>
              <w:t>106,78%</w:t>
            </w:r>
          </w:p>
        </w:tc>
      </w:tr>
    </w:tbl>
    <w:p w14:paraId="43D90B92" w14:textId="77777777" w:rsidR="00404735" w:rsidRDefault="00000000" is_subsub="false" is_formula="false" orig_style="Normal">
      <w:pPr>
        <w:spacing w:before="60" w:after="120" w:line="240" w:lineRule="auto"/>
        <w:ind w:left="0" w:right="0" w:firstLine="0"/>
        <w:jc w:val="left"/>
      </w:pPr>
      <w:r>
        <w:rPr>
          <w:rFonts w:ascii="Times New Roman" w:hAnsi="Times New Roman"/>
          <w:b w:val="0"/>
          <w:i w:val="0"/>
          <w:iCs/>
          <w:color w:val="000000"/>
          <w:sz w:val="20"/>
          <w:szCs w:val="22"/>
        </w:rPr>
        <w:t>Sumber: Badan Pendapatan Daerah Provinsi DKI Jakarta (diolah oleh peneliti, 2026).</w:t>
      </w:r>
    </w:p>
    <w:p w14:paraId="789DAF4F" w14:textId="77777777" w:rsidR="00404735" w:rsidRDefault="00000000" is_subsub="false" is_formula="false" orig_style="Normal">
      <w:pPr>
        <w:spacing w:after="120" w:before="60" w:line="240" w:lineRule="auto"/>
        <w:ind w:left="0" w:right="0" w:firstLine="0"/>
        <w:jc w:val="left"/>
      </w:pPr>
      <w:r>
        <w:rPr>
          <w:rFonts w:ascii="Times New Roman" w:hAnsi="Times New Roman"/>
          <w:b w:val="0"/>
          <w:i w:val="0"/>
          <w:iCs/>
          <w:color w:val="000000"/>
          <w:sz w:val="20"/>
          <w:szCs w:val="22"/>
        </w:rPr>
        <w:t>Catatan: Angka dalam tanda kurung menandakan realisasi melebihi target.</w:t>
      </w:r>
    </w:p>
    <w:p w14:paraId="545B70A5"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Persoalan kepatuhan tampak makin mencolok bila dikaitkan dengan pertumbuhan basis pajak. Jumlah objek PBB-P2 yang terdaftar di Jakarta Barat justru terus bertambah selama periode yang sama, namun pertumbuhan tersebut tidak diiringi peningkatan kepatuhan wajib pajak. Sebaran jumlah objek pajak terdaftar per kecamatan ditampilkan pada Tabel 1.3.</w:t>
      </w:r>
    </w:p>
    <w:p w14:paraId="52FD4906" w14:textId="77777777" w:rsidR="00404735" w:rsidRDefault="00000000" is_subsub="false" is_formula="false" orig_style="Caption Tabel">
      <w:pPr>
        <w:pStyle w:val="CaptionTabel"/>
        <w:ind w:left="0" w:right="0" w:firstLine="0" w:hanging="0"/>
        <w:jc w:val="center"/>
        <w:spacing w:before="240" w:after="120" w:line="240" w:lineRule="auto"/>
      </w:pPr>
      <w:bookmarkStart w:id="108" w:name="_Toc107"/>
      <w:r>
        <w:rPr>
          <w:rFonts w:ascii="Times New Roman" w:hAnsi="Times New Roman"/>
          <w:b/>
          <w:color w:val="000000"/>
          <w:sz w:val="24"/>
        </w:rPr>
        <w:t xml:space="preserve">Tabel </w:t>
      </w:r>
      <w:fldSimple w:instr=" STYLEREF 1 \s ">
        <w:r>
          <w:rPr>
            <w:rFonts w:ascii="Times New Roman" w:hAnsi="Times New Roman"/>
            <w:sz w:val="24"/>
            <w:b/>
            <w:color w:val="000000"/>
            <w:noProof/>
          </w:rPr>
          <w:t>1</w:t>
        </w:r>
      </w:fldSimple>
      <w:r>
        <w:rPr>
          <w:rFonts w:ascii="Times New Roman" w:hAnsi="Times New Roman"/>
          <w:b/>
          <w:color w:val="000000"/>
          <w:sz w:val="24"/>
        </w:rPr>
        <w:t>.</w:t>
      </w:r>
      <w:fldSimple w:instr=" SEQ Tabel \* ARABIC \s 1 ">
        <w:r>
          <w:rPr>
            <w:rFonts w:ascii="Times New Roman" w:hAnsi="Times New Roman"/>
            <w:sz w:val="24"/>
            <w:b/>
            <w:color w:val="000000"/>
            <w:noProof/>
          </w:rPr>
          <w:t>3</w:t>
        </w:r>
      </w:fldSimple>
      <w:r>
        <w:rPr>
          <w:rFonts w:ascii="Times New Roman" w:hAnsi="Times New Roman"/>
          <w:b/>
          <w:color w:val="000000"/>
          <w:sz w:val="24"/>
        </w:rPr>
        <w:t xml:space="preserve"> Jumlah Objek PBB-P2 Terdaftar per Kecamatan di Jakarta Barat Tahun 2021–2025</w:t>
      </w:r>
      <w:bookmarkEnd w:id="108"/>
    </w:p>
    <w:tbl>
      <w:tblPr>
        <w:tblW w:w="7937" w:type="dxa"/>
        <w:jc w:val="center"/>
        <w:tblCellMar>
          <w:left w:w="10" w:type="dxa"/>
          <w:right w:w="10" w:type="dxa"/>
        </w:tblCellMar>
        <w:tblLook w:val="0000" w:firstRow="0" w:lastRow="0" w:firstColumn="0" w:lastColumn="0" w:noHBand="0" w:noVBand="0"/>
        <w:tblBorders>
          <w:top w:val="single" w:sz="8" w:space="0" w:color="000000"/>
          <w:bottom w:val="single" w:sz="8" w:space="0" w:color="000000"/>
          <w:left w:val="none"/>
          <w:right w:val="none"/>
          <w:insideH w:val="single" w:sz="4" w:space="0" w:color="000000"/>
          <w:insideV w:val="none"/>
        </w:tblBorders>
      </w:tblPr>
      <w:tblGrid>
        <w:gridCol w:w="1606"/>
        <w:gridCol w:w="941"/>
        <w:gridCol w:w="941"/>
        <w:gridCol w:w="941"/>
        <w:gridCol w:w="941"/>
        <w:gridCol w:w="980"/>
        <w:gridCol w:w="1587"/>
      </w:tblGrid>
      <w:tr w:rsidR="00404735" w14:paraId="45BE4B42" w14:textId="77777777">
        <w:tblPrEx>
          <w:tblCellMar>
            <w:top w:w="0" w:type="dxa"/>
            <w:bottom w:w="0" w:type="dxa"/>
          </w:tblCellMar>
        </w:tblPrEx>
        <w:trPr>
          <w:tblHeader/>
          <w:jc w:val="center"/>
          <w:cantSplit/>
        </w:trPr>
        <w:tc>
          <w:tcPr>
            <w:tcW w:w="1736"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59E75846" w14:textId="77777777" w:rsidR="00404735" w:rsidRDefault="00000000">
            <w:pPr>
              <w:spacing w:before="40" w:after="40" w:line="240" w:lineRule="auto"/>
              <w:jc w:val="center"/>
            </w:pPr>
            <w:r>
              <w:rPr>
                <w:rFonts w:ascii="Times New Roman" w:hAnsi="Times New Roman"/>
                <w:b/>
                <w:bCs/>
                <w:color w:val="000000"/>
                <w:sz w:val="20"/>
              </w:rPr>
              <w:t>Kecamatan</w:t>
            </w:r>
          </w:p>
        </w:tc>
        <w:tc>
          <w:tcPr>
            <w:tcW w:w="10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1B326141" w14:textId="77777777" w:rsidR="00404735" w:rsidRDefault="00000000">
            <w:pPr>
              <w:spacing w:before="40" w:after="40" w:line="240" w:lineRule="auto"/>
              <w:jc w:val="center"/>
            </w:pPr>
            <w:r>
              <w:rPr>
                <w:rFonts w:ascii="Times New Roman" w:hAnsi="Times New Roman"/>
                <w:b/>
                <w:bCs/>
                <w:color w:val="000000"/>
                <w:sz w:val="20"/>
              </w:rPr>
              <w:t>2021</w:t>
            </w:r>
          </w:p>
        </w:tc>
        <w:tc>
          <w:tcPr>
            <w:tcW w:w="10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76C9BCB2" w14:textId="77777777" w:rsidR="00404735" w:rsidRDefault="00000000">
            <w:pPr>
              <w:spacing w:before="40" w:after="40" w:line="240" w:lineRule="auto"/>
              <w:jc w:val="center"/>
            </w:pPr>
            <w:r>
              <w:rPr>
                <w:rFonts w:ascii="Times New Roman" w:hAnsi="Times New Roman"/>
                <w:b/>
                <w:bCs/>
                <w:color w:val="000000"/>
                <w:sz w:val="20"/>
              </w:rPr>
              <w:t>2022</w:t>
            </w:r>
          </w:p>
        </w:tc>
        <w:tc>
          <w:tcPr>
            <w:tcW w:w="10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345900CF" w14:textId="77777777" w:rsidR="00404735" w:rsidRDefault="00000000">
            <w:pPr>
              <w:spacing w:before="40" w:after="40" w:line="240" w:lineRule="auto"/>
              <w:jc w:val="center"/>
            </w:pPr>
            <w:r>
              <w:rPr>
                <w:rFonts w:ascii="Times New Roman" w:hAnsi="Times New Roman"/>
                <w:b/>
                <w:bCs/>
                <w:color w:val="000000"/>
                <w:sz w:val="20"/>
              </w:rPr>
              <w:t>2023</w:t>
            </w:r>
          </w:p>
        </w:tc>
        <w:tc>
          <w:tcPr>
            <w:tcW w:w="10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5580E0B0" w14:textId="77777777" w:rsidR="00404735" w:rsidRDefault="00000000">
            <w:pPr>
              <w:spacing w:before="40" w:after="40" w:line="240" w:lineRule="auto"/>
              <w:jc w:val="center"/>
            </w:pPr>
            <w:r>
              <w:rPr>
                <w:rFonts w:ascii="Times New Roman" w:hAnsi="Times New Roman"/>
                <w:b/>
                <w:bCs/>
                <w:color w:val="000000"/>
                <w:sz w:val="20"/>
              </w:rPr>
              <w:t>2024</w:t>
            </w:r>
          </w:p>
        </w:tc>
        <w:tc>
          <w:tcPr>
            <w:tcW w:w="10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4C389176" w14:textId="77777777" w:rsidR="00404735" w:rsidRDefault="00000000">
            <w:pPr>
              <w:spacing w:before="40" w:after="40" w:line="240" w:lineRule="auto"/>
              <w:jc w:val="center"/>
            </w:pPr>
            <w:r>
              <w:rPr>
                <w:rFonts w:ascii="Times New Roman" w:hAnsi="Times New Roman"/>
                <w:b/>
                <w:bCs/>
                <w:color w:val="000000"/>
                <w:sz w:val="20"/>
              </w:rPr>
              <w:t>2025</w:t>
            </w:r>
          </w:p>
        </w:tc>
        <w:tc>
          <w:tcPr>
            <w:tcW w:w="12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31312752" w14:textId="77777777" w:rsidR="00404735" w:rsidRDefault="00000000">
            <w:pPr>
              <w:spacing w:before="40" w:after="40" w:line="240" w:lineRule="auto"/>
              <w:jc w:val="center"/>
            </w:pPr>
            <w:r>
              <w:rPr>
                <w:rFonts w:ascii="Times New Roman" w:hAnsi="Times New Roman"/>
                <w:b/>
                <w:bCs/>
                <w:color w:val="000000"/>
                <w:sz w:val="20"/>
              </w:rPr>
              <w:t>Pertumbuhan</w:t>
            </w:r>
          </w:p>
        </w:tc>
      </w:tr>
      <w:tr w:rsidR="00404735" w14:paraId="69B6AAC6" w14:textId="77777777">
        <w:tblPrEx>
          <w:tblCellMar>
            <w:top w:w="0" w:type="dxa"/>
            <w:bottom w:w="0" w:type="dxa"/>
          </w:tblCellMar>
        </w:tblPrEx>
        <w:trPr>
          <w:jc w:val="center"/>
          <w:cantSplit/>
        </w:trPr>
        <w:tc>
          <w:tcPr>
            <w:tcW w:w="1736" w:type="dxa"/>
            <w:tcMar>
              <w:top w:w="40" w:type="dxa"/>
              <w:left w:w="80" w:type="dxa"/>
              <w:bottom w:w="40" w:type="dxa"/>
              <w:right w:w="80" w:type="dxa"/>
            </w:tcMar>
            <w:vAlign w:val="center"/>
            <w:tcBorders>
              <w:top w:val="none"/>
              <w:left w:val="none"/>
              <w:right w:val="none"/>
              <w:bottom w:val="single" w:sz="4" w:space="0" w:color="000000"/>
            </w:tcBorders>
          </w:tcPr>
          <w:p w14:paraId="3059EDFB" w14:textId="77777777" w:rsidR="00404735" w:rsidRDefault="00000000">
            <w:pPr>
              <w:spacing w:before="40" w:after="40" w:line="240" w:lineRule="auto"/>
            </w:pPr>
            <w:r>
              <w:rPr>
                <w:rFonts w:ascii="Times New Roman" w:hAnsi="Times New Roman"/>
                <w:color w:val="000000"/>
                <w:sz w:val="20"/>
              </w:rPr>
              <w:t>Cengkareng</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050B8935" w14:textId="77777777" w:rsidR="00404735" w:rsidRDefault="00000000">
            <w:pPr>
              <w:spacing w:before="40" w:after="40" w:line="240" w:lineRule="auto"/>
              <w:jc w:val="center"/>
            </w:pPr>
            <w:r>
              <w:rPr>
                <w:rFonts w:ascii="Times New Roman" w:hAnsi="Times New Roman"/>
                <w:color w:val="000000"/>
                <w:sz w:val="20"/>
              </w:rPr>
              <w:t>62.544</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269B739F" w14:textId="77777777" w:rsidR="00404735" w:rsidRDefault="00000000">
            <w:pPr>
              <w:spacing w:before="40" w:after="40" w:line="240" w:lineRule="auto"/>
              <w:jc w:val="center"/>
            </w:pPr>
            <w:r>
              <w:rPr>
                <w:rFonts w:ascii="Times New Roman" w:hAnsi="Times New Roman"/>
                <w:color w:val="000000"/>
                <w:sz w:val="20"/>
              </w:rPr>
              <w:t>69.686</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34AF6B89" w14:textId="77777777" w:rsidR="00404735" w:rsidRDefault="00000000">
            <w:pPr>
              <w:spacing w:before="40" w:after="40" w:line="240" w:lineRule="auto"/>
              <w:jc w:val="center"/>
            </w:pPr>
            <w:r>
              <w:rPr>
                <w:rFonts w:ascii="Times New Roman" w:hAnsi="Times New Roman"/>
                <w:color w:val="000000"/>
                <w:sz w:val="20"/>
              </w:rPr>
              <w:t>71.173</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48BD3944" w14:textId="77777777" w:rsidR="00404735" w:rsidRDefault="00000000">
            <w:pPr>
              <w:spacing w:before="40" w:after="40" w:line="240" w:lineRule="auto"/>
              <w:jc w:val="center"/>
            </w:pPr>
            <w:r>
              <w:rPr>
                <w:rFonts w:ascii="Times New Roman" w:hAnsi="Times New Roman"/>
                <w:color w:val="000000"/>
                <w:sz w:val="20"/>
              </w:rPr>
              <w:t>97.935</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1E4ABF05" w14:textId="77777777" w:rsidR="00404735" w:rsidRDefault="00000000">
            <w:pPr>
              <w:spacing w:before="40" w:after="40" w:line="240" w:lineRule="auto"/>
              <w:jc w:val="center"/>
            </w:pPr>
            <w:r>
              <w:rPr>
                <w:rFonts w:ascii="Times New Roman" w:hAnsi="Times New Roman"/>
                <w:color w:val="000000"/>
                <w:sz w:val="20"/>
              </w:rPr>
              <w:t>110.342</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348EEA13" w14:textId="77777777" w:rsidR="00404735" w:rsidRDefault="00000000">
            <w:pPr>
              <w:spacing w:before="40" w:after="40" w:line="240" w:lineRule="auto"/>
              <w:jc w:val="center"/>
            </w:pPr>
            <w:r>
              <w:rPr>
                <w:rFonts w:ascii="Times New Roman" w:hAnsi="Times New Roman"/>
                <w:color w:val="000000"/>
                <w:sz w:val="20"/>
              </w:rPr>
              <w:t>+76,4%</w:t>
            </w:r>
          </w:p>
        </w:tc>
      </w:tr>
      <w:tr w:rsidR="00404735" w14:paraId="48DE342D" w14:textId="77777777">
        <w:tblPrEx>
          <w:tblCellMar>
            <w:top w:w="0" w:type="dxa"/>
            <w:bottom w:w="0" w:type="dxa"/>
          </w:tblCellMar>
        </w:tblPrEx>
        <w:trPr>
          <w:jc w:val="center"/>
          <w:cantSplit/>
        </w:trPr>
        <w:tc>
          <w:tcPr>
            <w:tcW w:w="1736" w:type="dxa"/>
            <w:tcMar>
              <w:top w:w="40" w:type="dxa"/>
              <w:left w:w="80" w:type="dxa"/>
              <w:bottom w:w="40" w:type="dxa"/>
              <w:right w:w="80" w:type="dxa"/>
            </w:tcMar>
            <w:vAlign w:val="center"/>
            <w:tcBorders>
              <w:top w:val="none"/>
              <w:left w:val="none"/>
              <w:right w:val="none"/>
              <w:bottom w:val="single" w:sz="4" w:space="0" w:color="000000"/>
            </w:tcBorders>
          </w:tcPr>
          <w:p w14:paraId="1FC25FE6" w14:textId="77777777" w:rsidR="00404735" w:rsidRDefault="00000000">
            <w:pPr>
              <w:spacing w:before="40" w:after="40" w:line="240" w:lineRule="auto"/>
            </w:pPr>
            <w:r>
              <w:rPr>
                <w:rFonts w:ascii="Times New Roman" w:hAnsi="Times New Roman"/>
                <w:color w:val="000000"/>
                <w:sz w:val="20"/>
              </w:rPr>
              <w:t>Kalideres</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7EE5B898" w14:textId="77777777" w:rsidR="00404735" w:rsidRDefault="00000000">
            <w:pPr>
              <w:spacing w:before="40" w:after="40" w:line="240" w:lineRule="auto"/>
              <w:jc w:val="center"/>
            </w:pPr>
            <w:r>
              <w:rPr>
                <w:rFonts w:ascii="Times New Roman" w:hAnsi="Times New Roman"/>
                <w:color w:val="000000"/>
                <w:sz w:val="20"/>
              </w:rPr>
              <w:t>44.445</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4DE78858" w14:textId="77777777" w:rsidR="00404735" w:rsidRDefault="00000000">
            <w:pPr>
              <w:spacing w:before="40" w:after="40" w:line="240" w:lineRule="auto"/>
              <w:jc w:val="center"/>
            </w:pPr>
            <w:r>
              <w:rPr>
                <w:rFonts w:ascii="Times New Roman" w:hAnsi="Times New Roman"/>
                <w:color w:val="000000"/>
                <w:sz w:val="20"/>
              </w:rPr>
              <w:t>47.666</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46666BD0" w14:textId="77777777" w:rsidR="00404735" w:rsidRDefault="00000000">
            <w:pPr>
              <w:spacing w:before="40" w:after="40" w:line="240" w:lineRule="auto"/>
              <w:jc w:val="center"/>
            </w:pPr>
            <w:r>
              <w:rPr>
                <w:rFonts w:ascii="Times New Roman" w:hAnsi="Times New Roman"/>
                <w:color w:val="000000"/>
                <w:sz w:val="20"/>
              </w:rPr>
              <w:t>49.561</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6242EE37" w14:textId="77777777" w:rsidR="00404735" w:rsidRDefault="00000000">
            <w:pPr>
              <w:spacing w:before="40" w:after="40" w:line="240" w:lineRule="auto"/>
              <w:jc w:val="center"/>
            </w:pPr>
            <w:r>
              <w:rPr>
                <w:rFonts w:ascii="Times New Roman" w:hAnsi="Times New Roman"/>
                <w:color w:val="000000"/>
                <w:sz w:val="20"/>
              </w:rPr>
              <w:t>74.827</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3CB9A426" w14:textId="77777777" w:rsidR="00404735" w:rsidRDefault="00000000">
            <w:pPr>
              <w:spacing w:before="40" w:after="40" w:line="240" w:lineRule="auto"/>
              <w:jc w:val="center"/>
            </w:pPr>
            <w:r>
              <w:rPr>
                <w:rFonts w:ascii="Times New Roman" w:hAnsi="Times New Roman"/>
                <w:color w:val="000000"/>
                <w:sz w:val="20"/>
              </w:rPr>
              <w:t>85.710</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38DB1C6C" w14:textId="77777777" w:rsidR="00404735" w:rsidRDefault="00000000">
            <w:pPr>
              <w:spacing w:before="40" w:after="40" w:line="240" w:lineRule="auto"/>
              <w:jc w:val="center"/>
            </w:pPr>
            <w:r>
              <w:rPr>
                <w:rFonts w:ascii="Times New Roman" w:hAnsi="Times New Roman"/>
                <w:color w:val="000000"/>
                <w:sz w:val="20"/>
              </w:rPr>
              <w:t>+92,8%</w:t>
            </w:r>
          </w:p>
        </w:tc>
      </w:tr>
      <w:tr w:rsidR="00404735" w14:paraId="5AD27ECD" w14:textId="77777777">
        <w:tblPrEx>
          <w:tblCellMar>
            <w:top w:w="0" w:type="dxa"/>
            <w:bottom w:w="0" w:type="dxa"/>
          </w:tblCellMar>
        </w:tblPrEx>
        <w:trPr>
          <w:jc w:val="center"/>
          <w:cantSplit/>
        </w:trPr>
        <w:tc>
          <w:tcPr>
            <w:tcW w:w="1736" w:type="dxa"/>
            <w:tcMar>
              <w:top w:w="40" w:type="dxa"/>
              <w:left w:w="80" w:type="dxa"/>
              <w:bottom w:w="40" w:type="dxa"/>
              <w:right w:w="80" w:type="dxa"/>
            </w:tcMar>
            <w:vAlign w:val="center"/>
            <w:tcBorders>
              <w:top w:val="none"/>
              <w:left w:val="none"/>
              <w:right w:val="none"/>
              <w:bottom w:val="single" w:sz="4" w:space="0" w:color="000000"/>
            </w:tcBorders>
          </w:tcPr>
          <w:p w14:paraId="0F846D21" w14:textId="77777777" w:rsidR="00404735" w:rsidRDefault="00000000">
            <w:pPr>
              <w:spacing w:before="40" w:after="40" w:line="240" w:lineRule="auto"/>
            </w:pPr>
            <w:r>
              <w:rPr>
                <w:rFonts w:ascii="Times New Roman" w:hAnsi="Times New Roman"/>
                <w:color w:val="000000"/>
                <w:sz w:val="20"/>
              </w:rPr>
              <w:t>Kembangan</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665B491A" w14:textId="77777777" w:rsidR="00404735" w:rsidRDefault="00000000">
            <w:pPr>
              <w:spacing w:before="40" w:after="40" w:line="240" w:lineRule="auto"/>
              <w:jc w:val="center"/>
            </w:pPr>
            <w:r>
              <w:rPr>
                <w:rFonts w:ascii="Times New Roman" w:hAnsi="Times New Roman"/>
                <w:color w:val="000000"/>
                <w:sz w:val="20"/>
              </w:rPr>
              <w:t>50.564</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57105A89" w14:textId="77777777" w:rsidR="00404735" w:rsidRDefault="00000000">
            <w:pPr>
              <w:spacing w:before="40" w:after="40" w:line="240" w:lineRule="auto"/>
              <w:jc w:val="center"/>
            </w:pPr>
            <w:r>
              <w:rPr>
                <w:rFonts w:ascii="Times New Roman" w:hAnsi="Times New Roman"/>
                <w:color w:val="000000"/>
                <w:sz w:val="20"/>
              </w:rPr>
              <w:t>53.173</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296E2FC9" w14:textId="77777777" w:rsidR="00404735" w:rsidRDefault="00000000">
            <w:pPr>
              <w:spacing w:before="40" w:after="40" w:line="240" w:lineRule="auto"/>
              <w:jc w:val="center"/>
            </w:pPr>
            <w:r>
              <w:rPr>
                <w:rFonts w:ascii="Times New Roman" w:hAnsi="Times New Roman"/>
                <w:color w:val="000000"/>
                <w:sz w:val="20"/>
              </w:rPr>
              <w:t>55.614</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032BE8B9" w14:textId="77777777" w:rsidR="00404735" w:rsidRDefault="00000000">
            <w:pPr>
              <w:spacing w:before="40" w:after="40" w:line="240" w:lineRule="auto"/>
              <w:jc w:val="center"/>
            </w:pPr>
            <w:r>
              <w:rPr>
                <w:rFonts w:ascii="Times New Roman" w:hAnsi="Times New Roman"/>
                <w:color w:val="000000"/>
                <w:sz w:val="20"/>
              </w:rPr>
              <w:t>64.546</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468BA53F" w14:textId="77777777" w:rsidR="00404735" w:rsidRDefault="00000000">
            <w:pPr>
              <w:spacing w:before="40" w:after="40" w:line="240" w:lineRule="auto"/>
              <w:jc w:val="center"/>
            </w:pPr>
            <w:r>
              <w:rPr>
                <w:rFonts w:ascii="Times New Roman" w:hAnsi="Times New Roman"/>
                <w:color w:val="000000"/>
                <w:sz w:val="20"/>
              </w:rPr>
              <w:t>71.592</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764F49E3" w14:textId="77777777" w:rsidR="00404735" w:rsidRDefault="00000000">
            <w:pPr>
              <w:spacing w:before="40" w:after="40" w:line="240" w:lineRule="auto"/>
              <w:jc w:val="center"/>
            </w:pPr>
            <w:r>
              <w:rPr>
                <w:rFonts w:ascii="Times New Roman" w:hAnsi="Times New Roman"/>
                <w:color w:val="000000"/>
                <w:sz w:val="20"/>
              </w:rPr>
              <w:t>+41,6%</w:t>
            </w:r>
          </w:p>
        </w:tc>
      </w:tr>
      <w:tr w:rsidR="00404735" w14:paraId="0B8FD222" w14:textId="77777777">
        <w:tblPrEx>
          <w:tblCellMar>
            <w:top w:w="0" w:type="dxa"/>
            <w:bottom w:w="0" w:type="dxa"/>
          </w:tblCellMar>
        </w:tblPrEx>
        <w:trPr>
          <w:jc w:val="center"/>
          <w:cantSplit/>
        </w:trPr>
        <w:tc>
          <w:tcPr>
            <w:tcW w:w="1736" w:type="dxa"/>
            <w:tcMar>
              <w:top w:w="40" w:type="dxa"/>
              <w:left w:w="80" w:type="dxa"/>
              <w:bottom w:w="40" w:type="dxa"/>
              <w:right w:w="80" w:type="dxa"/>
            </w:tcMar>
            <w:vAlign w:val="center"/>
            <w:tcBorders>
              <w:top w:val="none"/>
              <w:left w:val="none"/>
              <w:right w:val="none"/>
              <w:bottom w:val="single" w:sz="4" w:space="0" w:color="000000"/>
            </w:tcBorders>
          </w:tcPr>
          <w:p w14:paraId="585769B2" w14:textId="77777777" w:rsidR="00404735" w:rsidRDefault="00000000">
            <w:pPr>
              <w:spacing w:before="40" w:after="40" w:line="240" w:lineRule="auto"/>
            </w:pPr>
            <w:r>
              <w:rPr>
                <w:rFonts w:ascii="Times New Roman" w:hAnsi="Times New Roman"/>
                <w:color w:val="000000"/>
                <w:sz w:val="20"/>
              </w:rPr>
              <w:t>Kebon Jeruk</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2C7EA8BB" w14:textId="77777777" w:rsidR="00404735" w:rsidRDefault="00000000">
            <w:pPr>
              <w:spacing w:before="40" w:after="40" w:line="240" w:lineRule="auto"/>
              <w:jc w:val="center"/>
            </w:pPr>
            <w:r>
              <w:rPr>
                <w:rFonts w:ascii="Times New Roman" w:hAnsi="Times New Roman"/>
                <w:color w:val="000000"/>
                <w:sz w:val="20"/>
              </w:rPr>
              <w:t>43.073</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121BEA53" w14:textId="77777777" w:rsidR="00404735" w:rsidRDefault="00000000">
            <w:pPr>
              <w:spacing w:before="40" w:after="40" w:line="240" w:lineRule="auto"/>
              <w:jc w:val="center"/>
            </w:pPr>
            <w:r>
              <w:rPr>
                <w:rFonts w:ascii="Times New Roman" w:hAnsi="Times New Roman"/>
                <w:color w:val="000000"/>
                <w:sz w:val="20"/>
              </w:rPr>
              <w:t>47.636</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53F92434" w14:textId="77777777" w:rsidR="00404735" w:rsidRDefault="00000000">
            <w:pPr>
              <w:spacing w:before="40" w:after="40" w:line="240" w:lineRule="auto"/>
              <w:jc w:val="center"/>
            </w:pPr>
            <w:r>
              <w:rPr>
                <w:rFonts w:ascii="Times New Roman" w:hAnsi="Times New Roman"/>
                <w:color w:val="000000"/>
                <w:sz w:val="20"/>
              </w:rPr>
              <w:t>50.354</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17EEC59F" w14:textId="77777777" w:rsidR="00404735" w:rsidRDefault="00000000">
            <w:pPr>
              <w:spacing w:before="40" w:after="40" w:line="240" w:lineRule="auto"/>
              <w:jc w:val="center"/>
            </w:pPr>
            <w:r>
              <w:rPr>
                <w:rFonts w:ascii="Times New Roman" w:hAnsi="Times New Roman"/>
                <w:color w:val="000000"/>
                <w:sz w:val="20"/>
              </w:rPr>
              <w:t>60.313</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3E20195D" w14:textId="77777777" w:rsidR="00404735" w:rsidRDefault="00000000">
            <w:pPr>
              <w:spacing w:before="40" w:after="40" w:line="240" w:lineRule="auto"/>
              <w:jc w:val="center"/>
            </w:pPr>
            <w:r>
              <w:rPr>
                <w:rFonts w:ascii="Times New Roman" w:hAnsi="Times New Roman"/>
                <w:color w:val="000000"/>
                <w:sz w:val="20"/>
              </w:rPr>
              <w:t>65.077</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7079CBE4" w14:textId="77777777" w:rsidR="00404735" w:rsidRDefault="00000000">
            <w:pPr>
              <w:spacing w:before="40" w:after="40" w:line="240" w:lineRule="auto"/>
              <w:jc w:val="center"/>
            </w:pPr>
            <w:r>
              <w:rPr>
                <w:rFonts w:ascii="Times New Roman" w:hAnsi="Times New Roman"/>
                <w:color w:val="000000"/>
                <w:sz w:val="20"/>
              </w:rPr>
              <w:t>+51,1%</w:t>
            </w:r>
          </w:p>
        </w:tc>
      </w:tr>
      <w:tr w:rsidR="00404735" w14:paraId="1A0959F3" w14:textId="77777777">
        <w:tblPrEx>
          <w:tblCellMar>
            <w:top w:w="0" w:type="dxa"/>
            <w:bottom w:w="0" w:type="dxa"/>
          </w:tblCellMar>
        </w:tblPrEx>
        <w:trPr>
          <w:jc w:val="center"/>
          <w:cantSplit/>
        </w:trPr>
        <w:tc>
          <w:tcPr>
            <w:tcW w:w="1736" w:type="dxa"/>
            <w:tcMar>
              <w:top w:w="40" w:type="dxa"/>
              <w:left w:w="80" w:type="dxa"/>
              <w:bottom w:w="40" w:type="dxa"/>
              <w:right w:w="80" w:type="dxa"/>
            </w:tcMar>
            <w:vAlign w:val="center"/>
            <w:tcBorders>
              <w:top w:val="none"/>
              <w:left w:val="none"/>
              <w:right w:val="none"/>
              <w:bottom w:val="single" w:sz="4" w:space="0" w:color="000000"/>
            </w:tcBorders>
          </w:tcPr>
          <w:p w14:paraId="277D0FD6" w14:textId="77777777" w:rsidR="00404735" w:rsidRDefault="00000000">
            <w:pPr>
              <w:spacing w:before="40" w:after="40" w:line="240" w:lineRule="auto"/>
            </w:pPr>
            <w:r>
              <w:rPr>
                <w:rFonts w:ascii="Times New Roman" w:hAnsi="Times New Roman"/>
                <w:color w:val="000000"/>
                <w:sz w:val="20"/>
              </w:rPr>
              <w:t>Grogol Petamburan</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03D5420A" w14:textId="77777777" w:rsidR="00404735" w:rsidRDefault="00000000">
            <w:pPr>
              <w:spacing w:before="40" w:after="40" w:line="240" w:lineRule="auto"/>
              <w:jc w:val="center"/>
            </w:pPr>
            <w:r>
              <w:rPr>
                <w:rFonts w:ascii="Times New Roman" w:hAnsi="Times New Roman"/>
                <w:color w:val="000000"/>
                <w:sz w:val="20"/>
              </w:rPr>
              <w:t>37.320</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27531D13" w14:textId="77777777" w:rsidR="00404735" w:rsidRDefault="00000000">
            <w:pPr>
              <w:spacing w:before="40" w:after="40" w:line="240" w:lineRule="auto"/>
              <w:jc w:val="center"/>
            </w:pPr>
            <w:r>
              <w:rPr>
                <w:rFonts w:ascii="Times New Roman" w:hAnsi="Times New Roman"/>
                <w:color w:val="000000"/>
                <w:sz w:val="20"/>
              </w:rPr>
              <w:t>45.487</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3A8F3885" w14:textId="77777777" w:rsidR="00404735" w:rsidRDefault="00000000">
            <w:pPr>
              <w:spacing w:before="40" w:after="40" w:line="240" w:lineRule="auto"/>
              <w:jc w:val="center"/>
            </w:pPr>
            <w:r>
              <w:rPr>
                <w:rFonts w:ascii="Times New Roman" w:hAnsi="Times New Roman"/>
                <w:color w:val="000000"/>
                <w:sz w:val="20"/>
              </w:rPr>
              <w:t>50.259</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23781F42" w14:textId="77777777" w:rsidR="00404735" w:rsidRDefault="00000000">
            <w:pPr>
              <w:spacing w:before="40" w:after="40" w:line="240" w:lineRule="auto"/>
              <w:jc w:val="center"/>
            </w:pPr>
            <w:r>
              <w:rPr>
                <w:rFonts w:ascii="Times New Roman" w:hAnsi="Times New Roman"/>
                <w:color w:val="000000"/>
                <w:sz w:val="20"/>
              </w:rPr>
              <w:t>65.011</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5253F1C1" w14:textId="77777777" w:rsidR="00404735" w:rsidRDefault="00000000">
            <w:pPr>
              <w:spacing w:before="40" w:after="40" w:line="240" w:lineRule="auto"/>
              <w:jc w:val="center"/>
            </w:pPr>
            <w:r>
              <w:rPr>
                <w:rFonts w:ascii="Times New Roman" w:hAnsi="Times New Roman"/>
                <w:color w:val="000000"/>
                <w:sz w:val="20"/>
              </w:rPr>
              <w:t>70.584</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796E5D97" w14:textId="77777777" w:rsidR="00404735" w:rsidRDefault="00000000">
            <w:pPr>
              <w:spacing w:before="40" w:after="40" w:line="240" w:lineRule="auto"/>
              <w:jc w:val="center"/>
            </w:pPr>
            <w:r>
              <w:rPr>
                <w:rFonts w:ascii="Times New Roman" w:hAnsi="Times New Roman"/>
                <w:color w:val="000000"/>
                <w:sz w:val="20"/>
              </w:rPr>
              <w:t>+89,1%</w:t>
            </w:r>
          </w:p>
        </w:tc>
      </w:tr>
      <w:tr w:rsidR="00404735" w14:paraId="0A71A724" w14:textId="77777777">
        <w:tblPrEx>
          <w:tblCellMar>
            <w:top w:w="0" w:type="dxa"/>
            <w:bottom w:w="0" w:type="dxa"/>
          </w:tblCellMar>
        </w:tblPrEx>
        <w:trPr>
          <w:jc w:val="center"/>
          <w:cantSplit/>
        </w:trPr>
        <w:tc>
          <w:tcPr>
            <w:tcW w:w="1736" w:type="dxa"/>
            <w:tcMar>
              <w:top w:w="40" w:type="dxa"/>
              <w:left w:w="80" w:type="dxa"/>
              <w:bottom w:w="40" w:type="dxa"/>
              <w:right w:w="80" w:type="dxa"/>
            </w:tcMar>
            <w:vAlign w:val="center"/>
            <w:tcBorders>
              <w:top w:val="none"/>
              <w:left w:val="none"/>
              <w:right w:val="none"/>
              <w:bottom w:val="single" w:sz="4" w:space="0" w:color="000000"/>
            </w:tcBorders>
          </w:tcPr>
          <w:p w14:paraId="73CC8EEC" w14:textId="77777777" w:rsidR="00404735" w:rsidRDefault="00000000">
            <w:pPr>
              <w:spacing w:before="40" w:after="40" w:line="240" w:lineRule="auto"/>
            </w:pPr>
            <w:r>
              <w:rPr>
                <w:rFonts w:ascii="Times New Roman" w:hAnsi="Times New Roman"/>
                <w:color w:val="000000"/>
                <w:sz w:val="20"/>
              </w:rPr>
              <w:t>Palmerah</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0993F72A" w14:textId="77777777" w:rsidR="00404735" w:rsidRDefault="00000000">
            <w:pPr>
              <w:spacing w:before="40" w:after="40" w:line="240" w:lineRule="auto"/>
              <w:jc w:val="center"/>
            </w:pPr>
            <w:r>
              <w:rPr>
                <w:rFonts w:ascii="Times New Roman" w:hAnsi="Times New Roman"/>
                <w:color w:val="000000"/>
                <w:sz w:val="20"/>
              </w:rPr>
              <w:t>21.182</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0C7DAA74" w14:textId="77777777" w:rsidR="00404735" w:rsidRDefault="00000000">
            <w:pPr>
              <w:spacing w:before="40" w:after="40" w:line="240" w:lineRule="auto"/>
              <w:jc w:val="center"/>
            </w:pPr>
            <w:r>
              <w:rPr>
                <w:rFonts w:ascii="Times New Roman" w:hAnsi="Times New Roman"/>
                <w:color w:val="000000"/>
                <w:sz w:val="20"/>
              </w:rPr>
              <w:t>22.228</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4C00CD5A" w14:textId="77777777" w:rsidR="00404735" w:rsidRDefault="00000000">
            <w:pPr>
              <w:spacing w:before="40" w:after="40" w:line="240" w:lineRule="auto"/>
              <w:jc w:val="center"/>
            </w:pPr>
            <w:r>
              <w:rPr>
                <w:rFonts w:ascii="Times New Roman" w:hAnsi="Times New Roman"/>
                <w:color w:val="000000"/>
                <w:sz w:val="20"/>
              </w:rPr>
              <w:t>24.560</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55D2CBC9" w14:textId="77777777" w:rsidR="00404735" w:rsidRDefault="00000000">
            <w:pPr>
              <w:spacing w:before="40" w:after="40" w:line="240" w:lineRule="auto"/>
              <w:jc w:val="center"/>
            </w:pPr>
            <w:r>
              <w:rPr>
                <w:rFonts w:ascii="Times New Roman" w:hAnsi="Times New Roman"/>
                <w:color w:val="000000"/>
                <w:sz w:val="20"/>
              </w:rPr>
              <w:t>33.014</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12E0D2E9" w14:textId="77777777" w:rsidR="00404735" w:rsidRDefault="00000000">
            <w:pPr>
              <w:spacing w:before="40" w:after="40" w:line="240" w:lineRule="auto"/>
              <w:jc w:val="center"/>
            </w:pPr>
            <w:r>
              <w:rPr>
                <w:rFonts w:ascii="Times New Roman" w:hAnsi="Times New Roman"/>
                <w:color w:val="000000"/>
                <w:sz w:val="20"/>
              </w:rPr>
              <w:t>35.021</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5607F5E8" w14:textId="77777777" w:rsidR="00404735" w:rsidRDefault="00000000">
            <w:pPr>
              <w:spacing w:before="40" w:after="40" w:line="240" w:lineRule="auto"/>
              <w:jc w:val="center"/>
            </w:pPr>
            <w:r>
              <w:rPr>
                <w:rFonts w:ascii="Times New Roman" w:hAnsi="Times New Roman"/>
                <w:color w:val="000000"/>
                <w:sz w:val="20"/>
              </w:rPr>
              <w:t>+65,3%</w:t>
            </w:r>
          </w:p>
        </w:tc>
      </w:tr>
      <w:tr w:rsidR="00404735" w14:paraId="0DA3752F" w14:textId="77777777">
        <w:tblPrEx>
          <w:tblCellMar>
            <w:top w:w="0" w:type="dxa"/>
            <w:bottom w:w="0" w:type="dxa"/>
          </w:tblCellMar>
        </w:tblPrEx>
        <w:trPr>
          <w:jc w:val="center"/>
          <w:cantSplit/>
        </w:trPr>
        <w:tc>
          <w:tcPr>
            <w:tcW w:w="1736" w:type="dxa"/>
            <w:tcMar>
              <w:top w:w="40" w:type="dxa"/>
              <w:left w:w="80" w:type="dxa"/>
              <w:bottom w:w="40" w:type="dxa"/>
              <w:right w:w="80" w:type="dxa"/>
            </w:tcMar>
            <w:vAlign w:val="center"/>
            <w:tcBorders>
              <w:top w:val="none"/>
              <w:left w:val="none"/>
              <w:right w:val="none"/>
              <w:bottom w:val="single" w:sz="4" w:space="0" w:color="000000"/>
            </w:tcBorders>
          </w:tcPr>
          <w:p w14:paraId="4525CC18" w14:textId="77777777" w:rsidR="00404735" w:rsidRDefault="00000000">
            <w:pPr>
              <w:spacing w:before="40" w:after="40" w:line="240" w:lineRule="auto"/>
            </w:pPr>
            <w:r>
              <w:rPr>
                <w:rFonts w:ascii="Times New Roman" w:hAnsi="Times New Roman"/>
                <w:color w:val="000000"/>
                <w:sz w:val="20"/>
              </w:rPr>
              <w:t>Tambora</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5613A183" w14:textId="77777777" w:rsidR="00404735" w:rsidRDefault="00000000">
            <w:pPr>
              <w:spacing w:before="40" w:after="40" w:line="240" w:lineRule="auto"/>
              <w:jc w:val="center"/>
            </w:pPr>
            <w:r>
              <w:rPr>
                <w:rFonts w:ascii="Times New Roman" w:hAnsi="Times New Roman"/>
                <w:color w:val="000000"/>
                <w:sz w:val="20"/>
              </w:rPr>
              <w:t>26.864</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4A2814E7" w14:textId="77777777" w:rsidR="00404735" w:rsidRDefault="00000000">
            <w:pPr>
              <w:spacing w:before="40" w:after="40" w:line="240" w:lineRule="auto"/>
              <w:jc w:val="center"/>
            </w:pPr>
            <w:r>
              <w:rPr>
                <w:rFonts w:ascii="Times New Roman" w:hAnsi="Times New Roman"/>
                <w:color w:val="000000"/>
                <w:sz w:val="20"/>
              </w:rPr>
              <w:t>29.599</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7EB6B47C" w14:textId="77777777" w:rsidR="00404735" w:rsidRDefault="00000000">
            <w:pPr>
              <w:spacing w:before="40" w:after="40" w:line="240" w:lineRule="auto"/>
              <w:jc w:val="center"/>
            </w:pPr>
            <w:r>
              <w:rPr>
                <w:rFonts w:ascii="Times New Roman" w:hAnsi="Times New Roman"/>
                <w:color w:val="000000"/>
                <w:sz w:val="20"/>
              </w:rPr>
              <w:t>31.084</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4236FFB1" w14:textId="77777777" w:rsidR="00404735" w:rsidRDefault="00000000">
            <w:pPr>
              <w:spacing w:before="40" w:after="40" w:line="240" w:lineRule="auto"/>
              <w:jc w:val="center"/>
            </w:pPr>
            <w:r>
              <w:rPr>
                <w:rFonts w:ascii="Times New Roman" w:hAnsi="Times New Roman"/>
                <w:color w:val="000000"/>
                <w:sz w:val="20"/>
              </w:rPr>
              <w:t>46.452</w:t>
            </w:r>
          </w:p>
        </w:tc>
        <w:tc>
          <w:tcPr>
            <w:tcW w:w="1000" w:type="dxa"/>
            <w:tcMar>
              <w:top w:w="40" w:type="dxa"/>
              <w:left w:w="80" w:type="dxa"/>
              <w:bottom w:w="40" w:type="dxa"/>
              <w:right w:w="80" w:type="dxa"/>
            </w:tcMar>
            <w:vAlign w:val="center"/>
            <w:tcBorders>
              <w:top w:val="none"/>
              <w:left w:val="none"/>
              <w:right w:val="none"/>
              <w:bottom w:val="single" w:sz="4" w:space="0" w:color="000000"/>
            </w:tcBorders>
          </w:tcPr>
          <w:p w14:paraId="52FC12E0" w14:textId="77777777" w:rsidR="00404735" w:rsidRDefault="00000000">
            <w:pPr>
              <w:spacing w:before="40" w:after="40" w:line="240" w:lineRule="auto"/>
              <w:jc w:val="center"/>
            </w:pPr>
            <w:r>
              <w:rPr>
                <w:rFonts w:ascii="Times New Roman" w:hAnsi="Times New Roman"/>
                <w:color w:val="000000"/>
                <w:sz w:val="20"/>
              </w:rPr>
              <w:t>51.473</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2B6CF298" w14:textId="77777777" w:rsidR="00404735" w:rsidRDefault="00000000">
            <w:pPr>
              <w:spacing w:before="40" w:after="40" w:line="240" w:lineRule="auto"/>
              <w:jc w:val="center"/>
            </w:pPr>
            <w:r>
              <w:rPr>
                <w:rFonts w:ascii="Times New Roman" w:hAnsi="Times New Roman"/>
                <w:color w:val="000000"/>
                <w:sz w:val="20"/>
              </w:rPr>
              <w:t>+91,6%</w:t>
            </w:r>
          </w:p>
        </w:tc>
      </w:tr>
      <w:tr w:rsidR="00404735" w14:paraId="61C71418" w14:textId="77777777">
        <w:tblPrEx>
          <w:tblCellMar>
            <w:top w:w="0" w:type="dxa"/>
            <w:bottom w:w="0" w:type="dxa"/>
          </w:tblCellMar>
        </w:tblPrEx>
        <w:trPr>
          <w:jc w:val="center"/>
          <w:cantSplit/>
        </w:trPr>
        <w:tc>
          <w:tcPr>
            <w:tcW w:w="1736" w:type="dxa"/>
            <w:tcMar>
              <w:top w:w="40" w:type="dxa"/>
              <w:left w:w="80" w:type="dxa"/>
              <w:bottom w:w="40" w:type="dxa"/>
              <w:right w:w="80" w:type="dxa"/>
            </w:tcMar>
            <w:vAlign w:val="center"/>
            <w:tcBorders>
              <w:top w:val="none"/>
              <w:left w:val="none"/>
              <w:right w:val="none"/>
              <w:bottom w:val="single" w:sz="8" w:space="0" w:color="000000"/>
            </w:tcBorders>
          </w:tcPr>
          <w:p w14:paraId="52D335E2" w14:textId="77777777" w:rsidR="00404735" w:rsidRDefault="00000000">
            <w:pPr>
              <w:spacing w:before="40" w:after="40" w:line="240" w:lineRule="auto"/>
            </w:pPr>
            <w:r>
              <w:rPr>
                <w:rFonts w:ascii="Times New Roman" w:hAnsi="Times New Roman"/>
                <w:color w:val="000000"/>
                <w:sz w:val="20"/>
              </w:rPr>
              <w:t>Taman Sari</w:t>
            </w:r>
          </w:p>
        </w:tc>
        <w:tc>
          <w:tcPr>
            <w:tcW w:w="1000" w:type="dxa"/>
            <w:tcMar>
              <w:top w:w="40" w:type="dxa"/>
              <w:left w:w="80" w:type="dxa"/>
              <w:bottom w:w="40" w:type="dxa"/>
              <w:right w:w="80" w:type="dxa"/>
            </w:tcMar>
            <w:vAlign w:val="center"/>
            <w:tcBorders>
              <w:top w:val="none"/>
              <w:left w:val="none"/>
              <w:right w:val="none"/>
              <w:bottom w:val="single" w:sz="8" w:space="0" w:color="000000"/>
            </w:tcBorders>
          </w:tcPr>
          <w:p w14:paraId="0BC70695" w14:textId="77777777" w:rsidR="00404735" w:rsidRDefault="00000000">
            <w:pPr>
              <w:spacing w:before="40" w:after="40" w:line="240" w:lineRule="auto"/>
              <w:jc w:val="center"/>
            </w:pPr>
            <w:r>
              <w:rPr>
                <w:rFonts w:ascii="Times New Roman" w:hAnsi="Times New Roman"/>
                <w:color w:val="000000"/>
                <w:sz w:val="20"/>
              </w:rPr>
              <w:t>21.369</w:t>
            </w:r>
          </w:p>
        </w:tc>
        <w:tc>
          <w:tcPr>
            <w:tcW w:w="1000" w:type="dxa"/>
            <w:tcMar>
              <w:top w:w="40" w:type="dxa"/>
              <w:left w:w="80" w:type="dxa"/>
              <w:bottom w:w="40" w:type="dxa"/>
              <w:right w:w="80" w:type="dxa"/>
            </w:tcMar>
            <w:vAlign w:val="center"/>
            <w:tcBorders>
              <w:top w:val="none"/>
              <w:left w:val="none"/>
              <w:right w:val="none"/>
              <w:bottom w:val="single" w:sz="8" w:space="0" w:color="000000"/>
            </w:tcBorders>
          </w:tcPr>
          <w:p w14:paraId="6D542FAF" w14:textId="77777777" w:rsidR="00404735" w:rsidRDefault="00000000">
            <w:pPr>
              <w:spacing w:before="40" w:after="40" w:line="240" w:lineRule="auto"/>
              <w:jc w:val="center"/>
            </w:pPr>
            <w:r>
              <w:rPr>
                <w:rFonts w:ascii="Times New Roman" w:hAnsi="Times New Roman"/>
                <w:color w:val="000000"/>
                <w:sz w:val="20"/>
              </w:rPr>
              <w:t>27.269</w:t>
            </w:r>
          </w:p>
        </w:tc>
        <w:tc>
          <w:tcPr>
            <w:tcW w:w="1000" w:type="dxa"/>
            <w:tcMar>
              <w:top w:w="40" w:type="dxa"/>
              <w:left w:w="80" w:type="dxa"/>
              <w:bottom w:w="40" w:type="dxa"/>
              <w:right w:w="80" w:type="dxa"/>
            </w:tcMar>
            <w:vAlign w:val="center"/>
            <w:tcBorders>
              <w:top w:val="none"/>
              <w:left w:val="none"/>
              <w:right w:val="none"/>
              <w:bottom w:val="single" w:sz="8" w:space="0" w:color="000000"/>
            </w:tcBorders>
          </w:tcPr>
          <w:p w14:paraId="51B63732" w14:textId="77777777" w:rsidR="00404735" w:rsidRDefault="00000000">
            <w:pPr>
              <w:spacing w:before="40" w:after="40" w:line="240" w:lineRule="auto"/>
              <w:jc w:val="center"/>
            </w:pPr>
            <w:r>
              <w:rPr>
                <w:rFonts w:ascii="Times New Roman" w:hAnsi="Times New Roman"/>
                <w:color w:val="000000"/>
                <w:sz w:val="20"/>
              </w:rPr>
              <w:t>28.828</w:t>
            </w:r>
          </w:p>
        </w:tc>
        <w:tc>
          <w:tcPr>
            <w:tcW w:w="1000" w:type="dxa"/>
            <w:tcMar>
              <w:top w:w="40" w:type="dxa"/>
              <w:left w:w="80" w:type="dxa"/>
              <w:bottom w:w="40" w:type="dxa"/>
              <w:right w:w="80" w:type="dxa"/>
            </w:tcMar>
            <w:vAlign w:val="center"/>
            <w:tcBorders>
              <w:top w:val="none"/>
              <w:left w:val="none"/>
              <w:right w:val="none"/>
              <w:bottom w:val="single" w:sz="8" w:space="0" w:color="000000"/>
            </w:tcBorders>
          </w:tcPr>
          <w:p w14:paraId="56706549" w14:textId="77777777" w:rsidR="00404735" w:rsidRDefault="00000000">
            <w:pPr>
              <w:spacing w:before="40" w:after="40" w:line="240" w:lineRule="auto"/>
              <w:jc w:val="center"/>
            </w:pPr>
            <w:r>
              <w:rPr>
                <w:rFonts w:ascii="Times New Roman" w:hAnsi="Times New Roman"/>
                <w:color w:val="000000"/>
                <w:sz w:val="20"/>
              </w:rPr>
              <w:t>34.379</w:t>
            </w:r>
          </w:p>
        </w:tc>
        <w:tc>
          <w:tcPr>
            <w:tcW w:w="1000" w:type="dxa"/>
            <w:tcMar>
              <w:top w:w="40" w:type="dxa"/>
              <w:left w:w="80" w:type="dxa"/>
              <w:bottom w:w="40" w:type="dxa"/>
              <w:right w:w="80" w:type="dxa"/>
            </w:tcMar>
            <w:vAlign w:val="center"/>
            <w:tcBorders>
              <w:top w:val="none"/>
              <w:left w:val="none"/>
              <w:right w:val="none"/>
              <w:bottom w:val="single" w:sz="8" w:space="0" w:color="000000"/>
            </w:tcBorders>
          </w:tcPr>
          <w:p w14:paraId="30EA7F7B" w14:textId="77777777" w:rsidR="00404735" w:rsidRDefault="00000000">
            <w:pPr>
              <w:spacing w:before="40" w:after="40" w:line="240" w:lineRule="auto"/>
              <w:jc w:val="center"/>
            </w:pPr>
            <w:r>
              <w:rPr>
                <w:rFonts w:ascii="Times New Roman" w:hAnsi="Times New Roman"/>
                <w:color w:val="000000"/>
                <w:sz w:val="20"/>
              </w:rPr>
              <w:t>38.281</w:t>
            </w:r>
          </w:p>
        </w:tc>
        <w:tc>
          <w:tcPr>
            <w:tcW w:w="1200" w:type="dxa"/>
            <w:tcMar>
              <w:top w:w="40" w:type="dxa"/>
              <w:left w:w="80" w:type="dxa"/>
              <w:bottom w:w="40" w:type="dxa"/>
              <w:right w:w="80" w:type="dxa"/>
            </w:tcMar>
            <w:vAlign w:val="center"/>
            <w:tcBorders>
              <w:top w:val="none"/>
              <w:left w:val="none"/>
              <w:right w:val="none"/>
              <w:bottom w:val="single" w:sz="8" w:space="0" w:color="000000"/>
            </w:tcBorders>
          </w:tcPr>
          <w:p w14:paraId="2F2962FB" w14:textId="77777777" w:rsidR="00404735" w:rsidRDefault="00000000">
            <w:pPr>
              <w:spacing w:before="40" w:after="40" w:line="240" w:lineRule="auto"/>
              <w:jc w:val="center"/>
            </w:pPr>
            <w:r>
              <w:rPr>
                <w:rFonts w:ascii="Times New Roman" w:hAnsi="Times New Roman"/>
                <w:color w:val="000000"/>
                <w:sz w:val="20"/>
              </w:rPr>
              <w:t>+79,1%</w:t>
            </w:r>
          </w:p>
        </w:tc>
      </w:tr>
    </w:tbl>
    <w:p w14:paraId="2D5ABF8D" w14:textId="77777777" w:rsidR="00404735" w:rsidRDefault="00000000" is_subsub="false" is_formula="false" orig_style="Normal">
      <w:pPr>
        <w:spacing w:before="60" w:after="120" w:line="240" w:lineRule="auto"/>
        <w:ind w:left="0" w:right="0" w:firstLine="0"/>
        <w:jc w:val="left"/>
      </w:pPr>
      <w:r>
        <w:rPr>
          <w:rFonts w:ascii="Times New Roman" w:hAnsi="Times New Roman"/>
          <w:b w:val="0"/>
          <w:i w:val="0"/>
          <w:iCs/>
          <w:color w:val="000000"/>
          <w:sz w:val="20"/>
          <w:szCs w:val="22"/>
        </w:rPr>
        <w:t>Sumber: Badan Pendapatan Daerah Provinsi DKI Jakarta, Rekap Objek PBB-P2 Jakarta Barat (diolah oleh peneliti, 2026).</w:t>
      </w:r>
    </w:p>
    <w:p w14:paraId="0D734E1B"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 xml:space="preserve">Tabel 1.3 menunjukkan pertumbuhan objek pajak yang konsisten di seluruh kecamatan. Kalideres mencatat pertumbuhan tertinggi sebesar 92,8%, dari 44.445 objek pada 2021 menjadi 85.710 objek pada 2025, disusul Tambora (91,6%) dan Grogol Petamburan (89,1%). Cengkareng yang memiliki objek terbanyak tumbuh </w:t>
      </w:r>
      <w:r>
        <w:rPr>
          <w:rFonts w:ascii="Times New Roman" w:hAnsi="Times New Roman"/>
          <w:b w:val="0"/>
          <w:i w:val="0"/>
          <w:color w:val="000000"/>
          <w:sz w:val="24"/>
        </w:rPr>
        <w:lastRenderedPageBreak/>
        <w:t>76,4%, dari 62.544 menjadi 110.342 objek. Secara keseluruhan, jumlah objek pajak terdaftar di Jakarta Barat meningkat dari 307.361 pada 2021 menjadi 528.080 pada 2025. Kesenjangan ini terlihat jelas: perluasan basis pajak yang pesat tidak diiringi kenaikan kepatuhan.</w:t>
      </w:r>
    </w:p>
    <w:p w14:paraId="1B881909"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Penurunan kepatuhan perlu ditelaah hingga tingkat kecamatan untuk memastikan apakah persoalan ini bersifat lokal atau struktural. Setiap kecamatan memiliki karakteristik demografis dan komposisi wajib pajak yang berbeda sehingga penurunan yang terjadi serentak di seluruh kecamatan akan mengindikasikan masalah yang bersifat menyeluruh, bukan kasus terisolasi. Tabel 1.4 menyajikan tingkat kepatuhan wajib pajak PBB-P2 di delapan kecamatan Jakarta Barat sepanjang 2021–2025.</w:t>
      </w:r>
    </w:p>
    <w:p w14:paraId="4F351CB9" w14:textId="77777777" w:rsidR="00404735" w:rsidRDefault="00000000" is_subsub="false" is_formula="false" orig_style="Caption Tabel">
      <w:pPr>
        <w:pStyle w:val="CaptionTabel"/>
        <w:ind w:left="0" w:right="0" w:firstLine="0" w:hanging="0"/>
        <w:jc w:val="center"/>
        <w:spacing w:before="240" w:after="120" w:line="240" w:lineRule="auto"/>
      </w:pPr>
      <w:bookmarkStart w:id="109" w:name="_Toc108"/>
      <w:r>
        <w:rPr>
          <w:rFonts w:ascii="Times New Roman" w:hAnsi="Times New Roman"/>
          <w:b/>
          <w:color w:val="000000"/>
          <w:sz w:val="24"/>
        </w:rPr>
        <w:t xml:space="preserve">Tabel </w:t>
      </w:r>
      <w:fldSimple w:instr=" STYLEREF 1 \s ">
        <w:r>
          <w:rPr>
            <w:rFonts w:ascii="Times New Roman" w:hAnsi="Times New Roman"/>
            <w:sz w:val="24"/>
            <w:b/>
            <w:color w:val="000000"/>
            <w:noProof/>
          </w:rPr>
          <w:t>1</w:t>
        </w:r>
      </w:fldSimple>
      <w:r>
        <w:rPr>
          <w:rFonts w:ascii="Times New Roman" w:hAnsi="Times New Roman"/>
          <w:b/>
          <w:color w:val="000000"/>
          <w:sz w:val="24"/>
        </w:rPr>
        <w:t>.</w:t>
      </w:r>
      <w:fldSimple w:instr=" SEQ Tabel \* ARABIC \s 1 ">
        <w:r>
          <w:rPr>
            <w:rFonts w:ascii="Times New Roman" w:hAnsi="Times New Roman"/>
            <w:sz w:val="24"/>
            <w:b/>
            <w:color w:val="000000"/>
            <w:noProof/>
          </w:rPr>
          <w:t>4</w:t>
        </w:r>
      </w:fldSimple>
      <w:r>
        <w:rPr>
          <w:rFonts w:ascii="Times New Roman" w:hAnsi="Times New Roman"/>
          <w:b/>
          <w:color w:val="000000"/>
          <w:sz w:val="24"/>
        </w:rPr>
        <w:t xml:space="preserve"> Tingkat Kepatuhan Wajib Pajak PBB-P2 per Kecamatan di Jakarta Barat Tahun 2021–2025 (%)</w:t>
      </w:r>
      <w:bookmarkEnd w:id="109"/>
    </w:p>
    <w:tbl>
      <w:tblPr>
        <w:tblW w:w="7937" w:type="dxa"/>
        <w:jc w:val="center"/>
        <w:tblCellMar>
          <w:left w:w="10" w:type="dxa"/>
          <w:right w:w="10" w:type="dxa"/>
        </w:tblCellMar>
        <w:tblLook w:val="0000" w:firstRow="0" w:lastRow="0" w:firstColumn="0" w:lastColumn="0" w:noHBand="0" w:noVBand="0"/>
        <w:tblBorders>
          <w:top w:val="single" w:sz="8" w:space="0" w:color="000000"/>
          <w:bottom w:val="single" w:sz="8" w:space="0" w:color="000000"/>
          <w:left w:val="none"/>
          <w:right w:val="none"/>
          <w:insideH w:val="single" w:sz="4" w:space="0" w:color="000000"/>
          <w:insideV w:val="none"/>
        </w:tblBorders>
      </w:tblPr>
      <w:tblGrid>
        <w:gridCol w:w="1937"/>
        <w:gridCol w:w="1200"/>
        <w:gridCol w:w="1200"/>
        <w:gridCol w:w="1200"/>
        <w:gridCol w:w="1200"/>
        <w:gridCol w:w="1200"/>
      </w:tblGrid>
      <w:tr w:rsidR="00404735" w14:paraId="101E811A" w14:textId="77777777">
        <w:tblPrEx>
          <w:tblCellMar>
            <w:top w:w="0" w:type="dxa"/>
            <w:bottom w:w="0" w:type="dxa"/>
          </w:tblCellMar>
        </w:tblPrEx>
        <w:trPr>
          <w:tblHeader/>
          <w:jc w:val="center"/>
          <w:cantSplit/>
        </w:trPr>
        <w:tc>
          <w:tcPr>
            <w:tcW w:w="1936"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439BD6B9" w14:textId="77777777" w:rsidR="00404735" w:rsidRDefault="00000000">
            <w:pPr>
              <w:spacing w:before="40" w:after="40" w:line="240" w:lineRule="auto"/>
              <w:jc w:val="center"/>
            </w:pPr>
            <w:r>
              <w:rPr>
                <w:rFonts w:ascii="Times New Roman" w:hAnsi="Times New Roman"/>
                <w:b/>
                <w:bCs/>
                <w:color w:val="000000"/>
                <w:sz w:val="20"/>
              </w:rPr>
              <w:t>Kecamatan</w:t>
            </w:r>
          </w:p>
        </w:tc>
        <w:tc>
          <w:tcPr>
            <w:tcW w:w="12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4C89582A" w14:textId="77777777" w:rsidR="00404735" w:rsidRDefault="00000000">
            <w:pPr>
              <w:spacing w:before="40" w:after="40" w:line="240" w:lineRule="auto"/>
              <w:jc w:val="center"/>
            </w:pPr>
            <w:r>
              <w:rPr>
                <w:rFonts w:ascii="Times New Roman" w:hAnsi="Times New Roman"/>
                <w:b/>
                <w:bCs/>
                <w:color w:val="000000"/>
                <w:sz w:val="20"/>
              </w:rPr>
              <w:t>2021</w:t>
            </w:r>
          </w:p>
        </w:tc>
        <w:tc>
          <w:tcPr>
            <w:tcW w:w="12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4C081EBF" w14:textId="77777777" w:rsidR="00404735" w:rsidRDefault="00000000">
            <w:pPr>
              <w:spacing w:before="40" w:after="40" w:line="240" w:lineRule="auto"/>
              <w:jc w:val="center"/>
            </w:pPr>
            <w:r>
              <w:rPr>
                <w:rFonts w:ascii="Times New Roman" w:hAnsi="Times New Roman"/>
                <w:b/>
                <w:bCs/>
                <w:color w:val="000000"/>
                <w:sz w:val="20"/>
              </w:rPr>
              <w:t>2022</w:t>
            </w:r>
          </w:p>
        </w:tc>
        <w:tc>
          <w:tcPr>
            <w:tcW w:w="12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6E9056E8" w14:textId="77777777" w:rsidR="00404735" w:rsidRDefault="00000000">
            <w:pPr>
              <w:spacing w:before="40" w:after="40" w:line="240" w:lineRule="auto"/>
              <w:jc w:val="center"/>
            </w:pPr>
            <w:r>
              <w:rPr>
                <w:rFonts w:ascii="Times New Roman" w:hAnsi="Times New Roman"/>
                <w:b/>
                <w:bCs/>
                <w:color w:val="000000"/>
                <w:sz w:val="20"/>
              </w:rPr>
              <w:t>2023</w:t>
            </w:r>
          </w:p>
        </w:tc>
        <w:tc>
          <w:tcPr>
            <w:tcW w:w="12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3262F419" w14:textId="77777777" w:rsidR="00404735" w:rsidRDefault="00000000">
            <w:pPr>
              <w:spacing w:before="40" w:after="40" w:line="240" w:lineRule="auto"/>
              <w:jc w:val="center"/>
            </w:pPr>
            <w:r>
              <w:rPr>
                <w:rFonts w:ascii="Times New Roman" w:hAnsi="Times New Roman"/>
                <w:b/>
                <w:bCs/>
                <w:color w:val="000000"/>
                <w:sz w:val="20"/>
              </w:rPr>
              <w:t>2024</w:t>
            </w:r>
          </w:p>
        </w:tc>
        <w:tc>
          <w:tcPr>
            <w:tcW w:w="12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193B39A0" w14:textId="77777777" w:rsidR="00404735" w:rsidRDefault="00000000">
            <w:pPr>
              <w:spacing w:before="40" w:after="40" w:line="240" w:lineRule="auto"/>
              <w:jc w:val="center"/>
            </w:pPr>
            <w:r>
              <w:rPr>
                <w:rFonts w:ascii="Times New Roman" w:hAnsi="Times New Roman"/>
                <w:b/>
                <w:bCs/>
                <w:color w:val="000000"/>
                <w:sz w:val="20"/>
              </w:rPr>
              <w:t>2025</w:t>
            </w:r>
          </w:p>
        </w:tc>
      </w:tr>
      <w:tr w:rsidR="00404735" w14:paraId="59C7B5BE" w14:textId="77777777">
        <w:tblPrEx>
          <w:tblCellMar>
            <w:top w:w="0" w:type="dxa"/>
            <w:bottom w:w="0" w:type="dxa"/>
          </w:tblCellMar>
        </w:tblPrEx>
        <w:trPr>
          <w:jc w:val="center"/>
          <w:cantSplit/>
        </w:trPr>
        <w:tc>
          <w:tcPr>
            <w:tcW w:w="1936" w:type="dxa"/>
            <w:tcMar>
              <w:top w:w="40" w:type="dxa"/>
              <w:left w:w="80" w:type="dxa"/>
              <w:bottom w:w="40" w:type="dxa"/>
              <w:right w:w="80" w:type="dxa"/>
            </w:tcMar>
            <w:vAlign w:val="center"/>
            <w:tcBorders>
              <w:top w:val="none"/>
              <w:left w:val="none"/>
              <w:right w:val="none"/>
              <w:bottom w:val="single" w:sz="4" w:space="0" w:color="000000"/>
            </w:tcBorders>
          </w:tcPr>
          <w:p w14:paraId="7D4B6AFA" w14:textId="77777777" w:rsidR="00404735" w:rsidRDefault="00000000">
            <w:pPr>
              <w:spacing w:before="40" w:after="40" w:line="240" w:lineRule="auto"/>
            </w:pPr>
            <w:r>
              <w:rPr>
                <w:rFonts w:ascii="Times New Roman" w:hAnsi="Times New Roman"/>
                <w:color w:val="000000"/>
                <w:sz w:val="20"/>
              </w:rPr>
              <w:t>Cengkareng</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51540349" w14:textId="77777777" w:rsidR="00404735" w:rsidRDefault="00000000">
            <w:pPr>
              <w:spacing w:before="40" w:after="40" w:line="240" w:lineRule="auto"/>
              <w:jc w:val="center"/>
            </w:pPr>
            <w:r>
              <w:rPr>
                <w:rFonts w:ascii="Times New Roman" w:hAnsi="Times New Roman"/>
                <w:color w:val="000000"/>
                <w:sz w:val="20"/>
              </w:rPr>
              <w:t>89,20%</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1F0EFB23" w14:textId="77777777" w:rsidR="00404735" w:rsidRDefault="00000000">
            <w:pPr>
              <w:spacing w:before="40" w:after="40" w:line="240" w:lineRule="auto"/>
              <w:jc w:val="center"/>
            </w:pPr>
            <w:r>
              <w:rPr>
                <w:rFonts w:ascii="Times New Roman" w:hAnsi="Times New Roman"/>
                <w:color w:val="000000"/>
                <w:sz w:val="20"/>
              </w:rPr>
              <w:t>27,30%</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1CC52B9C" w14:textId="77777777" w:rsidR="00404735" w:rsidRDefault="00000000">
            <w:pPr>
              <w:spacing w:before="40" w:after="40" w:line="240" w:lineRule="auto"/>
              <w:jc w:val="center"/>
            </w:pPr>
            <w:r>
              <w:rPr>
                <w:rFonts w:ascii="Times New Roman" w:hAnsi="Times New Roman"/>
                <w:color w:val="000000"/>
                <w:sz w:val="20"/>
              </w:rPr>
              <w:t>26,75%</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5326B47F" w14:textId="77777777" w:rsidR="00404735" w:rsidRDefault="00000000">
            <w:pPr>
              <w:spacing w:before="40" w:after="40" w:line="240" w:lineRule="auto"/>
              <w:jc w:val="center"/>
            </w:pPr>
            <w:r>
              <w:rPr>
                <w:rFonts w:ascii="Times New Roman" w:hAnsi="Times New Roman"/>
                <w:color w:val="000000"/>
                <w:sz w:val="20"/>
              </w:rPr>
              <w:t>42,63%</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0EE74827" w14:textId="77777777" w:rsidR="00404735" w:rsidRDefault="00000000">
            <w:pPr>
              <w:spacing w:before="40" w:after="40" w:line="240" w:lineRule="auto"/>
              <w:jc w:val="center"/>
            </w:pPr>
            <w:r>
              <w:rPr>
                <w:rFonts w:ascii="Times New Roman" w:hAnsi="Times New Roman"/>
                <w:color w:val="000000"/>
                <w:sz w:val="20"/>
              </w:rPr>
              <w:t>37,68%</w:t>
            </w:r>
          </w:p>
        </w:tc>
      </w:tr>
      <w:tr w:rsidR="00404735" w14:paraId="4CF8BECA" w14:textId="77777777">
        <w:tblPrEx>
          <w:tblCellMar>
            <w:top w:w="0" w:type="dxa"/>
            <w:bottom w:w="0" w:type="dxa"/>
          </w:tblCellMar>
        </w:tblPrEx>
        <w:trPr>
          <w:jc w:val="center"/>
          <w:cantSplit/>
        </w:trPr>
        <w:tc>
          <w:tcPr>
            <w:tcW w:w="1936" w:type="dxa"/>
            <w:tcMar>
              <w:top w:w="40" w:type="dxa"/>
              <w:left w:w="80" w:type="dxa"/>
              <w:bottom w:w="40" w:type="dxa"/>
              <w:right w:w="80" w:type="dxa"/>
            </w:tcMar>
            <w:vAlign w:val="center"/>
            <w:tcBorders>
              <w:top w:val="none"/>
              <w:left w:val="none"/>
              <w:right w:val="none"/>
              <w:bottom w:val="single" w:sz="4" w:space="0" w:color="000000"/>
            </w:tcBorders>
          </w:tcPr>
          <w:p w14:paraId="5D940EFE" w14:textId="77777777" w:rsidR="00404735" w:rsidRDefault="00000000">
            <w:pPr>
              <w:spacing w:before="40" w:after="40" w:line="240" w:lineRule="auto"/>
            </w:pPr>
            <w:r>
              <w:rPr>
                <w:rFonts w:ascii="Times New Roman" w:hAnsi="Times New Roman"/>
                <w:color w:val="000000"/>
                <w:sz w:val="20"/>
              </w:rPr>
              <w:t>Kalideres</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140FFF5E" w14:textId="77777777" w:rsidR="00404735" w:rsidRDefault="00000000">
            <w:pPr>
              <w:spacing w:before="40" w:after="40" w:line="240" w:lineRule="auto"/>
              <w:jc w:val="center"/>
            </w:pPr>
            <w:r>
              <w:rPr>
                <w:rFonts w:ascii="Times New Roman" w:hAnsi="Times New Roman"/>
                <w:color w:val="000000"/>
                <w:sz w:val="20"/>
              </w:rPr>
              <w:t>91,61%</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44C46B80" w14:textId="77777777" w:rsidR="00404735" w:rsidRDefault="00000000">
            <w:pPr>
              <w:spacing w:before="40" w:after="40" w:line="240" w:lineRule="auto"/>
              <w:jc w:val="center"/>
            </w:pPr>
            <w:r>
              <w:rPr>
                <w:rFonts w:ascii="Times New Roman" w:hAnsi="Times New Roman"/>
                <w:color w:val="000000"/>
                <w:sz w:val="20"/>
              </w:rPr>
              <w:t>29,51%</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3E5CE9BD" w14:textId="77777777" w:rsidR="00404735" w:rsidRDefault="00000000">
            <w:pPr>
              <w:spacing w:before="40" w:after="40" w:line="240" w:lineRule="auto"/>
              <w:jc w:val="center"/>
            </w:pPr>
            <w:r>
              <w:rPr>
                <w:rFonts w:ascii="Times New Roman" w:hAnsi="Times New Roman"/>
                <w:color w:val="000000"/>
                <w:sz w:val="20"/>
              </w:rPr>
              <w:t>28,45%</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0D7FC224" w14:textId="77777777" w:rsidR="00404735" w:rsidRDefault="00000000">
            <w:pPr>
              <w:spacing w:before="40" w:after="40" w:line="240" w:lineRule="auto"/>
              <w:jc w:val="center"/>
            </w:pPr>
            <w:r>
              <w:rPr>
                <w:rFonts w:ascii="Times New Roman" w:hAnsi="Times New Roman"/>
                <w:color w:val="000000"/>
                <w:sz w:val="20"/>
              </w:rPr>
              <w:t>43,83%</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7947A7AE" w14:textId="77777777" w:rsidR="00404735" w:rsidRDefault="00000000">
            <w:pPr>
              <w:spacing w:before="40" w:after="40" w:line="240" w:lineRule="auto"/>
              <w:jc w:val="center"/>
            </w:pPr>
            <w:r>
              <w:rPr>
                <w:rFonts w:ascii="Times New Roman" w:hAnsi="Times New Roman"/>
                <w:color w:val="000000"/>
                <w:sz w:val="20"/>
              </w:rPr>
              <w:t>38,70%</w:t>
            </w:r>
          </w:p>
        </w:tc>
      </w:tr>
      <w:tr w:rsidR="00404735" w14:paraId="20AA9175" w14:textId="77777777">
        <w:tblPrEx>
          <w:tblCellMar>
            <w:top w:w="0" w:type="dxa"/>
            <w:bottom w:w="0" w:type="dxa"/>
          </w:tblCellMar>
        </w:tblPrEx>
        <w:trPr>
          <w:jc w:val="center"/>
          <w:cantSplit/>
        </w:trPr>
        <w:tc>
          <w:tcPr>
            <w:tcW w:w="1936" w:type="dxa"/>
            <w:tcMar>
              <w:top w:w="40" w:type="dxa"/>
              <w:left w:w="80" w:type="dxa"/>
              <w:bottom w:w="40" w:type="dxa"/>
              <w:right w:w="80" w:type="dxa"/>
            </w:tcMar>
            <w:vAlign w:val="center"/>
            <w:tcBorders>
              <w:top w:val="none"/>
              <w:left w:val="none"/>
              <w:right w:val="none"/>
              <w:bottom w:val="single" w:sz="4" w:space="0" w:color="000000"/>
            </w:tcBorders>
          </w:tcPr>
          <w:p w14:paraId="7DBC1988" w14:textId="77777777" w:rsidR="00404735" w:rsidRDefault="00000000">
            <w:pPr>
              <w:spacing w:before="40" w:after="40" w:line="240" w:lineRule="auto"/>
            </w:pPr>
            <w:r>
              <w:rPr>
                <w:rFonts w:ascii="Times New Roman" w:hAnsi="Times New Roman"/>
                <w:color w:val="000000"/>
                <w:sz w:val="20"/>
              </w:rPr>
              <w:t>Kembangan</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342C618E" w14:textId="77777777" w:rsidR="00404735" w:rsidRDefault="00000000">
            <w:pPr>
              <w:spacing w:before="40" w:after="40" w:line="240" w:lineRule="auto"/>
              <w:jc w:val="center"/>
            </w:pPr>
            <w:r>
              <w:rPr>
                <w:rFonts w:ascii="Times New Roman" w:hAnsi="Times New Roman"/>
                <w:color w:val="000000"/>
                <w:sz w:val="20"/>
              </w:rPr>
              <w:t>88,60%</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25A754D6" w14:textId="77777777" w:rsidR="00404735" w:rsidRDefault="00000000">
            <w:pPr>
              <w:spacing w:before="40" w:after="40" w:line="240" w:lineRule="auto"/>
              <w:jc w:val="center"/>
            </w:pPr>
            <w:r>
              <w:rPr>
                <w:rFonts w:ascii="Times New Roman" w:hAnsi="Times New Roman"/>
                <w:color w:val="000000"/>
                <w:sz w:val="20"/>
              </w:rPr>
              <w:t>49,91%</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1F6E5DD3" w14:textId="77777777" w:rsidR="00404735" w:rsidRDefault="00000000">
            <w:pPr>
              <w:spacing w:before="40" w:after="40" w:line="240" w:lineRule="auto"/>
              <w:jc w:val="center"/>
            </w:pPr>
            <w:r>
              <w:rPr>
                <w:rFonts w:ascii="Times New Roman" w:hAnsi="Times New Roman"/>
                <w:color w:val="000000"/>
                <w:sz w:val="20"/>
              </w:rPr>
              <w:t>47,99%</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68123773" w14:textId="77777777" w:rsidR="00404735" w:rsidRDefault="00000000">
            <w:pPr>
              <w:spacing w:before="40" w:after="40" w:line="240" w:lineRule="auto"/>
              <w:jc w:val="center"/>
            </w:pPr>
            <w:r>
              <w:rPr>
                <w:rFonts w:ascii="Times New Roman" w:hAnsi="Times New Roman"/>
                <w:color w:val="000000"/>
                <w:sz w:val="20"/>
              </w:rPr>
              <w:t>55,39%</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1DE621C7" w14:textId="77777777" w:rsidR="00404735" w:rsidRDefault="00000000">
            <w:pPr>
              <w:spacing w:before="40" w:after="40" w:line="240" w:lineRule="auto"/>
              <w:jc w:val="center"/>
            </w:pPr>
            <w:r>
              <w:rPr>
                <w:rFonts w:ascii="Times New Roman" w:hAnsi="Times New Roman"/>
                <w:color w:val="000000"/>
                <w:sz w:val="20"/>
              </w:rPr>
              <w:t>49,75%</w:t>
            </w:r>
          </w:p>
        </w:tc>
      </w:tr>
      <w:tr w:rsidR="00404735" w14:paraId="0DC8177F" w14:textId="77777777">
        <w:tblPrEx>
          <w:tblCellMar>
            <w:top w:w="0" w:type="dxa"/>
            <w:bottom w:w="0" w:type="dxa"/>
          </w:tblCellMar>
        </w:tblPrEx>
        <w:trPr>
          <w:jc w:val="center"/>
          <w:cantSplit/>
        </w:trPr>
        <w:tc>
          <w:tcPr>
            <w:tcW w:w="1936" w:type="dxa"/>
            <w:tcMar>
              <w:top w:w="40" w:type="dxa"/>
              <w:left w:w="80" w:type="dxa"/>
              <w:bottom w:w="40" w:type="dxa"/>
              <w:right w:w="80" w:type="dxa"/>
            </w:tcMar>
            <w:vAlign w:val="center"/>
            <w:tcBorders>
              <w:top w:val="none"/>
              <w:left w:val="none"/>
              <w:right w:val="none"/>
              <w:bottom w:val="single" w:sz="4" w:space="0" w:color="000000"/>
            </w:tcBorders>
          </w:tcPr>
          <w:p w14:paraId="4A9AF7E4" w14:textId="77777777" w:rsidR="00404735" w:rsidRDefault="00000000">
            <w:pPr>
              <w:spacing w:before="40" w:after="40" w:line="240" w:lineRule="auto"/>
            </w:pPr>
            <w:r>
              <w:rPr>
                <w:rFonts w:ascii="Times New Roman" w:hAnsi="Times New Roman"/>
                <w:color w:val="000000"/>
                <w:sz w:val="20"/>
              </w:rPr>
              <w:t>Kebon Jeruk</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3624BD1F" w14:textId="77777777" w:rsidR="00404735" w:rsidRDefault="00000000">
            <w:pPr>
              <w:spacing w:before="40" w:after="40" w:line="240" w:lineRule="auto"/>
              <w:jc w:val="center"/>
            </w:pPr>
            <w:r>
              <w:rPr>
                <w:rFonts w:ascii="Times New Roman" w:hAnsi="Times New Roman"/>
                <w:color w:val="000000"/>
                <w:sz w:val="20"/>
              </w:rPr>
              <w:t>89,28%</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3A781931" w14:textId="77777777" w:rsidR="00404735" w:rsidRDefault="00000000">
            <w:pPr>
              <w:spacing w:before="40" w:after="40" w:line="240" w:lineRule="auto"/>
              <w:jc w:val="center"/>
            </w:pPr>
            <w:r>
              <w:rPr>
                <w:rFonts w:ascii="Times New Roman" w:hAnsi="Times New Roman"/>
                <w:color w:val="000000"/>
                <w:sz w:val="20"/>
              </w:rPr>
              <w:t>33,05%</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2C6B38DB" w14:textId="77777777" w:rsidR="00404735" w:rsidRDefault="00000000">
            <w:pPr>
              <w:spacing w:before="40" w:after="40" w:line="240" w:lineRule="auto"/>
              <w:jc w:val="center"/>
            </w:pPr>
            <w:r>
              <w:rPr>
                <w:rFonts w:ascii="Times New Roman" w:hAnsi="Times New Roman"/>
                <w:color w:val="000000"/>
                <w:sz w:val="20"/>
              </w:rPr>
              <w:t>31,95%</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2870EB0C" w14:textId="77777777" w:rsidR="00404735" w:rsidRDefault="00000000">
            <w:pPr>
              <w:spacing w:before="40" w:after="40" w:line="240" w:lineRule="auto"/>
              <w:jc w:val="center"/>
            </w:pPr>
            <w:r>
              <w:rPr>
                <w:rFonts w:ascii="Times New Roman" w:hAnsi="Times New Roman"/>
                <w:color w:val="000000"/>
                <w:sz w:val="20"/>
              </w:rPr>
              <w:t>44,36%</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0EF5FBC3" w14:textId="77777777" w:rsidR="00404735" w:rsidRDefault="00000000">
            <w:pPr>
              <w:spacing w:before="40" w:after="40" w:line="240" w:lineRule="auto"/>
              <w:jc w:val="center"/>
            </w:pPr>
            <w:r>
              <w:rPr>
                <w:rFonts w:ascii="Times New Roman" w:hAnsi="Times New Roman"/>
                <w:color w:val="000000"/>
                <w:sz w:val="20"/>
              </w:rPr>
              <w:t>39,18%</w:t>
            </w:r>
          </w:p>
        </w:tc>
      </w:tr>
      <w:tr w:rsidR="00404735" w14:paraId="6928F6F8" w14:textId="77777777">
        <w:tblPrEx>
          <w:tblCellMar>
            <w:top w:w="0" w:type="dxa"/>
            <w:bottom w:w="0" w:type="dxa"/>
          </w:tblCellMar>
        </w:tblPrEx>
        <w:trPr>
          <w:jc w:val="center"/>
          <w:cantSplit/>
        </w:trPr>
        <w:tc>
          <w:tcPr>
            <w:tcW w:w="1936" w:type="dxa"/>
            <w:tcMar>
              <w:top w:w="40" w:type="dxa"/>
              <w:left w:w="80" w:type="dxa"/>
              <w:bottom w:w="40" w:type="dxa"/>
              <w:right w:w="80" w:type="dxa"/>
            </w:tcMar>
            <w:vAlign w:val="center"/>
            <w:tcBorders>
              <w:top w:val="none"/>
              <w:left w:val="none"/>
              <w:right w:val="none"/>
              <w:bottom w:val="single" w:sz="4" w:space="0" w:color="000000"/>
            </w:tcBorders>
          </w:tcPr>
          <w:p w14:paraId="503A2AB1" w14:textId="77777777" w:rsidR="00404735" w:rsidRDefault="00000000">
            <w:pPr>
              <w:spacing w:before="40" w:after="40" w:line="240" w:lineRule="auto"/>
            </w:pPr>
            <w:r>
              <w:rPr>
                <w:rFonts w:ascii="Times New Roman" w:hAnsi="Times New Roman"/>
                <w:color w:val="000000"/>
                <w:sz w:val="20"/>
              </w:rPr>
              <w:t>Grogol Petamburan</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6284B40C" w14:textId="77777777" w:rsidR="00404735" w:rsidRDefault="00000000">
            <w:pPr>
              <w:spacing w:before="40" w:after="40" w:line="240" w:lineRule="auto"/>
              <w:jc w:val="center"/>
            </w:pPr>
            <w:r>
              <w:rPr>
                <w:rFonts w:ascii="Times New Roman" w:hAnsi="Times New Roman"/>
                <w:color w:val="000000"/>
                <w:sz w:val="20"/>
              </w:rPr>
              <w:t>88,62%</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17FC11D8" w14:textId="77777777" w:rsidR="00404735" w:rsidRDefault="00000000">
            <w:pPr>
              <w:spacing w:before="40" w:after="40" w:line="240" w:lineRule="auto"/>
              <w:jc w:val="center"/>
            </w:pPr>
            <w:r>
              <w:rPr>
                <w:rFonts w:ascii="Times New Roman" w:hAnsi="Times New Roman"/>
                <w:color w:val="000000"/>
                <w:sz w:val="20"/>
              </w:rPr>
              <w:t>49,16%</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3C454B02" w14:textId="77777777" w:rsidR="00404735" w:rsidRDefault="00000000">
            <w:pPr>
              <w:spacing w:before="40" w:after="40" w:line="240" w:lineRule="auto"/>
              <w:jc w:val="center"/>
            </w:pPr>
            <w:r>
              <w:rPr>
                <w:rFonts w:ascii="Times New Roman" w:hAnsi="Times New Roman"/>
                <w:color w:val="000000"/>
                <w:sz w:val="20"/>
              </w:rPr>
              <w:t>48,40%</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495B66C4" w14:textId="77777777" w:rsidR="00404735" w:rsidRDefault="00000000">
            <w:pPr>
              <w:spacing w:before="40" w:after="40" w:line="240" w:lineRule="auto"/>
              <w:jc w:val="center"/>
            </w:pPr>
            <w:r>
              <w:rPr>
                <w:rFonts w:ascii="Times New Roman" w:hAnsi="Times New Roman"/>
                <w:color w:val="000000"/>
                <w:sz w:val="20"/>
              </w:rPr>
              <w:t>58,11%</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52823B47" w14:textId="77777777" w:rsidR="00404735" w:rsidRDefault="00000000">
            <w:pPr>
              <w:spacing w:before="40" w:after="40" w:line="240" w:lineRule="auto"/>
              <w:jc w:val="center"/>
            </w:pPr>
            <w:r>
              <w:rPr>
                <w:rFonts w:ascii="Times New Roman" w:hAnsi="Times New Roman"/>
                <w:color w:val="000000"/>
                <w:sz w:val="20"/>
              </w:rPr>
              <w:t>55,04%</w:t>
            </w:r>
          </w:p>
        </w:tc>
      </w:tr>
      <w:tr w:rsidR="00404735" w14:paraId="54C4CC15" w14:textId="77777777">
        <w:tblPrEx>
          <w:tblCellMar>
            <w:top w:w="0" w:type="dxa"/>
            <w:bottom w:w="0" w:type="dxa"/>
          </w:tblCellMar>
        </w:tblPrEx>
        <w:trPr>
          <w:jc w:val="center"/>
          <w:cantSplit/>
        </w:trPr>
        <w:tc>
          <w:tcPr>
            <w:tcW w:w="1936" w:type="dxa"/>
            <w:tcMar>
              <w:top w:w="40" w:type="dxa"/>
              <w:left w:w="80" w:type="dxa"/>
              <w:bottom w:w="40" w:type="dxa"/>
              <w:right w:w="80" w:type="dxa"/>
            </w:tcMar>
            <w:vAlign w:val="center"/>
            <w:tcBorders>
              <w:top w:val="none"/>
              <w:left w:val="none"/>
              <w:right w:val="none"/>
              <w:bottom w:val="single" w:sz="4" w:space="0" w:color="000000"/>
            </w:tcBorders>
          </w:tcPr>
          <w:p w14:paraId="639782AD" w14:textId="77777777" w:rsidR="00404735" w:rsidRDefault="00000000">
            <w:pPr>
              <w:spacing w:before="40" w:after="40" w:line="240" w:lineRule="auto"/>
            </w:pPr>
            <w:r>
              <w:rPr>
                <w:rFonts w:ascii="Times New Roman" w:hAnsi="Times New Roman"/>
                <w:color w:val="000000"/>
                <w:sz w:val="20"/>
              </w:rPr>
              <w:t>Palmerah</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467D06FB" w14:textId="77777777" w:rsidR="00404735" w:rsidRDefault="00000000">
            <w:pPr>
              <w:spacing w:before="40" w:after="40" w:line="240" w:lineRule="auto"/>
              <w:jc w:val="center"/>
            </w:pPr>
            <w:r>
              <w:rPr>
                <w:rFonts w:ascii="Times New Roman" w:hAnsi="Times New Roman"/>
                <w:color w:val="000000"/>
                <w:sz w:val="20"/>
              </w:rPr>
              <w:t>90,06%</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4581A6BF" w14:textId="77777777" w:rsidR="00404735" w:rsidRDefault="00000000">
            <w:pPr>
              <w:spacing w:before="40" w:after="40" w:line="240" w:lineRule="auto"/>
              <w:jc w:val="center"/>
            </w:pPr>
            <w:r>
              <w:rPr>
                <w:rFonts w:ascii="Times New Roman" w:hAnsi="Times New Roman"/>
                <w:color w:val="000000"/>
                <w:sz w:val="20"/>
              </w:rPr>
              <w:t>19,72%</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19E6C5E1" w14:textId="77777777" w:rsidR="00404735" w:rsidRDefault="00000000">
            <w:pPr>
              <w:spacing w:before="40" w:after="40" w:line="240" w:lineRule="auto"/>
              <w:jc w:val="center"/>
            </w:pPr>
            <w:r>
              <w:rPr>
                <w:rFonts w:ascii="Times New Roman" w:hAnsi="Times New Roman"/>
                <w:color w:val="000000"/>
                <w:sz w:val="20"/>
              </w:rPr>
              <w:t>19,42%</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45421012" w14:textId="77777777" w:rsidR="00404735" w:rsidRDefault="00000000">
            <w:pPr>
              <w:spacing w:before="40" w:after="40" w:line="240" w:lineRule="auto"/>
              <w:jc w:val="center"/>
            </w:pPr>
            <w:r>
              <w:rPr>
                <w:rFonts w:ascii="Times New Roman" w:hAnsi="Times New Roman"/>
                <w:color w:val="000000"/>
                <w:sz w:val="20"/>
              </w:rPr>
              <w:t>35,16%</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126F5962" w14:textId="77777777" w:rsidR="00404735" w:rsidRDefault="00000000">
            <w:pPr>
              <w:spacing w:before="40" w:after="40" w:line="240" w:lineRule="auto"/>
              <w:jc w:val="center"/>
            </w:pPr>
            <w:r>
              <w:rPr>
                <w:rFonts w:ascii="Times New Roman" w:hAnsi="Times New Roman"/>
                <w:color w:val="000000"/>
                <w:sz w:val="20"/>
              </w:rPr>
              <w:t>30,24%</w:t>
            </w:r>
          </w:p>
        </w:tc>
      </w:tr>
      <w:tr w:rsidR="00404735" w14:paraId="0A3ACD85" w14:textId="77777777">
        <w:tblPrEx>
          <w:tblCellMar>
            <w:top w:w="0" w:type="dxa"/>
            <w:bottom w:w="0" w:type="dxa"/>
          </w:tblCellMar>
        </w:tblPrEx>
        <w:trPr>
          <w:jc w:val="center"/>
          <w:cantSplit/>
        </w:trPr>
        <w:tc>
          <w:tcPr>
            <w:tcW w:w="1936" w:type="dxa"/>
            <w:tcMar>
              <w:top w:w="40" w:type="dxa"/>
              <w:left w:w="80" w:type="dxa"/>
              <w:bottom w:w="40" w:type="dxa"/>
              <w:right w:w="80" w:type="dxa"/>
            </w:tcMar>
            <w:vAlign w:val="center"/>
            <w:tcBorders>
              <w:top w:val="none"/>
              <w:left w:val="none"/>
              <w:right w:val="none"/>
              <w:bottom w:val="single" w:sz="4" w:space="0" w:color="000000"/>
            </w:tcBorders>
          </w:tcPr>
          <w:p w14:paraId="1CD62669" w14:textId="77777777" w:rsidR="00404735" w:rsidRDefault="00000000">
            <w:pPr>
              <w:spacing w:before="40" w:after="40" w:line="240" w:lineRule="auto"/>
            </w:pPr>
            <w:r>
              <w:rPr>
                <w:rFonts w:ascii="Times New Roman" w:hAnsi="Times New Roman"/>
                <w:color w:val="000000"/>
                <w:sz w:val="20"/>
              </w:rPr>
              <w:t>Tambora</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5E8C4962" w14:textId="77777777" w:rsidR="00404735" w:rsidRDefault="00000000">
            <w:pPr>
              <w:spacing w:before="40" w:after="40" w:line="240" w:lineRule="auto"/>
              <w:jc w:val="center"/>
            </w:pPr>
            <w:r>
              <w:rPr>
                <w:rFonts w:ascii="Times New Roman" w:hAnsi="Times New Roman"/>
                <w:color w:val="000000"/>
                <w:sz w:val="20"/>
              </w:rPr>
              <w:t>91,34%</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46E81A21" w14:textId="77777777" w:rsidR="00404735" w:rsidRDefault="00000000">
            <w:pPr>
              <w:spacing w:before="40" w:after="40" w:line="240" w:lineRule="auto"/>
              <w:jc w:val="center"/>
            </w:pPr>
            <w:r>
              <w:rPr>
                <w:rFonts w:ascii="Times New Roman" w:hAnsi="Times New Roman"/>
                <w:color w:val="000000"/>
                <w:sz w:val="20"/>
              </w:rPr>
              <w:t>25,33%</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513F428C" w14:textId="77777777" w:rsidR="00404735" w:rsidRDefault="00000000">
            <w:pPr>
              <w:spacing w:before="40" w:after="40" w:line="240" w:lineRule="auto"/>
              <w:jc w:val="center"/>
            </w:pPr>
            <w:r>
              <w:rPr>
                <w:rFonts w:ascii="Times New Roman" w:hAnsi="Times New Roman"/>
                <w:color w:val="000000"/>
                <w:sz w:val="20"/>
              </w:rPr>
              <w:t>24,65%</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02E8D78B" w14:textId="77777777" w:rsidR="00404735" w:rsidRDefault="00000000">
            <w:pPr>
              <w:spacing w:before="40" w:after="40" w:line="240" w:lineRule="auto"/>
              <w:jc w:val="center"/>
            </w:pPr>
            <w:r>
              <w:rPr>
                <w:rFonts w:ascii="Times New Roman" w:hAnsi="Times New Roman"/>
                <w:color w:val="000000"/>
                <w:sz w:val="20"/>
              </w:rPr>
              <w:t>45,16%</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39A1AB70" w14:textId="77777777" w:rsidR="00404735" w:rsidRDefault="00000000">
            <w:pPr>
              <w:spacing w:before="40" w:after="40" w:line="240" w:lineRule="auto"/>
              <w:jc w:val="center"/>
            </w:pPr>
            <w:r>
              <w:rPr>
                <w:rFonts w:ascii="Times New Roman" w:hAnsi="Times New Roman"/>
                <w:color w:val="000000"/>
                <w:sz w:val="20"/>
              </w:rPr>
              <w:t>39,68%</w:t>
            </w:r>
          </w:p>
        </w:tc>
      </w:tr>
      <w:tr w:rsidR="00404735" w14:paraId="38A93998" w14:textId="77777777">
        <w:tblPrEx>
          <w:tblCellMar>
            <w:top w:w="0" w:type="dxa"/>
            <w:bottom w:w="0" w:type="dxa"/>
          </w:tblCellMar>
        </w:tblPrEx>
        <w:trPr>
          <w:jc w:val="center"/>
          <w:cantSplit/>
        </w:trPr>
        <w:tc>
          <w:tcPr>
            <w:tcW w:w="1936" w:type="dxa"/>
            <w:tcMar>
              <w:top w:w="40" w:type="dxa"/>
              <w:left w:w="80" w:type="dxa"/>
              <w:bottom w:w="40" w:type="dxa"/>
              <w:right w:w="80" w:type="dxa"/>
            </w:tcMar>
            <w:vAlign w:val="center"/>
            <w:tcBorders>
              <w:top w:val="none"/>
              <w:left w:val="none"/>
              <w:right w:val="none"/>
              <w:bottom w:val="single" w:sz="4" w:space="0" w:color="000000"/>
            </w:tcBorders>
          </w:tcPr>
          <w:p w14:paraId="0CEB2C07" w14:textId="77777777" w:rsidR="00404735" w:rsidRDefault="00000000">
            <w:pPr>
              <w:spacing w:before="40" w:after="40" w:line="240" w:lineRule="auto"/>
            </w:pPr>
            <w:r>
              <w:rPr>
                <w:rFonts w:ascii="Times New Roman" w:hAnsi="Times New Roman"/>
                <w:color w:val="000000"/>
                <w:sz w:val="20"/>
              </w:rPr>
              <w:t>Taman Sari</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3504D1AD" w14:textId="77777777" w:rsidR="00404735" w:rsidRDefault="00000000">
            <w:pPr>
              <w:spacing w:before="40" w:after="40" w:line="240" w:lineRule="auto"/>
              <w:jc w:val="center"/>
            </w:pPr>
            <w:r>
              <w:rPr>
                <w:rFonts w:ascii="Times New Roman" w:hAnsi="Times New Roman"/>
                <w:color w:val="000000"/>
                <w:sz w:val="20"/>
              </w:rPr>
              <w:t>85,56%</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14EC981E" w14:textId="77777777" w:rsidR="00404735" w:rsidRDefault="00000000">
            <w:pPr>
              <w:spacing w:before="40" w:after="40" w:line="240" w:lineRule="auto"/>
              <w:jc w:val="center"/>
            </w:pPr>
            <w:r>
              <w:rPr>
                <w:rFonts w:ascii="Times New Roman" w:hAnsi="Times New Roman"/>
                <w:color w:val="000000"/>
                <w:sz w:val="20"/>
              </w:rPr>
              <w:t>48,86%</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53946833" w14:textId="77777777" w:rsidR="00404735" w:rsidRDefault="00000000">
            <w:pPr>
              <w:spacing w:before="40" w:after="40" w:line="240" w:lineRule="auto"/>
              <w:jc w:val="center"/>
            </w:pPr>
            <w:r>
              <w:rPr>
                <w:rFonts w:ascii="Times New Roman" w:hAnsi="Times New Roman"/>
                <w:color w:val="000000"/>
                <w:sz w:val="20"/>
              </w:rPr>
              <w:t>47,53%</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7F6E5A4B" w14:textId="77777777" w:rsidR="00404735" w:rsidRDefault="00000000">
            <w:pPr>
              <w:spacing w:before="40" w:after="40" w:line="240" w:lineRule="auto"/>
              <w:jc w:val="center"/>
            </w:pPr>
            <w:r>
              <w:rPr>
                <w:rFonts w:ascii="Times New Roman" w:hAnsi="Times New Roman"/>
                <w:color w:val="000000"/>
                <w:sz w:val="20"/>
              </w:rPr>
              <w:t>59,86%</w:t>
            </w:r>
          </w:p>
        </w:tc>
        <w:tc>
          <w:tcPr>
            <w:tcW w:w="1200" w:type="dxa"/>
            <w:tcMar>
              <w:top w:w="40" w:type="dxa"/>
              <w:left w:w="80" w:type="dxa"/>
              <w:bottom w:w="40" w:type="dxa"/>
              <w:right w:w="80" w:type="dxa"/>
            </w:tcMar>
            <w:vAlign w:val="center"/>
            <w:tcBorders>
              <w:top w:val="none"/>
              <w:left w:val="none"/>
              <w:right w:val="none"/>
              <w:bottom w:val="single" w:sz="4" w:space="0" w:color="000000"/>
            </w:tcBorders>
          </w:tcPr>
          <w:p w14:paraId="478AF36B" w14:textId="77777777" w:rsidR="00404735" w:rsidRDefault="00000000">
            <w:pPr>
              <w:spacing w:before="40" w:after="40" w:line="240" w:lineRule="auto"/>
              <w:jc w:val="center"/>
            </w:pPr>
            <w:r>
              <w:rPr>
                <w:rFonts w:ascii="Times New Roman" w:hAnsi="Times New Roman"/>
                <w:color w:val="000000"/>
                <w:sz w:val="20"/>
              </w:rPr>
              <w:t>55,30%</w:t>
            </w:r>
          </w:p>
        </w:tc>
      </w:tr>
      <w:tr w:rsidR="00404735" w14:paraId="5DAAF708" w14:textId="77777777">
        <w:tblPrEx>
          <w:tblCellMar>
            <w:top w:w="0" w:type="dxa"/>
            <w:bottom w:w="0" w:type="dxa"/>
          </w:tblCellMar>
        </w:tblPrEx>
        <w:trPr>
          <w:jc w:val="center"/>
          <w:cantSplit/>
        </w:trPr>
        <w:tc>
          <w:tcPr>
            <w:tcW w:w="1936" w:type="dxa"/>
            <w:tcMar>
              <w:top w:w="40" w:type="dxa"/>
              <w:left w:w="80" w:type="dxa"/>
              <w:bottom w:w="40" w:type="dxa"/>
              <w:right w:w="80" w:type="dxa"/>
            </w:tcMar>
            <w:vAlign w:val="center"/>
            <w:tcBorders>
              <w:top w:val="none"/>
              <w:left w:val="none"/>
              <w:right w:val="none"/>
              <w:bottom w:val="single" w:sz="8" w:space="0" w:color="000000"/>
            </w:tcBorders>
          </w:tcPr>
          <w:p w14:paraId="4F13615F" w14:textId="77777777" w:rsidR="00404735" w:rsidRDefault="00000000">
            <w:pPr>
              <w:spacing w:before="40" w:after="40" w:line="240" w:lineRule="auto"/>
            </w:pPr>
            <w:r>
              <w:rPr>
                <w:rFonts w:ascii="Times New Roman" w:hAnsi="Times New Roman"/>
                <w:b/>
                <w:bCs/>
                <w:color w:val="000000"/>
                <w:sz w:val="20"/>
              </w:rPr>
              <w:t>Jakarta Barat</w:t>
            </w:r>
          </w:p>
        </w:tc>
        <w:tc>
          <w:tcPr>
            <w:tcW w:w="1200" w:type="dxa"/>
            <w:tcMar>
              <w:top w:w="40" w:type="dxa"/>
              <w:left w:w="80" w:type="dxa"/>
              <w:bottom w:w="40" w:type="dxa"/>
              <w:right w:w="80" w:type="dxa"/>
            </w:tcMar>
            <w:vAlign w:val="center"/>
            <w:tcBorders>
              <w:top w:val="none"/>
              <w:left w:val="none"/>
              <w:right w:val="none"/>
              <w:bottom w:val="single" w:sz="8" w:space="0" w:color="000000"/>
            </w:tcBorders>
          </w:tcPr>
          <w:p w14:paraId="358B5B98" w14:textId="77777777" w:rsidR="00404735" w:rsidRDefault="00000000">
            <w:pPr>
              <w:spacing w:before="40" w:after="40" w:line="240" w:lineRule="auto"/>
              <w:jc w:val="center"/>
            </w:pPr>
            <w:r>
              <w:rPr>
                <w:rFonts w:ascii="Times New Roman" w:hAnsi="Times New Roman"/>
                <w:b/>
                <w:bCs/>
                <w:color w:val="000000"/>
                <w:sz w:val="20"/>
              </w:rPr>
              <w:t>89,46%</w:t>
            </w:r>
          </w:p>
        </w:tc>
        <w:tc>
          <w:tcPr>
            <w:tcW w:w="1200" w:type="dxa"/>
            <w:tcMar>
              <w:top w:w="40" w:type="dxa"/>
              <w:left w:w="80" w:type="dxa"/>
              <w:bottom w:w="40" w:type="dxa"/>
              <w:right w:w="80" w:type="dxa"/>
            </w:tcMar>
            <w:vAlign w:val="center"/>
            <w:tcBorders>
              <w:top w:val="none"/>
              <w:left w:val="none"/>
              <w:right w:val="none"/>
              <w:bottom w:val="single" w:sz="8" w:space="0" w:color="000000"/>
            </w:tcBorders>
          </w:tcPr>
          <w:p w14:paraId="3E45A724" w14:textId="77777777" w:rsidR="00404735" w:rsidRDefault="00000000">
            <w:pPr>
              <w:spacing w:before="40" w:after="40" w:line="240" w:lineRule="auto"/>
              <w:jc w:val="center"/>
            </w:pPr>
            <w:r>
              <w:rPr>
                <w:rFonts w:ascii="Times New Roman" w:hAnsi="Times New Roman"/>
                <w:b/>
                <w:bCs/>
                <w:color w:val="000000"/>
                <w:sz w:val="20"/>
              </w:rPr>
              <w:t>35,03%</w:t>
            </w:r>
          </w:p>
        </w:tc>
        <w:tc>
          <w:tcPr>
            <w:tcW w:w="1200" w:type="dxa"/>
            <w:tcMar>
              <w:top w:w="40" w:type="dxa"/>
              <w:left w:w="80" w:type="dxa"/>
              <w:bottom w:w="40" w:type="dxa"/>
              <w:right w:w="80" w:type="dxa"/>
            </w:tcMar>
            <w:vAlign w:val="center"/>
            <w:tcBorders>
              <w:top w:val="none"/>
              <w:left w:val="none"/>
              <w:right w:val="none"/>
              <w:bottom w:val="single" w:sz="8" w:space="0" w:color="000000"/>
            </w:tcBorders>
          </w:tcPr>
          <w:p w14:paraId="1129F084" w14:textId="77777777" w:rsidR="00404735" w:rsidRDefault="00000000">
            <w:pPr>
              <w:spacing w:before="40" w:after="40" w:line="240" w:lineRule="auto"/>
              <w:jc w:val="center"/>
            </w:pPr>
            <w:r>
              <w:rPr>
                <w:rFonts w:ascii="Times New Roman" w:hAnsi="Times New Roman"/>
                <w:b/>
                <w:bCs/>
                <w:color w:val="000000"/>
                <w:sz w:val="20"/>
              </w:rPr>
              <w:t>34,05%</w:t>
            </w:r>
          </w:p>
        </w:tc>
        <w:tc>
          <w:tcPr>
            <w:tcW w:w="1200" w:type="dxa"/>
            <w:tcMar>
              <w:top w:w="40" w:type="dxa"/>
              <w:left w:w="80" w:type="dxa"/>
              <w:bottom w:w="40" w:type="dxa"/>
              <w:right w:w="80" w:type="dxa"/>
            </w:tcMar>
            <w:vAlign w:val="center"/>
            <w:tcBorders>
              <w:top w:val="none"/>
              <w:left w:val="none"/>
              <w:right w:val="none"/>
              <w:bottom w:val="single" w:sz="8" w:space="0" w:color="000000"/>
            </w:tcBorders>
          </w:tcPr>
          <w:p w14:paraId="10FCA2AA" w14:textId="77777777" w:rsidR="00404735" w:rsidRDefault="00000000">
            <w:pPr>
              <w:spacing w:before="40" w:after="40" w:line="240" w:lineRule="auto"/>
              <w:jc w:val="center"/>
            </w:pPr>
            <w:r>
              <w:rPr>
                <w:rFonts w:ascii="Times New Roman" w:hAnsi="Times New Roman"/>
                <w:b/>
                <w:bCs/>
                <w:color w:val="000000"/>
                <w:sz w:val="20"/>
              </w:rPr>
              <w:t>47,73%</w:t>
            </w:r>
          </w:p>
        </w:tc>
        <w:tc>
          <w:tcPr>
            <w:tcW w:w="1200" w:type="dxa"/>
            <w:tcMar>
              <w:top w:w="40" w:type="dxa"/>
              <w:left w:w="80" w:type="dxa"/>
              <w:bottom w:w="40" w:type="dxa"/>
              <w:right w:w="80" w:type="dxa"/>
            </w:tcMar>
            <w:vAlign w:val="center"/>
            <w:tcBorders>
              <w:top w:val="none"/>
              <w:left w:val="none"/>
              <w:right w:val="none"/>
              <w:bottom w:val="single" w:sz="8" w:space="0" w:color="000000"/>
            </w:tcBorders>
          </w:tcPr>
          <w:p w14:paraId="46F91BC4" w14:textId="77777777" w:rsidR="00404735" w:rsidRDefault="00000000">
            <w:pPr>
              <w:spacing w:before="40" w:after="40" w:line="240" w:lineRule="auto"/>
              <w:jc w:val="center"/>
            </w:pPr>
            <w:r>
              <w:rPr>
                <w:rFonts w:ascii="Times New Roman" w:hAnsi="Times New Roman"/>
                <w:b/>
                <w:bCs/>
                <w:color w:val="000000"/>
                <w:sz w:val="20"/>
              </w:rPr>
              <w:t>42,81%</w:t>
            </w:r>
          </w:p>
        </w:tc>
      </w:tr>
    </w:tbl>
    <w:p w14:paraId="02D3DD07" w14:textId="77777777" w:rsidR="00404735" w:rsidRDefault="00000000" is_subsub="false" is_formula="false" orig_style="Normal">
      <w:pPr>
        <w:spacing w:before="60" w:after="120" w:line="240" w:lineRule="auto"/>
        <w:ind w:left="0" w:right="0" w:firstLine="0"/>
        <w:jc w:val="left"/>
      </w:pPr>
      <w:r>
        <w:rPr>
          <w:rFonts w:ascii="Times New Roman" w:hAnsi="Times New Roman"/>
          <w:b w:val="0"/>
          <w:i w:val="0"/>
          <w:iCs/>
          <w:color w:val="000000"/>
          <w:sz w:val="20"/>
          <w:szCs w:val="22"/>
        </w:rPr>
        <w:t>Sumber: Badan Pendapatan Daerah Provinsi DKI Jakarta, Rekap SPPT Terbit dan Lunas PBB-P2 Jakarta Barat</w:t>
      </w:r>
    </w:p>
    <w:p w14:paraId="14D31755"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iCs/>
          <w:color w:val="000000"/>
          <w:sz w:val="24"/>
          <w:szCs w:val="22"/>
        </w:rPr>
        <w:t>(data ditarik per 11 Mei 2026, diolah oleh peneliti, 2026).</w:t>
      </w:r>
    </w:p>
    <w:p w14:paraId="0132DDCB"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 xml:space="preserve">Tabel 1.4 menegaskan bahwa penurunan kepatuhan pada 2022 melanda seluruh kecamatan tanpa terkecuali. Palmerah mengalami penurunan terdalam, dari 90,06% menjadi 19,72%, diikuti Tambora (dari 91,34% ke 25,33%) dan Cengkareng (dari 89,20% ke 27,30%). Kembangan dan Grogol Petamburan menurun lebih moderat ke kisaran 49%, yang diduga dipengaruhi komposisi wajib pajaknya yang lebih beragam. Tidak satu pun kecamatan mampu mempertahankan kepatuhan di atas 60% sepanjang 2022–2025, sehingga pola rendahnya kepatuhan </w:t>
      </w:r>
      <w:r>
        <w:rPr>
          <w:rFonts w:ascii="Times New Roman" w:hAnsi="Times New Roman"/>
          <w:b w:val="0"/>
          <w:i w:val="0"/>
          <w:color w:val="000000"/>
          <w:sz w:val="24"/>
        </w:rPr>
        <w:lastRenderedPageBreak/>
        <w:t>bersifat persisten. Perlu dicatat pula bahwa meskipun realisasi penerimaan dalam rupiah melampaui target pada 2024 dan 2025, rasio kepatuhan SPPT tetap stagnan pada kisaran 43–48%. Fakta ini mengindikasikan bahwa perbaikan penerimaan lebih banyak ditopang wajib pajak dengan nilai properti tinggi, bukan oleh meluasnya kepatuhan secara menyeluruh.</w:t>
      </w:r>
    </w:p>
    <w:p w14:paraId="17736AEC"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Salah satu faktor yang diduga memengaruhi kepatuhan adalah sosialisasi perpajakan, yaitu upaya pemerintah menyampaikan informasi perpajakan kepada masyarakat agar wajib pajak memahami hak dan kewajibannya serta terdorong melaksanakan kewajiban membayar pajak (Hasna &amp; Halimatusadiah, 2022). Bapenda DKI Jakarta telah menjalankan sosialisasi secara berkelanjutan di Jakarta Barat, antara lain melalui pengembangan sistem e-SPPT yang memungkinkan wajib pajak mengunduh SPPT secara elektronik melalui portal pajakonline.jakarta.go.id (Badan Pendapatan Daerah Provinsi DKI Jakarta, 2025a) serta kegiatan sosialisasi pajak daerah pada Juni 2024 (Badan Pendapatan Daerah Provinsi DKI Jakarta, 2024a). Penelitian Handayani dan Rahmawati (2018) terhadap wajib pajak orang pribadi di Kantor Pelayanan Pajak Pratama Jakarta Kembangan menunjukkan bahwa modernisasi administrasi perpajakan dan penerapan e-system berkaitan dengan peningkatan kepatuhan, sehingga kanal informasi digital seperti e-SPPT berpotensi mendorong perilaku patuh. Kendati demikian, data kepatuhan menunjukkan bahwa upaya tersebut belum membuahkan perubahan perilaku yang menyeluruh; Kecamatan Cengkareng dengan 103.074 SPPT terbit pada 2025, misalnya, hanya mencatat kepatuhan 37,68%.</w:t>
      </w:r>
    </w:p>
    <w:p w14:paraId="41D99FB9"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Temuan empiris mengenai peran sosialisasi pun belum seragam. Arrasi (2022) serta Zagoto dan Zalogo (2023) membuktikan sosialisasi perpajakan berpengaruh positif dan signifikan terhadap kepatuhan wajib pajak PBB, sedangkan Hasna dan Halimatusadiah (2022) pada penelitian di Kecamatan Jalancagak tidak menemukan pengaruh signifikan karena program sosialisasi dinilai belum menjangkau seluruh lapisan wajib pajak secara merata.</w:t>
      </w:r>
    </w:p>
    <w:p w14:paraId="54D16631" w14:textId="77777777" w:rsidR="00404735" w:rsidRDefault="00000000" is_subsub="false" is_formula="false" orig_style="Normal">
      <w:pPr>
        <w:spacing w:before="0" w:after="120" w:line="276" w:lineRule="auto" w:beforeAutospacing="0" w:afterAutospacing="0"/>
        <w:ind w:left="0" w:right="0" w:firstLine="567"/>
        <w:jc w:val="both"/>
      </w:pPr>
      <w:r/>
      <w:r>
        <w:rPr>
          <w:rFonts w:ascii="Times New Roman" w:hAnsi="Times New Roman"/>
          <w:b w:val="0"/>
          <w:i w:val="0"/>
          <w:color w:val="000000"/>
          <w:sz w:val="24"/>
        </w:rPr>
        <w:t xml:space="preserve">Sanksi perpajakan semestinya menjadi instrumen yang menimbulkan efek jera bagi wajib pajak yang lalai. Di Jakarta Barat, fungsi itu justru menghadapi tantangan serius akibat kebijakan keringanan sanksi yang nyaris terbit setiap tahun. Peraturan Gubernur Nomor 23 Tahun 2022 memberikan penghapusan sanksi administrasi atas tunggakan 2013–2021, lalu disusul Peraturan Gubernur Nomor 5 Tahun 2023 dan Peraturan Gubernur Nomor 16 Tahun 2024 yang membebaskan sanksi atas tunggakan 2013–2023 (Badan Pendapatan Daerah Provinsi DKI Jakarta, 2024b), serta kebijakan insentif serupa pada 2025 (Badan Pendapatan Daerah Provinsi DKI Jakarta, 2025b). Purnamasari </w:t>
      </w:r>
      <w:r>
        <w:rPr>
          <w:rFonts w:ascii="Times New Roman" w:hAnsi="Times New Roman"/>
          <w:b w:val="0"/>
          <w:i/>
          <w:color w:val="000000"/>
          <w:sz w:val="24"/>
        </w:rPr>
        <w:t>et al</w:t>
      </w:r>
      <w:r>
        <w:rPr>
          <w:rFonts w:ascii="Times New Roman" w:hAnsi="Times New Roman"/>
          <w:b w:val="0"/>
          <w:i w:val="0"/>
          <w:color w:val="000000"/>
          <w:sz w:val="24"/>
        </w:rPr>
        <w:t>. (2018) menilai bahwa keringanan sanksi yang berulang berpotensi melemahkan efek jera dan mendorong wajib pajak menunda pembayaran karena mengantisipasi program penghapusan denda berikutnya. Bukti empiris mengenai sanksi juga beragam. Yuniar dan Saputra (2022) menemukan sanksi pajak berpengaruh positif dan signifikan terhadap kepatuhan wajib pajak PBB di Kecamatan Cakung, dan Patriandari dan Amalia (2022) memperoleh hasil serupa pada wajib pajak PBB-P2 di wilayah kerja Bapenda Jakarta Timur, sementara Wulandari dan Wahyudi (2022) tidak menemukan pengaruh signifikan pada penelitian di Desa Mranggen, Kabupaten Demak.</w:t>
      </w:r>
    </w:p>
    <w:p w14:paraId="004A5034" w14:textId="77777777" w:rsidR="00404735" w:rsidRDefault="00000000" is_subsub="false" is_formula="false" orig_style="Normal">
      <w:pPr>
        <w:spacing w:before="0" w:after="120" w:line="276" w:lineRule="auto" w:beforeAutospacing="0" w:afterAutospacing="0"/>
        <w:ind w:left="0" w:right="0" w:firstLine="567"/>
        <w:jc w:val="both"/>
      </w:pPr>
      <w:r/>
      <w:r>
        <w:rPr>
          <w:rFonts w:ascii="Times New Roman" w:hAnsi="Times New Roman"/>
          <w:b w:val="0"/>
          <w:i w:val="0"/>
          <w:color w:val="000000"/>
          <w:sz w:val="24"/>
        </w:rPr>
        <w:t xml:space="preserve">Kepercayaan pada pemerintah menjadi variabel penting berikutnya, yakni keyakinan wajib pajak bahwa pemerintah mengelola pajak secara jujur, transparan, dan bertanggung jawab, serta bahwa pajak yang dibayarkan benar-benar digunakan untuk kepentingan publik (Gahung </w:t>
      </w:r>
      <w:r>
        <w:rPr>
          <w:rFonts w:ascii="Times New Roman" w:hAnsi="Times New Roman"/>
          <w:b w:val="0"/>
          <w:i/>
          <w:color w:val="000000"/>
          <w:sz w:val="24"/>
        </w:rPr>
        <w:t>et al</w:t>
      </w:r>
      <w:r>
        <w:rPr>
          <w:rFonts w:ascii="Times New Roman" w:hAnsi="Times New Roman"/>
          <w:b w:val="0"/>
          <w:i w:val="0"/>
          <w:color w:val="000000"/>
          <w:sz w:val="24"/>
        </w:rPr>
        <w:t xml:space="preserve">., 2024). Kepercayaan ini berkaitan erat dengan motivasi kepatuhan sukarela. Purnamasari </w:t>
      </w:r>
      <w:r>
        <w:rPr>
          <w:rFonts w:ascii="Times New Roman" w:hAnsi="Times New Roman"/>
          <w:b w:val="0"/>
          <w:i/>
          <w:color w:val="000000"/>
          <w:sz w:val="24"/>
        </w:rPr>
        <w:t>et al</w:t>
      </w:r>
      <w:r>
        <w:rPr>
          <w:rFonts w:ascii="Times New Roman" w:hAnsi="Times New Roman"/>
          <w:b w:val="0"/>
          <w:i w:val="0"/>
          <w:color w:val="000000"/>
          <w:sz w:val="24"/>
        </w:rPr>
        <w:t xml:space="preserve">. (2018) serta Gahung </w:t>
      </w:r>
      <w:r>
        <w:rPr>
          <w:rFonts w:ascii="Times New Roman" w:hAnsi="Times New Roman"/>
          <w:b w:val="0"/>
          <w:i/>
          <w:color w:val="000000"/>
          <w:sz w:val="24"/>
        </w:rPr>
        <w:t>et al</w:t>
      </w:r>
      <w:r>
        <w:rPr>
          <w:rFonts w:ascii="Times New Roman" w:hAnsi="Times New Roman"/>
          <w:b w:val="0"/>
          <w:i w:val="0"/>
          <w:color w:val="000000"/>
          <w:sz w:val="24"/>
        </w:rPr>
        <w:t xml:space="preserve">. (2024) membuktikan kepercayaan pada pemerintah berpengaruh positif dan signifikan terhadap kepatuhan wajib pajak PBB-P2, sementara Zainudin </w:t>
      </w:r>
      <w:r>
        <w:rPr>
          <w:rFonts w:ascii="Times New Roman" w:hAnsi="Times New Roman"/>
          <w:b w:val="0"/>
          <w:i/>
          <w:color w:val="000000"/>
          <w:sz w:val="24"/>
        </w:rPr>
        <w:t>et al</w:t>
      </w:r>
      <w:r>
        <w:rPr>
          <w:rFonts w:ascii="Times New Roman" w:hAnsi="Times New Roman"/>
          <w:b w:val="0"/>
          <w:i w:val="0"/>
          <w:color w:val="000000"/>
          <w:sz w:val="24"/>
        </w:rPr>
        <w:t xml:space="preserve">. (2022) menemukan pengaruhnya bersifat tidak langsung karena dimediasi oleh persepsi keadilan pajak. Ramadhan dan Tarmidi (2024), melalui penelitian terhadap wajib pajak UMKM di Kecamatan Cengkareng, Jakarta Barat, turut membuktikan bahwa wajib pajak dengan kepercayaan yang tinggi pada pemerintah cenderung patuh menjalankan kewajiban perpajakannya. Dalam konteks Jakarta Barat, perubahan aturan perpajakan yang terjadi hampir setiap tahun melalui kebijakan keringanan yang berulang berpotensi memengaruhi persepsi wajib pajak terhadap konsistensi dan keadilan pengelolaan pajak, yang pada akhirnya dapat memengaruhi tingkat kepercayaan mereka pada sistem perpajakan (Purnamasari </w:t>
      </w:r>
      <w:r>
        <w:rPr>
          <w:rFonts w:ascii="Times New Roman" w:hAnsi="Times New Roman"/>
          <w:b w:val="0"/>
          <w:i/>
          <w:color w:val="000000"/>
          <w:sz w:val="24"/>
        </w:rPr>
        <w:t>et al</w:t>
      </w:r>
      <w:r>
        <w:rPr>
          <w:rFonts w:ascii="Times New Roman" w:hAnsi="Times New Roman"/>
          <w:b w:val="0"/>
          <w:i w:val="0"/>
          <w:color w:val="000000"/>
          <w:sz w:val="24"/>
        </w:rPr>
        <w:t>., 2018).</w:t>
      </w:r>
    </w:p>
    <w:p w14:paraId="3DF38BAB"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lastRenderedPageBreak/>
        <w:t>Kajian penelitian terdahulu memperlihatkan bahwa pengaruh sosialisasi perpajakan, sanksi perpajakan, dan kepercayaan pada pemerintah terhadap kepatuhan wajib pajak PBB-P2 belum konsisten. Pada masing-masing variabel masih ditemukan hasil yang saling bertentangan, sehingga pengaruhnya tidak seragam di setiap wilayah, melainkan bergantung pada konteks dan kondisi kebijakan setempat. Jakarta Barat memiliki kekhasan yang membedakannya dari lokasi penelitian terdahulu, yaitu heterogenitas penduduk yang tinggi, penurunan kepatuhan yang serentak di delapan kecamatan sejak 2022, dan kebijakan keringanan sanksi yang berulang hampir setiap tahun sepanjang 2022–2025. Celah yang belum terjawab adalah bagaimana ketiga variabel tersebut secara simultan memengaruhi kepatuhan di tengah dinamika pemutihan sanksi yang berulang dan basis wajib pajak besar dengan kepatuhan yang terus rendah. Penelitian ini diarahkan untuk mengisi celah tersebut secara empiris.</w:t>
      </w:r>
    </w:p>
    <w:p w14:paraId="4342027A"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Berdasarkan seluruh uraian di atas, penelitian ini menggunakan pendekatan kuantitatif dengan metode survei terhadap wajib pajak yang terdaftar di wilayah Jakarta Barat, dengan fokus pada fenomena periode 2021–2025. Metode kuantitatif dipilih karena penelitian bertujuan menguji pengaruh antarvariabel pada populasi tertentu melalui pengumpulan data dengan instrumen serta analisis statistik (Sugiyono, 2023). Atas dasar itu, peneliti mengangkat judul “Pengaruh Sosialisasi Perpajakan, Sanksi Perpajakan, dan Kepercayaan pada Pemerintah terhadap Kepatuhan Wajib Pajak PBB-P2 (Studi Empiris pada Wajib Pajak yang Terdaftar di Wilayah Jakarta Barat).”</w:t>
      </w:r>
    </w:p>
    <w:p w14:paraId="5665E500" w14:textId="77777777" w:rsidR="00404735" w:rsidRDefault="00000000" is_subsub="false" is_formula="false" orig_style="Heading 2">
      <w:bookmarkStart w:id="110" w:name="_Toc109"/>
      <w:pPr>
        <w:pStyle w:val="Heading2"/>
        <w:keepNext/>
        <w:jc w:val="left"/>
        <w:numPr>
          <w:ilvl w:val="1"/>
          <w:numId w:val="2"/>
        </w:numPr>
        <w:ind w:left="567" w:hanging="567"/>
        <w:outlineLvl w:val="1"/>
        <w:spacing w:before="240" w:after="120" w:line="276" w:lineRule="auto" w:beforeAutospacing="0" w:afterAutospacing="0"/>
      </w:pPr>
      <w:r>
        <w:rPr>
          <w:rFonts w:ascii="Times New Roman" w:hAnsi="Times New Roman"/>
          <w:b/>
          <w:i w:val="0"/>
          <w:color w:val="000000"/>
          <w:sz w:val="24"/>
        </w:rPr>
        <w:t>Perumusan Masalah</w:t>
      </w:r>
      <w:bookmarkEnd w:id="110"/>
    </w:p>
    <w:p w14:paraId="1E0F134F"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Berdasarkan latar belakang yang telah diuraikan, rumusan masalah dalam penelitian ini adalah sebagai berikut.</w:t>
      </w:r>
    </w:p>
    <w:p w14:paraId="43647D2A" w14:textId="77777777" w:rsidR="00404735" w:rsidRDefault="00000000" is_subsub="false" is_formula="false" orig_style="Normal">
      <w:pPr>
        <w:spacing w:after="120" w:line="276" w:lineRule="auto" w:before="0"/>
        <w:ind w:left="992" w:right="0" w:hanging="425"/>
        <w:jc w:val="both"/>
      </w:pPr>
      <w:r>
        <w:rPr>
          <w:rFonts w:ascii="Times New Roman" w:hAnsi="Times New Roman"/>
          <w:b w:val="0"/>
          <w:i w:val="0"/>
          <w:color w:val="000000"/>
          <w:sz w:val="24"/>
        </w:rPr>
        <w:t>1.</w:t>
      </w:r>
      <w:r>
        <w:rPr>
          <w:rFonts w:ascii="Times New Roman" w:hAnsi="Times New Roman"/>
          <w:b w:val="0"/>
          <w:i w:val="0"/>
          <w:color w:val="000000"/>
          <w:sz w:val="24"/>
        </w:rPr>
        <w:tab/>
        <w:t>Apakah sosialisasi perpajakan berpengaruh terhadap kepatuhan wajib pajak PBB-P2 yang terdaftar di wilayah Jakarta Barat?</w:t>
      </w:r>
    </w:p>
    <w:p w14:paraId="01228855" w14:textId="77777777" w:rsidR="00404735" w:rsidRDefault="00000000" is_subsub="false" is_formula="false" orig_style="Normal">
      <w:pPr>
        <w:spacing w:after="120" w:line="276" w:lineRule="auto" w:before="0"/>
        <w:ind w:left="992" w:right="0" w:hanging="425"/>
        <w:jc w:val="both"/>
      </w:pPr>
      <w:r>
        <w:rPr>
          <w:rFonts w:ascii="Times New Roman" w:hAnsi="Times New Roman"/>
          <w:b w:val="0"/>
          <w:i w:val="0"/>
          <w:color w:val="000000"/>
          <w:sz w:val="24"/>
        </w:rPr>
        <w:t>2.</w:t>
      </w:r>
      <w:r>
        <w:rPr>
          <w:rFonts w:ascii="Times New Roman" w:hAnsi="Times New Roman"/>
          <w:b w:val="0"/>
          <w:i w:val="0"/>
          <w:color w:val="000000"/>
          <w:sz w:val="24"/>
        </w:rPr>
        <w:tab/>
        <w:t>Apakah sanksi perpajakan berpengaruh terhadap kepatuhan wajib pajak PBB-P2 yang terdaftar di wilayah Jakarta Barat?</w:t>
      </w:r>
    </w:p>
    <w:p w14:paraId="24D4D0B7" w14:textId="77777777" w:rsidR="00404735" w:rsidRDefault="00000000" is_subsub="false" is_formula="false" orig_style="Normal">
      <w:pPr>
        <w:spacing w:after="120" w:line="276" w:lineRule="auto" w:before="0"/>
        <w:ind w:left="992" w:right="0" w:hanging="425"/>
        <w:jc w:val="both"/>
      </w:pPr>
      <w:r>
        <w:rPr>
          <w:rFonts w:ascii="Times New Roman" w:hAnsi="Times New Roman"/>
          <w:b w:val="0"/>
          <w:i w:val="0"/>
          <w:color w:val="000000"/>
          <w:sz w:val="24"/>
        </w:rPr>
        <w:t>3.</w:t>
      </w:r>
      <w:r>
        <w:rPr>
          <w:rFonts w:ascii="Times New Roman" w:hAnsi="Times New Roman"/>
          <w:b w:val="0"/>
          <w:i w:val="0"/>
          <w:color w:val="000000"/>
          <w:sz w:val="24"/>
        </w:rPr>
        <w:tab/>
        <w:t>Apakah kepercayaan pada pemerintah berpengaruh terhadap kepatuhan wajib pajak PBB-P2 yang terdaftar di wilayah Jakarta Barat?</w:t>
      </w:r>
    </w:p>
    <w:p w14:paraId="1357B9ED" w14:textId="77777777" w:rsidR="00404735" w:rsidRDefault="00000000" is_subsub="false" is_formula="false" orig_style="Heading 2">
      <w:bookmarkStart w:id="111" w:name="_Toc110"/>
      <w:pPr>
        <w:pStyle w:val="Heading2"/>
        <w:keepNext/>
        <w:jc w:val="left"/>
        <w:numPr>
          <w:ilvl w:val="1"/>
          <w:numId w:val="2"/>
        </w:numPr>
        <w:ind w:left="567" w:hanging="567"/>
        <w:outlineLvl w:val="1"/>
        <w:spacing w:before="240" w:after="120" w:line="276" w:lineRule="auto" w:beforeAutospacing="0" w:afterAutospacing="0"/>
      </w:pPr>
      <w:r>
        <w:rPr>
          <w:rFonts w:ascii="Times New Roman" w:hAnsi="Times New Roman"/>
          <w:b/>
          <w:i w:val="0"/>
          <w:color w:val="000000"/>
          <w:sz w:val="24"/>
        </w:rPr>
        <w:t>Tujuan Penelitian</w:t>
      </w:r>
      <w:bookmarkEnd w:id="111"/>
    </w:p>
    <w:p w14:paraId="278475FB"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Sesuai dengan rumusan masalah di atas, tujuan penelitian ini adalah sebagai berikut.</w:t>
      </w:r>
    </w:p>
    <w:p w14:paraId="1FAED4D9" w14:textId="77777777" w:rsidR="00404735" w:rsidRDefault="00000000" is_subsub="false" is_formula="false" orig_style="Normal">
      <w:pPr>
        <w:spacing w:after="120" w:line="276" w:lineRule="auto" w:before="0"/>
        <w:ind w:left="992" w:right="0" w:hanging="425"/>
        <w:jc w:val="both"/>
      </w:pPr>
      <w:r>
        <w:rPr>
          <w:rFonts w:ascii="Times New Roman" w:hAnsi="Times New Roman"/>
          <w:b w:val="0"/>
          <w:i w:val="0"/>
          <w:color w:val="000000"/>
          <w:sz w:val="24"/>
        </w:rPr>
        <w:t>1.</w:t>
      </w:r>
      <w:r>
        <w:rPr>
          <w:rFonts w:ascii="Times New Roman" w:hAnsi="Times New Roman"/>
          <w:b w:val="0"/>
          <w:i w:val="0"/>
          <w:color w:val="000000"/>
          <w:sz w:val="24"/>
        </w:rPr>
        <w:tab/>
        <w:t>Menganalisis dan menguji pengaruh sosialisasi perpajakan terhadap kepatuhan wajib pajak PBB-P2 yang terdaftar di wilayah Jakarta Barat.</w:t>
      </w:r>
    </w:p>
    <w:p w14:paraId="11283C93" w14:textId="77777777" w:rsidR="00404735" w:rsidRDefault="00000000" is_subsub="false" is_formula="false" orig_style="Normal">
      <w:pPr>
        <w:spacing w:after="120" w:line="276" w:lineRule="auto" w:before="0"/>
        <w:ind w:left="992" w:right="0" w:hanging="425"/>
        <w:jc w:val="both"/>
      </w:pPr>
      <w:r>
        <w:rPr>
          <w:rFonts w:ascii="Times New Roman" w:hAnsi="Times New Roman"/>
          <w:b w:val="0"/>
          <w:i w:val="0"/>
          <w:color w:val="000000"/>
          <w:sz w:val="24"/>
        </w:rPr>
        <w:t>2.</w:t>
      </w:r>
      <w:r>
        <w:rPr>
          <w:rFonts w:ascii="Times New Roman" w:hAnsi="Times New Roman"/>
          <w:b w:val="0"/>
          <w:i w:val="0"/>
          <w:color w:val="000000"/>
          <w:sz w:val="24"/>
        </w:rPr>
        <w:tab/>
        <w:t>Menganalisis dan menguji pengaruh sanksi perpajakan terhadap kepatuhan wajib pajak PBB-P2 yang terdaftar di wilayah Jakarta Barat.</w:t>
      </w:r>
    </w:p>
    <w:p w14:paraId="4FA883EB" w14:textId="77777777" w:rsidR="00404735" w:rsidRDefault="00000000" is_subsub="false" is_formula="false" orig_style="Normal">
      <w:pPr>
        <w:spacing w:after="120" w:line="276" w:lineRule="auto" w:before="0"/>
        <w:ind w:left="992" w:right="0" w:hanging="425"/>
        <w:jc w:val="both"/>
      </w:pPr>
      <w:r>
        <w:rPr>
          <w:rFonts w:ascii="Times New Roman" w:hAnsi="Times New Roman"/>
          <w:b w:val="0"/>
          <w:i w:val="0"/>
          <w:color w:val="000000"/>
          <w:sz w:val="24"/>
        </w:rPr>
        <w:t>3.</w:t>
      </w:r>
      <w:r>
        <w:rPr>
          <w:rFonts w:ascii="Times New Roman" w:hAnsi="Times New Roman"/>
          <w:b w:val="0"/>
          <w:i w:val="0"/>
          <w:color w:val="000000"/>
          <w:sz w:val="24"/>
        </w:rPr>
        <w:tab/>
        <w:t>Menganalisis dan menguji pengaruh kepercayaan pada pemerintah terhadap kepatuhan wajib pajak PBB-P2 yang terdaftar di wilayah Jakarta Barat.</w:t>
      </w:r>
    </w:p>
    <w:p w14:paraId="0ED9AC86" w14:textId="77777777" w:rsidR="00404735" w:rsidRDefault="00000000" is_subsub="false" is_formula="false" orig_style="Heading 2">
      <w:bookmarkStart w:id="112" w:name="_Toc111"/>
      <w:pPr>
        <w:pStyle w:val="Heading2"/>
        <w:keepNext/>
        <w:jc w:val="left"/>
        <w:numPr>
          <w:ilvl w:val="1"/>
          <w:numId w:val="2"/>
        </w:numPr>
        <w:ind w:left="567" w:hanging="567"/>
        <w:outlineLvl w:val="1"/>
        <w:spacing w:before="240" w:after="120" w:line="276" w:lineRule="auto" w:beforeAutospacing="0" w:afterAutospacing="0"/>
      </w:pPr>
      <w:r>
        <w:rPr>
          <w:rFonts w:ascii="Times New Roman" w:hAnsi="Times New Roman"/>
          <w:b/>
          <w:i w:val="0"/>
          <w:color w:val="000000"/>
          <w:sz w:val="24"/>
        </w:rPr>
        <w:t>Kontribusi Penelitian</w:t>
      </w:r>
      <w:bookmarkEnd w:id="112"/>
    </w:p>
    <w:p w14:paraId="4FBC39E4"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Penelitian ini diharapkan memberikan manfaat dari sisi teoretis, praktis, maupun kebijakan bagi berbagai pihak yang berkepentingan.</w:t>
      </w:r>
    </w:p>
    <w:p w14:paraId="0305B5ED" w14:textId="77777777" w:rsidR="00404735" w:rsidRDefault="00000000" is_subsub="false" is_formula="false" orig_style="Normal">
      <w:pPr>
        <w:keepNext/>
        <w:spacing w:before="0" w:after="120" w:line="276" w:lineRule="auto"/>
        <w:ind w:left="992" w:right="0" w:hanging="425"/>
        <w:jc w:val="both"/>
      </w:pPr>
      <w:r>
        <w:rPr>
          <w:rFonts w:ascii="Times New Roman" w:hAnsi="Times New Roman"/>
          <w:b w:val="0"/>
          <w:bCs/>
          <w:i w:val="0"/>
          <w:color w:val="000000"/>
          <w:sz w:val="24"/>
        </w:rPr>
        <w:t>1.  Kontribusi Teori</w:t>
      </w:r>
    </w:p>
    <w:p w14:paraId="0D20ED43"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Penelitian ini diharapkan memberikan kontribusi ilmiah dalam pengembangan teori kepatuhan pajak, khususnya Theory of Planned Behavior (Ajzen, 1991), yang menyatakan bahwa perilaku individu dipengaruhi oleh sikap, norma subjektif, dan persepsi kontrol perilaku. Dengan menguji sosialisasi perpajakan, sanksi perpajakan, dan kepercayaan pada pemerintah dalam konteks Jakarta Barat yang memiliki dinamika kebijakan khas, penelitian ini diharapkan dapat mengonfirmasi, memperkaya, atau mengkritisi prediksi teori tersebut pada konteks perpajakan daerah di kawasan metropolitan Indonesia. Pengujian variabel kepercayaan pada pemerintah juga relevan untuk mengisi kesenjangan yang ditinggalkan oleh inkonsistensi temuan terdahulu, mengingat kepercayaan merupakan komponen sikap dan norma sosial yang erat kaitannya dengan motivasi kepatuhan sukarela.</w:t>
      </w:r>
    </w:p>
    <w:p w14:paraId="433AE49B" w14:textId="77777777" w:rsidR="00404735" w:rsidRDefault="00000000" is_subsub="false" is_formula="false" orig_style="Normal">
      <w:pPr>
        <w:keepNext/>
        <w:spacing w:before="0" w:after="120" w:line="276" w:lineRule="auto"/>
        <w:ind w:left="992" w:right="0" w:hanging="425"/>
        <w:jc w:val="both"/>
      </w:pPr>
      <w:r>
        <w:rPr>
          <w:rFonts w:ascii="Times New Roman" w:hAnsi="Times New Roman"/>
          <w:b w:val="0"/>
          <w:bCs/>
          <w:i w:val="0"/>
          <w:color w:val="000000"/>
          <w:sz w:val="24"/>
        </w:rPr>
        <w:t>2.  Kontribusi Praktik</w:t>
      </w:r>
    </w:p>
    <w:p w14:paraId="4560E0CC"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 xml:space="preserve">Secara praktis, hasil penelitian ini diharapkan bermanfaat bagi Badan Pendapatan Daerah (Bapenda) DKI Jakarta dan Suku Dinas Pendapatan Daerah Jakarta Barat sebagai bahan evaluasi dan rujukan empiris dalam merancang strategi peningkatan kepatuhan PBB-P2 yang lebih efektif. Temuan mengenai sosialisasi </w:t>
      </w:r>
      <w:r>
        <w:rPr>
          <w:rFonts w:ascii="Times New Roman" w:hAnsi="Times New Roman"/>
          <w:b w:val="0"/>
          <w:i w:val="0"/>
          <w:color w:val="000000"/>
          <w:sz w:val="24"/>
        </w:rPr>
        <w:lastRenderedPageBreak/>
        <w:t>perpajakan diharapkan membantu pemerintah merancang program yang lebih tepat sasaran sesuai karakteristik masing-masing kecamatan. Bagi masyarakat selaku wajib pajak, penelitian ini diharapkan meningkatkan pemahaman bahwa kepatuhan membayar PBB-P2 merupakan bentuk nyata partisipasi dalam pembangunan daerah yang manfaatnya akan dirasakan langsung oleh masyarakat Jakarta Barat.</w:t>
      </w:r>
    </w:p>
    <w:p w14:paraId="309CBC24" w14:textId="77777777" w:rsidR="00404735" w:rsidRDefault="00000000" is_subsub="false" is_formula="false" orig_style="Normal">
      <w:pPr>
        <w:keepNext/>
        <w:spacing w:before="0" w:after="120" w:line="276" w:lineRule="auto"/>
        <w:ind w:left="992" w:right="0" w:hanging="425"/>
        <w:jc w:val="both"/>
      </w:pPr>
      <w:r>
        <w:rPr>
          <w:rFonts w:ascii="Times New Roman" w:hAnsi="Times New Roman"/>
          <w:b w:val="0"/>
          <w:bCs/>
          <w:i w:val="0"/>
          <w:color w:val="000000"/>
          <w:sz w:val="24"/>
        </w:rPr>
        <w:t>3.  Kontribusi Kebijakan</w:t>
      </w:r>
    </w:p>
    <w:p w14:paraId="07EA763E"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Dari sisi kebijakan, temuan penelitian ini diharapkan memberikan dasar ilmiah bagi evaluasi kebijakan keringanan sanksi administrasi PBB-P2 yang berulang setiap tahun, yaitu apakah kebijakan tersebut mendorong kepatuhan jangka panjang atau justru menumbuhkan perilaku menunda pembayaran. Pemerintah Provinsi DKI Jakarta, khususnya Bapenda, diharapkan dapat menggunakan temuan ini sebagai pertimbangan dalam merancang regulasi insentif perpajakan yang lebih terukur dan berorientasi pada peningkatan kepatuhan berkelanjutan. Penelitian ini juga dapat menjadi referensi bagi pemerintah daerah lain dalam merumuskan kebijakan perpajakan yang menyeimbangkan penegakan aturan dengan pembangunan kepercayaan wajib pajak terhadap pengelolaan pajak daerah.</w:t>
      </w:r>
    </w:p>
    <w:p w14:paraId="48C6CEBD" w14:textId="77777777" w:rsidR="00404735" w:rsidRDefault="00000000" is_subsub="false" is_formula="false" orig_style="Heading 1">
      <w:bookmarkStart w:id="113" w:name="_Toc112"/>
      <w:pPr>
        <w:pStyle w:val="Heading1"/>
        <w:keepNext/>
        <w:pageBreakBefore/>
        <w:jc w:val="center"/>
        <w:ind w:left="0" w:right="0" w:firstLine="0" w:hanging="0"/>
        <w:numPr>
          <w:ilvl w:val="0"/>
          <w:numId w:val="2"/>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KAJIAN PUSTAKA, RERANGKA PEMIKIRAN, DAN HIPOTESIS</w:t>
      </w:r>
      <w:bookmarkEnd w:id="113"/>
    </w:p>
    <w:p w14:paraId="0DF5F491" w14:textId="77777777" w:rsidR="00404735" w:rsidRDefault="00000000" is_subsub="false" is_formula="false" orig_style="Heading 2">
      <w:bookmarkStart w:id="114" w:name="_Toc113"/>
      <w:pPr>
        <w:pStyle w:val="Heading2"/>
        <w:keepNext/>
        <w:jc w:val="left"/>
        <w:numPr>
          <w:ilvl w:val="1"/>
          <w:numId w:val="2"/>
        </w:numPr>
        <w:ind w:left="567" w:hanging="567"/>
        <w:outlineLvl w:val="1"/>
        <w:spacing w:before="240" w:after="120" w:line="276" w:lineRule="auto" w:beforeAutospacing="0" w:afterAutospacing="0"/>
      </w:pPr>
      <w:r>
        <w:rPr>
          <w:rFonts w:ascii="Times New Roman" w:hAnsi="Times New Roman"/>
          <w:b/>
          <w:i w:val="0"/>
          <w:color w:val="000000"/>
          <w:sz w:val="24"/>
        </w:rPr>
        <w:t>Kajian Pustaka</w:t>
      </w:r>
      <w:bookmarkEnd w:id="114"/>
    </w:p>
    <w:p w14:paraId="2FB4123A" w14:textId="77777777" w:rsidR="00404735" w:rsidRDefault="00000000" is_subsub="true" is_formula="false" orig_style="Heading 3">
      <w:bookmarkStart w:id="115" w:name="_Toc114"/>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Theory Of Planned Behavior</w:t>
      </w:r>
      <w:bookmarkEnd w:id="115"/>
    </w:p>
    <w:p w14:paraId="2A2C13B6"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Theory of Planned Behavior (TPB) yang dikembangkan Ajzen (1991) menjelaskan bahwa perilaku seseorang ditentukan oleh niat (intention) untuk berperilaku, dan niat tersebut dibentuk oleh tiga determinan utama, yaitu sikap terhadap perilaku (attitude toward the behavior), norma subjektif (subjective norm), dan persepsi kontrol perilaku (perceived behavioral control). Sikap mencerminkan penilaian positif atau negatif individu terhadap suatu perilaku, norma subjektif menggambarkan tekanan sosial yang dirasakan, sedangkan persepsi kontrol perilaku berkaitan dengan keyakinan individu atas kemudahan atau kesulitan melakukan perilaku tersebut.</w:t>
      </w:r>
    </w:p>
    <w:p w14:paraId="77FD0262"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Dalam konteks perpajakan, keputusan wajib pajak untuk patuh membayar PBB-P2 dapat dipahami sebagai perilaku yang berakar pada ketiga determinan tersebut. Sosialisasi perpajakan berperan membentuk sikap dan pengetahuan wajib pajak terhadap kewajibannya; sanksi perpajakan memengaruhi persepsi kontrol perilaku sekaligus norma yang dirasakan; sedangkan kepercayaan pada pemerintah turut membentuk sikap terhadap sistem perpajakan. TPB dengan demikian menjadi payung teori yang menautkan sosialisasi perpajakan, sanksi perpajakan, dan kepercayaan pada pemerintah dengan kepatuhan wajib pajak.</w:t>
      </w:r>
    </w:p>
    <w:p w14:paraId="40515E91" w14:textId="77777777" w:rsidR="00404735" w:rsidRDefault="00000000" is_subsub="true" is_formula="false" orig_style="Heading 3">
      <w:bookmarkStart w:id="116" w:name="_Toc115"/>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Slippery Slope Framework</w:t>
      </w:r>
      <w:bookmarkEnd w:id="116"/>
    </w:p>
    <w:p w14:paraId="0CA5A8FC"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Slippery Slope </w:t>
      </w:r>
      <w:r>
        <w:rPr>
          <w:rFonts w:ascii="Times New Roman" w:hAnsi="Times New Roman"/>
          <w:b w:val="0"/>
          <w:i/>
          <w:color w:val="000000"/>
          <w:sz w:val="24"/>
        </w:rPr>
        <w:t>Framework</w:t>
      </w:r>
      <w:r>
        <w:rPr>
          <w:rFonts w:ascii="Times New Roman" w:hAnsi="Times New Roman"/>
          <w:b w:val="0"/>
          <w:i w:val="0"/>
          <w:color w:val="000000"/>
          <w:sz w:val="24"/>
        </w:rPr>
        <w:t xml:space="preserve"> yang dikemukakan Kirchler </w:t>
      </w:r>
      <w:r>
        <w:rPr>
          <w:rFonts w:ascii="Times New Roman" w:hAnsi="Times New Roman"/>
          <w:b w:val="0"/>
          <w:i/>
          <w:color w:val="000000"/>
          <w:sz w:val="24"/>
        </w:rPr>
        <w:t>et al</w:t>
      </w:r>
      <w:r>
        <w:rPr>
          <w:rFonts w:ascii="Times New Roman" w:hAnsi="Times New Roman"/>
          <w:b w:val="0"/>
          <w:i w:val="0"/>
          <w:color w:val="000000"/>
          <w:sz w:val="24"/>
        </w:rPr>
        <w:t>. (2008) melengkapi Theory of Planned Behavior dengan kerangka yang khusus mengkaji perilaku kepatuhan pajak. Kerangka ini mengajukan dua dimensi utama penentu kepatuhan, yaitu kepercayaan terhadap otoritas (trust) dan kekuatan otoritas (power). Kepercayaan yang tinggi mendorong kepatuhan sukarela (voluntary compliance), sedangkan kekuatan otoritas dalam menegakkan aturan, termasuk pemeriksaan dan pengenaan sanksi, mendorong kepatuhan yang dipaksakan (enforced compliance).</w:t>
      </w:r>
    </w:p>
    <w:p w14:paraId="4A5089E3"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Kerangka ini relevan dengan ketiga variabel penelitian. Kepercayaan pada pemerintah merepresentasikan dimensi trust yang menumbuhkan kepatuhan sukarela, sedangkan sanksi perpajakan merepresentasikan dimensi power yang menopang kepatuhan terpaksa. Sosialisasi perpajakan berperan memperkuat kedua dimensi tersebut, sebab pengetahuan perpajakan yang memadai berkaitan dengan meningkatnya kepercayaan pada otoritas (Hofmann </w:t>
      </w:r>
      <w:r>
        <w:rPr>
          <w:rFonts w:ascii="Times New Roman" w:hAnsi="Times New Roman"/>
          <w:b w:val="0"/>
          <w:i/>
          <w:color w:val="000000"/>
          <w:sz w:val="24"/>
        </w:rPr>
        <w:t>et al</w:t>
      </w:r>
      <w:r>
        <w:rPr>
          <w:rFonts w:ascii="Times New Roman" w:hAnsi="Times New Roman"/>
          <w:b w:val="0"/>
          <w:i w:val="0"/>
          <w:color w:val="000000"/>
          <w:sz w:val="24"/>
        </w:rPr>
        <w:t xml:space="preserve">., 2008). Bukti empiris Kogler </w:t>
      </w:r>
      <w:r>
        <w:rPr>
          <w:rFonts w:ascii="Times New Roman" w:hAnsi="Times New Roman"/>
          <w:b w:val="0"/>
          <w:i/>
          <w:color w:val="000000"/>
          <w:sz w:val="24"/>
        </w:rPr>
        <w:t>et al</w:t>
      </w:r>
      <w:r>
        <w:rPr>
          <w:rFonts w:ascii="Times New Roman" w:hAnsi="Times New Roman"/>
          <w:b w:val="0"/>
          <w:i w:val="0"/>
          <w:color w:val="000000"/>
          <w:sz w:val="24"/>
        </w:rPr>
        <w:t>. (2015) menegaskan bahwa kepercayaan memediasi pengaruh keadilan terhadap kepatuhan sukarela, sementara kekuatan penegakan memediasi pengaruh deterensi terhadap kepatuhan terpaksa. Dengan memadukan kedua teori ini, penelitian memperoleh landasan yang lebih lengkap untuk menjelaskan keterkaitan sosialisasi, sanksi, dan kepercayaan dengan kepatuhan wajib pajak PBB-P2.</w:t>
      </w:r>
    </w:p>
    <w:p w14:paraId="0EC6A81A" w14:textId="77777777" w:rsidR="00404735" w:rsidRDefault="00000000" is_subsub="true" is_formula="false" orig_style="Heading 3">
      <w:bookmarkStart w:id="117" w:name="_Toc116"/>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Kepatuhan Wajib Pajak</w:t>
      </w:r>
      <w:bookmarkEnd w:id="117"/>
    </w:p>
    <w:p w14:paraId="762BB0BA"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Kepatuhan wajib pajak merupakan keadaan ketika wajib pajak memenuhi seluruh kewajiban perpajakannya dan melaksanakan hak perpajakannya sesuai ketentuan yang berlaku. Kepatuhan dapat dibedakan menjadi kepatuhan formal, yaitu pemenuhan kewajiban secara administratif sesuai ketentuan undang-undang, dan kepatuhan material, yaitu pemenuhan substansi kewajiban perpajakan secara benar dan sesuai jumlah yang terutang (Mardiasmo, 2018).</w:t>
      </w:r>
    </w:p>
    <w:p w14:paraId="0527D41F"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Dalam konteks PBB-P2, kepatuhan tercermin dari kesediaan wajib pajak melunasi pajak terutang yang tercantum dalam Surat Pemberitahuan Pajak Terutang (SPPT) secara tepat waktu sebelum tanggal jatuh tempo. Indikator kepatuhan wajib pajak yang umum digunakan meliputi: (1) kesadaran mendaftarkan dan melaporkan objek pajak, (2) ketepatan dalam menghitung besaran pajak terutang, (3) ketepatan waktu pembayaran, dan (4) ketiadaan tunggakan pajak (Arrasi, 2022; Yuniar &amp; Saputra, 2022).</w:t>
      </w:r>
    </w:p>
    <w:p w14:paraId="6401692C" w14:textId="77777777" w:rsidR="00404735" w:rsidRDefault="00000000" is_subsub="true" is_formula="false" orig_style="Heading 3">
      <w:bookmarkStart w:id="118" w:name="_Toc117"/>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Pajak Bumi dan Bangunan Perdesaan dan Perkotaan (pbb-P2)</w:t>
      </w:r>
      <w:bookmarkEnd w:id="118"/>
    </w:p>
    <w:p w14:paraId="252CBADE"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PBB-P2 adalah pajak atas bumi dan/atau bangunan yang dimiliki, dikuasai, dan/atau dimanfaatkan oleh orang pribadi atau badan, kecuali kawasan yang digunakan untuk kegiatan usaha perkebunan, perhutanan, dan pertambangan (Undang-Undang Nomor 1 Tahun 2022). Sejak berlakunya undang-undang tersebut, PBB-P2 menjadi salah satu jenis pajak daerah yang kewenangan </w:t>
      </w:r>
      <w:r>
        <w:rPr>
          <w:rFonts w:ascii="Times New Roman" w:hAnsi="Times New Roman"/>
          <w:b w:val="0"/>
          <w:i w:val="0"/>
          <w:color w:val="000000"/>
          <w:sz w:val="24"/>
        </w:rPr>
        <w:lastRenderedPageBreak/>
        <w:t>pemungutannya berada pada pemerintah kabupaten/kota, termasuk Pemerintah Provinsi DKI Jakarta.</w:t>
      </w:r>
    </w:p>
    <w:p w14:paraId="4009901E"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Dasar pengenaan PBB-P2 adalah Nilai Jual Objek Pajak (NJOP) yang ditetapkan secara berkala oleh pemerintah daerah. Setiap tahun wajib pajak menerima SPPT yang memuat besaran pajak terutang beserta tanggal jatuh temponya. Objek pajak ini melekat pada hampir setiap pemilik tanah dan bangunan sehingga PBB-P2 memiliki basis wajib pajak yang luas dan berkontribusi penting terhadap Pendapatan Asli Daerah.</w:t>
      </w:r>
    </w:p>
    <w:p w14:paraId="49EAB4F3"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PBB-P2 memiliki karakteristik yang membedakannya dari jenis pajak daerah lain. Pajak ini bersifat kebendaan karena dikenakan atas kepemilikan atau pemanfaatan bumi dan bangunan, bukan atas penghasilan wajib pajak, sehingga basis pajaknya sangat luas dan melekat pada hampir setiap pemilik properti tanpa memandang kemampuan ekonominya. Pajak ini tidak dikaitkan dengan besarnya penghasilan sehingga kesediaan membayarnya lebih banyak ditentukan oleh faktor non-ekonomi, seperti kesadaran, pemahaman terhadap prosedur, dan kepercayaan terhadap pengelolaan pajak oleh pemerintah (Mardiasmo, 2018; Purnamasari </w:t>
      </w:r>
      <w:r>
        <w:rPr>
          <w:rFonts w:ascii="Times New Roman" w:hAnsi="Times New Roman"/>
          <w:b w:val="0"/>
          <w:i/>
          <w:color w:val="000000"/>
          <w:sz w:val="24"/>
        </w:rPr>
        <w:t>et al</w:t>
      </w:r>
      <w:r>
        <w:rPr>
          <w:rFonts w:ascii="Times New Roman" w:hAnsi="Times New Roman"/>
          <w:b w:val="0"/>
          <w:i w:val="0"/>
          <w:color w:val="000000"/>
          <w:sz w:val="24"/>
        </w:rPr>
        <w:t>., 2018). Karakteristik inilah yang menjadikan sosialisasi perpajakan, sanksi perpajakan, dan kepercayaan pada pemerintah relevan untuk dikaji sebagai faktor penentu kepatuhan wajib pajak PBB-P2.</w:t>
      </w:r>
    </w:p>
    <w:p w14:paraId="4C2CB740" w14:textId="77777777" w:rsidR="00404735" w:rsidRDefault="00000000" is_subsub="true" is_formula="false" orig_style="Heading 3">
      <w:bookmarkStart w:id="119" w:name="_Toc118"/>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Sosialisasi Perpajakan</w:t>
      </w:r>
      <w:bookmarkEnd w:id="119"/>
    </w:p>
    <w:p w14:paraId="6A7EFE72"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Sosialisasi perpajakan merupakan upaya otoritas pajak menyampaikan informasi, pengetahuan, dan pemahaman perpajakan kepada masyarakat agar wajib pajak memahami hak dan kewajibannya serta terdorong memenuhi kewajiban perpajakannya (Hasna &amp; Halimatusadiah, 2022). Sosialisasi dapat dilakukan melalui berbagai bentuk, seperti penyuluhan langsung, penyebaran informasi melalui media cetak dan elektronik, serta pemanfaatan layanan digital seperti portal pajak daring.</w:t>
      </w:r>
    </w:p>
    <w:p w14:paraId="24F44058"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Sosialisasi yang efektif diharapkan meningkatkan pemahaman wajib pajak sehingga memengaruhi sikap dan kesediaannya untuk patuh. Pengetahuan perpajakan yang terbentuk melalui sosialisasi merupakan salah satu prakondisi penting bagi kepatuhan sukarela (Hofmann </w:t>
      </w:r>
      <w:r>
        <w:rPr>
          <w:rFonts w:ascii="Times New Roman" w:hAnsi="Times New Roman"/>
          <w:b w:val="0"/>
          <w:i/>
          <w:color w:val="000000"/>
          <w:sz w:val="24"/>
        </w:rPr>
        <w:t>et al</w:t>
      </w:r>
      <w:r>
        <w:rPr>
          <w:rFonts w:ascii="Times New Roman" w:hAnsi="Times New Roman"/>
          <w:b w:val="0"/>
          <w:i w:val="0"/>
          <w:color w:val="000000"/>
          <w:sz w:val="24"/>
        </w:rPr>
        <w:t>., 2008). Indikator sosialisasi perpajakan dalam penelitian ini meliputi: (1) penyelenggaraan kegiatan sosialisasi secara berkala, (2) ragam media dan saluran penyampaian informasi, (3) kejelasan dan kualitas materi yang disampaikan, serta (4) tingkat pemahaman wajib pajak sebagai hasil sosialisasi (Zagoto &amp; Zalogo, 2023).</w:t>
      </w:r>
    </w:p>
    <w:p w14:paraId="49553D25" w14:textId="77777777" w:rsidR="00404735" w:rsidRDefault="00000000" is_subsub="true" is_formula="false" orig_style="Heading 3">
      <w:bookmarkStart w:id="120" w:name="_Toc119"/>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Sanksi Perpajakan</w:t>
      </w:r>
      <w:bookmarkEnd w:id="120"/>
    </w:p>
    <w:p w14:paraId="661791BA"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Sanksi perpajakan merupakan jaminan bahwa ketentuan peraturan perundang-undangan perpajakan akan dipatuhi, sekaligus berfungsi sebagai alat pencegah agar wajib pajak tidak melanggar kewajibannya (Mardiasmo, 2018). Secara teoretis, fungsi sanksi berakar pada model deterensi yang dikemukakan Allingham dan Sandmo (1972), yang memandang keputusan kepatuhan sebagai pertimbangan rasional antara manfaat penghindaran pajak dan risiko terdeteksi serta dikenai sanksi. Secara umum sanksi perpajakan dibedakan menjadi sanksi administrasi, yang dapat berupa denda, bunga, atau kenaikan, dan sanksi pidana bagi pelanggaran yang lebih berat.</w:t>
      </w:r>
    </w:p>
    <w:p w14:paraId="313E6BE1"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Efektivitas sanksi sangat bergantung pada ketegasan penerapannya serta persepsi wajib pajak atas sanksi tersebut. Indikator sanksi perpajakan dalam penelitian ini mencakup: (1) pengetahuan wajib pajak mengenai keberadaan sanksi, (2) ketegasan dan konsistensi penerapan sanksi, (3) tingkat keberatan sanksi yang dikenakan, dan (4) keadilan pengenaan sanksi (Yuniar &amp; Saputra, 2022; Patriandari &amp; Amalia, 2022).</w:t>
      </w:r>
    </w:p>
    <w:p w14:paraId="42BD7260" w14:textId="77777777" w:rsidR="00404735" w:rsidRDefault="00000000" is_subsub="true" is_formula="false" orig_style="Heading 3">
      <w:bookmarkStart w:id="121" w:name="_Toc120"/>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Kepercayaan pada Pemerintah</w:t>
      </w:r>
      <w:bookmarkEnd w:id="121"/>
    </w:p>
    <w:p w14:paraId="78D9AC55"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Kepercayaan pada pemerintah adalah keyakinan wajib pajak bahwa pemerintah mengelola penerimaan pajak secara jujur, transparan, dan bertanggung jawab, serta menggunakannya untuk kepentingan dan kesejahteraan publik (Gahung </w:t>
      </w:r>
      <w:r>
        <w:rPr>
          <w:rFonts w:ascii="Times New Roman" w:hAnsi="Times New Roman"/>
          <w:b w:val="0"/>
          <w:i/>
          <w:color w:val="000000"/>
          <w:sz w:val="24"/>
        </w:rPr>
        <w:t>et al</w:t>
      </w:r>
      <w:r>
        <w:rPr>
          <w:rFonts w:ascii="Times New Roman" w:hAnsi="Times New Roman"/>
          <w:b w:val="0"/>
          <w:i w:val="0"/>
          <w:color w:val="000000"/>
          <w:sz w:val="24"/>
        </w:rPr>
        <w:t>., 2024). Kepercayaan ini menjadi faktor penting yang mendorong kepatuhan sukarela, karena wajib pajak cenderung lebih taat ketika meyakini bahwa pajak yang dibayarkan dikelola dengan baik dan memberikan manfaat nyata.</w:t>
      </w:r>
    </w:p>
    <w:p w14:paraId="51B52274"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Kepercayaan yang rendah, sebaliknya, dapat menurunkan motivasi wajib pajak untuk membayar pajak. Indikator kepercayaan pada pemerintah dalam penelitian ini meliputi: (1) keyakinan terhadap kejujuran pengelolaan pajak, (2) persepsi transparansi penggunaan dana pajak, (3) akuntabilitas pemerintah daerah, dan (4) manfaat pembangunan yang dirasakan wajib pajak (Purnamasari </w:t>
      </w:r>
      <w:r>
        <w:rPr>
          <w:rFonts w:ascii="Times New Roman" w:hAnsi="Times New Roman"/>
          <w:b w:val="0"/>
          <w:i/>
          <w:color w:val="000000"/>
          <w:sz w:val="24"/>
        </w:rPr>
        <w:t>et al</w:t>
      </w:r>
      <w:r>
        <w:rPr>
          <w:rFonts w:ascii="Times New Roman" w:hAnsi="Times New Roman"/>
          <w:b w:val="0"/>
          <w:i w:val="0"/>
          <w:color w:val="000000"/>
          <w:sz w:val="24"/>
        </w:rPr>
        <w:t>., 2018; Ramadhan &amp; Tarmidi, 2024).</w:t>
      </w:r>
    </w:p>
    <w:p w14:paraId="2CF7936F" w14:textId="77777777" w:rsidR="00404735" w:rsidRDefault="00000000" is_subsub="true" is_formula="false" orig_style="Heading 3">
      <w:bookmarkStart w:id="122" w:name="_Toc121"/>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Penelitian Terdahulu</w:t>
      </w:r>
      <w:bookmarkEnd w:id="122"/>
    </w:p>
    <w:p w14:paraId="30DFD441"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Sejumlah penelitian terdahulu telah mengkaji faktor-faktor yang memengaruhi kepatuhan wajib pajak PBB-P2 dengan temuan yang beragam, baik yang sejalan maupun yang bertentangan. Ringkasan penelitian terdahulu yang relevan dengan variabel dalam penelitian ini disajikan pada Tabel 2.1.</w:t>
      </w:r>
    </w:p>
    <w:p w14:paraId="15DE8DAB" w14:textId="77777777" w:rsidR="00404735" w:rsidRDefault="00000000" is_subsub="false" is_formula="false" orig_style="Caption Tabel">
      <w:pPr>
        <w:pStyle w:val="CaptionTabel"/>
        <w:ind w:left="0" w:right="0" w:firstLine="0" w:hanging="0"/>
        <w:jc w:val="center"/>
        <w:spacing w:before="240" w:after="120" w:line="240" w:lineRule="auto"/>
      </w:pPr>
      <w:bookmarkStart w:id="123" w:name="_Toc122"/>
      <w:r>
        <w:rPr>
          <w:rFonts w:ascii="Times New Roman" w:hAnsi="Times New Roman"/>
          <w:b/>
          <w:color w:val="000000"/>
          <w:sz w:val="24"/>
        </w:rPr>
        <w:t xml:space="preserve">Tabel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Tabel \* ARABIC \s 1 ">
        <w:r>
          <w:rPr>
            <w:rFonts w:ascii="Times New Roman" w:hAnsi="Times New Roman"/>
            <w:sz w:val="24"/>
            <w:b/>
            <w:color w:val="000000"/>
            <w:noProof/>
          </w:rPr>
          <w:t>1</w:t>
        </w:r>
      </w:fldSimple>
      <w:r>
        <w:rPr>
          <w:rFonts w:ascii="Times New Roman" w:hAnsi="Times New Roman"/>
          <w:b/>
          <w:color w:val="000000"/>
          <w:sz w:val="24"/>
        </w:rPr>
        <w:t xml:space="preserve"> Daftar Penelitian Sebelumnya</w:t>
      </w:r>
      <w:bookmarkEnd w:id="123"/>
    </w:p>
    <w:tbl>
      <w:tblPr>
        <w:tblW w:w="7937" w:type="dxa"/>
        <w:jc w:val="center"/>
        <w:tblCellMar>
          <w:left w:w="10" w:type="dxa"/>
          <w:right w:w="10" w:type="dxa"/>
        </w:tblCellMar>
        <w:tblLook w:val="0000" w:firstRow="0" w:lastRow="0" w:firstColumn="0" w:lastColumn="0" w:noHBand="0" w:noVBand="0"/>
        <w:tblBorders>
          <w:top w:val="single" w:sz="8" w:space="0" w:color="000000"/>
          <w:bottom w:val="single" w:sz="8" w:space="0" w:color="000000"/>
          <w:left w:val="none"/>
          <w:right w:val="none"/>
          <w:insideH w:val="single" w:sz="4" w:space="0" w:color="000000"/>
          <w:insideV w:val="none"/>
        </w:tblBorders>
      </w:tblPr>
      <w:tblGrid>
        <w:gridCol w:w="502"/>
        <w:gridCol w:w="1627"/>
        <w:gridCol w:w="2156"/>
        <w:gridCol w:w="1672"/>
        <w:gridCol w:w="1980"/>
      </w:tblGrid>
      <w:tr w:rsidR="00404735" w14:paraId="69385A27" w14:textId="77777777">
        <w:tblPrEx>
          <w:tblCellMar>
            <w:top w:w="0" w:type="dxa"/>
            <w:bottom w:w="0" w:type="dxa"/>
          </w:tblCellMar>
        </w:tblPrEx>
        <w:trPr>
          <w:tblHeader/>
          <w:jc w:val="center"/>
          <w:cantSplit/>
        </w:trPr>
        <w:tc>
          <w:tcPr>
            <w:tcW w:w="520" w:type="dxa"/>
            <w:tcMar>
              <w:top w:w="30" w:type="dxa"/>
              <w:left w:w="60" w:type="dxa"/>
              <w:bottom w:w="30" w:type="dxa"/>
              <w:right w:w="60" w:type="dxa"/>
            </w:tcMar>
            <w:vAlign w:val="center"/>
            <w:shd w:val="clear" w:color="auto" w:fill="D9D9D9"/>
            <w:tcBorders>
              <w:top w:val="single" w:sz="8" w:space="0" w:color="000000"/>
              <w:bottom w:val="single" w:sz="8" w:space="0" w:color="000000"/>
              <w:left w:val="none"/>
              <w:right w:val="none"/>
            </w:tcBorders>
          </w:tcPr>
          <w:p w14:paraId="15ED9A9C" w14:textId="77777777" w:rsidR="00404735" w:rsidRDefault="00000000">
            <w:pPr>
              <w:spacing w:before="40" w:after="40" w:line="240" w:lineRule="auto"/>
              <w:jc w:val="center"/>
            </w:pPr>
            <w:r>
              <w:rPr>
                <w:rFonts w:ascii="Times New Roman" w:hAnsi="Times New Roman"/>
                <w:b/>
                <w:bCs/>
                <w:color w:val="000000"/>
                <w:sz w:val="20"/>
              </w:rPr>
              <w:t>No</w:t>
            </w:r>
          </w:p>
        </w:tc>
        <w:tc>
          <w:tcPr>
            <w:tcW w:w="1300" w:type="dxa"/>
            <w:tcMar>
              <w:top w:w="30" w:type="dxa"/>
              <w:left w:w="60" w:type="dxa"/>
              <w:bottom w:w="30" w:type="dxa"/>
              <w:right w:w="60" w:type="dxa"/>
            </w:tcMar>
            <w:vAlign w:val="center"/>
            <w:shd w:val="clear" w:color="auto" w:fill="D9D9D9"/>
            <w:tcBorders>
              <w:top w:val="single" w:sz="8" w:space="0" w:color="000000"/>
              <w:bottom w:val="single" w:sz="8" w:space="0" w:color="000000"/>
              <w:left w:val="none"/>
              <w:right w:val="none"/>
            </w:tcBorders>
          </w:tcPr>
          <w:p w14:paraId="57512312" w14:textId="77777777" w:rsidR="00404735" w:rsidRDefault="00000000">
            <w:pPr>
              <w:spacing w:before="40" w:after="40" w:line="240" w:lineRule="auto"/>
              <w:jc w:val="center"/>
            </w:pPr>
            <w:r>
              <w:rPr>
                <w:rFonts w:ascii="Times New Roman" w:hAnsi="Times New Roman"/>
                <w:b/>
                <w:bCs/>
                <w:color w:val="000000"/>
                <w:sz w:val="20"/>
              </w:rPr>
              <w:t>Peneliti &amp; Tahun</w:t>
            </w:r>
          </w:p>
        </w:tc>
        <w:tc>
          <w:tcPr>
            <w:tcW w:w="2300" w:type="dxa"/>
            <w:tcMar>
              <w:top w:w="30" w:type="dxa"/>
              <w:left w:w="60" w:type="dxa"/>
              <w:bottom w:w="30" w:type="dxa"/>
              <w:right w:w="60" w:type="dxa"/>
            </w:tcMar>
            <w:vAlign w:val="center"/>
            <w:shd w:val="clear" w:color="auto" w:fill="D9D9D9"/>
            <w:tcBorders>
              <w:top w:val="single" w:sz="8" w:space="0" w:color="000000"/>
              <w:bottom w:val="single" w:sz="8" w:space="0" w:color="000000"/>
              <w:left w:val="none"/>
              <w:right w:val="none"/>
            </w:tcBorders>
          </w:tcPr>
          <w:p w14:paraId="5EBB3F8E" w14:textId="77777777" w:rsidR="00404735" w:rsidRDefault="00000000">
            <w:pPr>
              <w:spacing w:before="40" w:after="40" w:line="240" w:lineRule="auto"/>
              <w:jc w:val="center"/>
            </w:pPr>
            <w:r>
              <w:rPr>
                <w:rFonts w:ascii="Times New Roman" w:hAnsi="Times New Roman"/>
                <w:b/>
                <w:bCs/>
                <w:color w:val="000000"/>
                <w:sz w:val="20"/>
              </w:rPr>
              <w:t>Judul Penelitian</w:t>
            </w:r>
          </w:p>
        </w:tc>
        <w:tc>
          <w:tcPr>
            <w:tcW w:w="1717" w:type="dxa"/>
            <w:tcMar>
              <w:top w:w="30" w:type="dxa"/>
              <w:left w:w="60" w:type="dxa"/>
              <w:bottom w:w="30" w:type="dxa"/>
              <w:right w:w="60" w:type="dxa"/>
            </w:tcMar>
            <w:vAlign w:val="center"/>
            <w:shd w:val="clear" w:color="auto" w:fill="D9D9D9"/>
            <w:tcBorders>
              <w:top w:val="single" w:sz="8" w:space="0" w:color="000000"/>
              <w:bottom w:val="single" w:sz="8" w:space="0" w:color="000000"/>
              <w:left w:val="none"/>
              <w:right w:val="none"/>
            </w:tcBorders>
          </w:tcPr>
          <w:p w14:paraId="50821881" w14:textId="77777777" w:rsidR="00404735" w:rsidRDefault="00000000">
            <w:pPr>
              <w:spacing w:before="40" w:after="40" w:line="240" w:lineRule="auto"/>
              <w:jc w:val="center"/>
            </w:pPr>
            <w:r>
              <w:rPr>
                <w:rFonts w:ascii="Times New Roman" w:hAnsi="Times New Roman"/>
                <w:b/>
                <w:bCs/>
                <w:color w:val="000000"/>
                <w:sz w:val="20"/>
              </w:rPr>
              <w:t>Media Publikasi</w:t>
            </w:r>
          </w:p>
        </w:tc>
        <w:tc>
          <w:tcPr>
            <w:tcW w:w="2100" w:type="dxa"/>
            <w:tcMar>
              <w:top w:w="30" w:type="dxa"/>
              <w:left w:w="60" w:type="dxa"/>
              <w:bottom w:w="30" w:type="dxa"/>
              <w:right w:w="60" w:type="dxa"/>
            </w:tcMar>
            <w:vAlign w:val="center"/>
            <w:shd w:val="clear" w:color="auto" w:fill="D9D9D9"/>
            <w:tcBorders>
              <w:top w:val="single" w:sz="8" w:space="0" w:color="000000"/>
              <w:bottom w:val="single" w:sz="8" w:space="0" w:color="000000"/>
              <w:left w:val="none"/>
              <w:right w:val="none"/>
            </w:tcBorders>
          </w:tcPr>
          <w:p w14:paraId="29F2F89D" w14:textId="77777777" w:rsidR="00404735" w:rsidRDefault="00000000">
            <w:pPr>
              <w:spacing w:before="40" w:after="40" w:line="240" w:lineRule="auto"/>
              <w:jc w:val="center"/>
            </w:pPr>
            <w:r>
              <w:rPr>
                <w:rFonts w:ascii="Times New Roman" w:hAnsi="Times New Roman"/>
                <w:b/>
                <w:bCs/>
                <w:color w:val="000000"/>
                <w:sz w:val="20"/>
              </w:rPr>
              <w:t>Hasil Penelitian</w:t>
            </w:r>
          </w:p>
        </w:tc>
      </w:tr>
      <w:tr w:rsidR="00404735" w14:paraId="01B116CC" w14:textId="77777777">
        <w:tblPrEx>
          <w:tblCellMar>
            <w:top w:w="0" w:type="dxa"/>
            <w:bottom w:w="0" w:type="dxa"/>
          </w:tblCellMar>
        </w:tblPrEx>
        <w:trPr>
          <w:jc w:val="center"/>
          <w:cantSplit/>
        </w:trPr>
        <w:tc>
          <w:tcPr>
            <w:tcW w:w="520" w:type="dxa"/>
            <w:tcMar>
              <w:top w:w="30" w:type="dxa"/>
              <w:left w:w="60" w:type="dxa"/>
              <w:bottom w:w="30" w:type="dxa"/>
              <w:right w:w="60" w:type="dxa"/>
            </w:tcMar>
            <w:vAlign w:val="center"/>
            <w:tcBorders>
              <w:top w:val="none"/>
              <w:left w:val="none"/>
              <w:right w:val="none"/>
              <w:bottom w:val="single" w:sz="4" w:space="0" w:color="000000"/>
            </w:tcBorders>
          </w:tcPr>
          <w:p w14:paraId="31E77012" w14:textId="77777777" w:rsidR="00404735" w:rsidRDefault="00000000">
            <w:pPr>
              <w:spacing w:before="40" w:after="40" w:line="240" w:lineRule="auto"/>
              <w:jc w:val="center"/>
            </w:pPr>
            <w:r>
              <w:rPr>
                <w:rFonts w:ascii="Times New Roman" w:hAnsi="Times New Roman"/>
                <w:color w:val="000000"/>
                <w:sz w:val="20"/>
              </w:rPr>
              <w:t>1</w:t>
            </w:r>
          </w:p>
        </w:tc>
        <w:tc>
          <w:tcPr>
            <w:tcW w:w="1300" w:type="dxa"/>
            <w:tcMar>
              <w:top w:w="30" w:type="dxa"/>
              <w:left w:w="60" w:type="dxa"/>
              <w:bottom w:w="30" w:type="dxa"/>
              <w:right w:w="60" w:type="dxa"/>
            </w:tcMar>
            <w:vAlign w:val="center"/>
            <w:tcBorders>
              <w:top w:val="none"/>
              <w:left w:val="none"/>
              <w:right w:val="none"/>
              <w:bottom w:val="single" w:sz="4" w:space="0" w:color="000000"/>
            </w:tcBorders>
          </w:tcPr>
          <w:p w14:paraId="16C33D94" w14:textId="77777777" w:rsidR="00404735" w:rsidRDefault="00000000">
            <w:pPr>
              <w:spacing w:before="40" w:after="40" w:line="240" w:lineRule="auto"/>
            </w:pPr>
            <w:r>
              <w:rPr>
                <w:rFonts w:ascii="Times New Roman" w:hAnsi="Times New Roman"/>
                <w:color w:val="000000"/>
                <w:sz w:val="20"/>
              </w:rPr>
              <w:t>Arrasi (2022)</w:t>
            </w:r>
          </w:p>
        </w:tc>
        <w:tc>
          <w:tcPr>
            <w:tcW w:w="2300" w:type="dxa"/>
            <w:tcMar>
              <w:top w:w="30" w:type="dxa"/>
              <w:left w:w="60" w:type="dxa"/>
              <w:bottom w:w="30" w:type="dxa"/>
              <w:right w:w="60" w:type="dxa"/>
            </w:tcMar>
            <w:vAlign w:val="center"/>
            <w:tcBorders>
              <w:top w:val="none"/>
              <w:left w:val="none"/>
              <w:right w:val="none"/>
              <w:bottom w:val="single" w:sz="4" w:space="0" w:color="000000"/>
            </w:tcBorders>
          </w:tcPr>
          <w:p w14:paraId="5B1E24D7" w14:textId="77777777" w:rsidR="00404735" w:rsidRDefault="00000000">
            <w:pPr>
              <w:spacing w:before="40" w:after="40" w:line="240" w:lineRule="auto"/>
            </w:pPr>
            <w:r>
              <w:rPr>
                <w:rFonts w:ascii="Times New Roman" w:hAnsi="Times New Roman"/>
                <w:color w:val="000000"/>
                <w:sz w:val="20"/>
              </w:rPr>
              <w:t>Pengaruh pengetahuan, sosialisasi, dan sanksi pajak terhadap kepatuhan wajib pajak dalam membayar PBB</w:t>
            </w:r>
          </w:p>
        </w:tc>
        <w:tc>
          <w:tcPr>
            <w:tcW w:w="1717" w:type="dxa"/>
            <w:tcMar>
              <w:top w:w="30" w:type="dxa"/>
              <w:left w:w="60" w:type="dxa"/>
              <w:bottom w:w="30" w:type="dxa"/>
              <w:right w:w="60" w:type="dxa"/>
            </w:tcMar>
            <w:vAlign w:val="center"/>
            <w:tcBorders>
              <w:top w:val="none"/>
              <w:left w:val="none"/>
              <w:right w:val="none"/>
              <w:bottom w:val="single" w:sz="4" w:space="0" w:color="000000"/>
            </w:tcBorders>
          </w:tcPr>
          <w:p w14:paraId="2E783049" w14:textId="77777777" w:rsidR="00404735" w:rsidRDefault="00000000">
            <w:pPr>
              <w:spacing w:before="40" w:after="40" w:line="240" w:lineRule="auto"/>
            </w:pPr>
            <w:r>
              <w:rPr>
                <w:rFonts w:ascii="Times New Roman" w:hAnsi="Times New Roman"/>
                <w:color w:val="000000"/>
                <w:sz w:val="20"/>
              </w:rPr>
              <w:t>Jurnal Ilmiah Akuntansi Kesatuan, 10(1), 2022, hlm. 91–102</w:t>
            </w:r>
          </w:p>
        </w:tc>
        <w:tc>
          <w:tcPr>
            <w:tcW w:w="2100" w:type="dxa"/>
            <w:tcMar>
              <w:top w:w="30" w:type="dxa"/>
              <w:left w:w="60" w:type="dxa"/>
              <w:bottom w:w="30" w:type="dxa"/>
              <w:right w:w="60" w:type="dxa"/>
            </w:tcMar>
            <w:vAlign w:val="center"/>
            <w:tcBorders>
              <w:top w:val="none"/>
              <w:left w:val="none"/>
              <w:right w:val="none"/>
              <w:bottom w:val="single" w:sz="4" w:space="0" w:color="000000"/>
            </w:tcBorders>
          </w:tcPr>
          <w:p w14:paraId="53E134BD" w14:textId="77777777" w:rsidR="00404735" w:rsidRDefault="00000000">
            <w:pPr>
              <w:spacing w:before="40" w:after="40" w:line="240" w:lineRule="auto"/>
            </w:pPr>
            <w:r>
              <w:rPr>
                <w:rFonts w:ascii="Times New Roman" w:hAnsi="Times New Roman"/>
                <w:color w:val="000000"/>
                <w:sz w:val="20"/>
              </w:rPr>
              <w:t>Sosialisasi perpajakan dan sanksi pajak berpengaruh positif dan signifikan terhadap kepatuhan wajib pajak PBB.</w:t>
            </w:r>
          </w:p>
        </w:tc>
      </w:tr>
      <w:tr w:rsidR="00404735" w14:paraId="2076E71B" w14:textId="77777777">
        <w:tblPrEx>
          <w:tblCellMar>
            <w:top w:w="0" w:type="dxa"/>
            <w:bottom w:w="0" w:type="dxa"/>
          </w:tblCellMar>
        </w:tblPrEx>
        <w:trPr>
          <w:jc w:val="center"/>
          <w:cantSplit/>
        </w:trPr>
        <w:tc>
          <w:tcPr>
            <w:tcW w:w="520" w:type="dxa"/>
            <w:tcMar>
              <w:top w:w="30" w:type="dxa"/>
              <w:left w:w="60" w:type="dxa"/>
              <w:bottom w:w="30" w:type="dxa"/>
              <w:right w:w="60" w:type="dxa"/>
            </w:tcMar>
            <w:vAlign w:val="center"/>
            <w:tcBorders>
              <w:top w:val="none"/>
              <w:left w:val="none"/>
              <w:right w:val="none"/>
              <w:bottom w:val="single" w:sz="4" w:space="0" w:color="000000"/>
            </w:tcBorders>
          </w:tcPr>
          <w:p w14:paraId="01C44550" w14:textId="77777777" w:rsidR="00404735" w:rsidRDefault="00000000">
            <w:pPr>
              <w:spacing w:before="40" w:after="40" w:line="240" w:lineRule="auto"/>
              <w:jc w:val="center"/>
            </w:pPr>
            <w:r>
              <w:rPr>
                <w:rFonts w:ascii="Times New Roman" w:hAnsi="Times New Roman"/>
                <w:color w:val="000000"/>
                <w:sz w:val="20"/>
              </w:rPr>
              <w:t>2</w:t>
            </w:r>
          </w:p>
        </w:tc>
        <w:tc>
          <w:tcPr>
            <w:tcW w:w="1300" w:type="dxa"/>
            <w:tcMar>
              <w:top w:w="30" w:type="dxa"/>
              <w:left w:w="60" w:type="dxa"/>
              <w:bottom w:w="30" w:type="dxa"/>
              <w:right w:w="60" w:type="dxa"/>
            </w:tcMar>
            <w:vAlign w:val="center"/>
            <w:tcBorders>
              <w:top w:val="none"/>
              <w:left w:val="none"/>
              <w:right w:val="none"/>
              <w:bottom w:val="single" w:sz="4" w:space="0" w:color="000000"/>
            </w:tcBorders>
          </w:tcPr>
          <w:p w14:paraId="61A3C031" w14:textId="77777777" w:rsidR="00404735" w:rsidRDefault="00000000">
            <w:pPr>
              <w:spacing w:before="40" w:after="40" w:line="240" w:lineRule="auto"/>
            </w:pPr>
            <w:r>
              <w:rPr>
                <w:rFonts w:ascii="Times New Roman" w:hAnsi="Times New Roman"/>
                <w:color w:val="000000"/>
                <w:sz w:val="20"/>
              </w:rPr>
              <w:t>Zagoto &amp; Zalogo (2023)</w:t>
            </w:r>
          </w:p>
        </w:tc>
        <w:tc>
          <w:tcPr>
            <w:tcW w:w="2300" w:type="dxa"/>
            <w:tcMar>
              <w:top w:w="30" w:type="dxa"/>
              <w:left w:w="60" w:type="dxa"/>
              <w:bottom w:w="30" w:type="dxa"/>
              <w:right w:w="60" w:type="dxa"/>
            </w:tcMar>
            <w:vAlign w:val="center"/>
            <w:tcBorders>
              <w:top w:val="none"/>
              <w:left w:val="none"/>
              <w:right w:val="none"/>
              <w:bottom w:val="single" w:sz="4" w:space="0" w:color="000000"/>
            </w:tcBorders>
          </w:tcPr>
          <w:p w14:paraId="6210F621" w14:textId="77777777" w:rsidR="00404735" w:rsidRDefault="00000000">
            <w:pPr>
              <w:spacing w:before="40" w:after="40" w:line="240" w:lineRule="auto"/>
            </w:pPr>
            <w:r>
              <w:rPr>
                <w:rFonts w:ascii="Times New Roman" w:hAnsi="Times New Roman"/>
                <w:color w:val="000000"/>
                <w:sz w:val="20"/>
              </w:rPr>
              <w:t>Pengaruh sosialisasi pajak dan layanan instansi terhadap kepatuhan wajib pajak PBB-P2</w:t>
            </w:r>
          </w:p>
        </w:tc>
        <w:tc>
          <w:tcPr>
            <w:tcW w:w="1717" w:type="dxa"/>
            <w:tcMar>
              <w:top w:w="30" w:type="dxa"/>
              <w:left w:w="60" w:type="dxa"/>
              <w:bottom w:w="30" w:type="dxa"/>
              <w:right w:w="60" w:type="dxa"/>
            </w:tcMar>
            <w:vAlign w:val="center"/>
            <w:tcBorders>
              <w:top w:val="none"/>
              <w:left w:val="none"/>
              <w:right w:val="none"/>
              <w:bottom w:val="single" w:sz="4" w:space="0" w:color="000000"/>
            </w:tcBorders>
          </w:tcPr>
          <w:p w14:paraId="3FBF3C7C" w14:textId="77777777" w:rsidR="00404735" w:rsidRDefault="00000000">
            <w:pPr>
              <w:spacing w:before="40" w:after="40" w:line="240" w:lineRule="auto"/>
            </w:pPr>
            <w:r>
              <w:rPr>
                <w:rFonts w:ascii="Times New Roman" w:hAnsi="Times New Roman"/>
                <w:color w:val="000000"/>
                <w:sz w:val="20"/>
              </w:rPr>
              <w:t>Jurnal Ilmiah Bisnis dan Perpajakan (Bijak), 5(1), 2023, hlm. 83–89</w:t>
            </w:r>
          </w:p>
        </w:tc>
        <w:tc>
          <w:tcPr>
            <w:tcW w:w="2100" w:type="dxa"/>
            <w:tcMar>
              <w:top w:w="30" w:type="dxa"/>
              <w:left w:w="60" w:type="dxa"/>
              <w:bottom w:w="30" w:type="dxa"/>
              <w:right w:w="60" w:type="dxa"/>
            </w:tcMar>
            <w:vAlign w:val="center"/>
            <w:tcBorders>
              <w:top w:val="none"/>
              <w:left w:val="none"/>
              <w:right w:val="none"/>
              <w:bottom w:val="single" w:sz="4" w:space="0" w:color="000000"/>
            </w:tcBorders>
          </w:tcPr>
          <w:p w14:paraId="26803B7D" w14:textId="77777777" w:rsidR="00404735" w:rsidRDefault="00000000">
            <w:pPr>
              <w:spacing w:before="40" w:after="40" w:line="240" w:lineRule="auto"/>
            </w:pPr>
            <w:r>
              <w:rPr>
                <w:rFonts w:ascii="Times New Roman" w:hAnsi="Times New Roman"/>
                <w:color w:val="000000"/>
                <w:sz w:val="20"/>
              </w:rPr>
              <w:t>Sosialisasi pajak berpengaruh positif dan signifikan terhadap kepatuhan wajib pajak PBB-P2.</w:t>
            </w:r>
          </w:p>
        </w:tc>
      </w:tr>
      <w:tr w:rsidR="00404735" w14:paraId="39A43627" w14:textId="77777777">
        <w:tblPrEx>
          <w:tblCellMar>
            <w:top w:w="0" w:type="dxa"/>
            <w:bottom w:w="0" w:type="dxa"/>
          </w:tblCellMar>
        </w:tblPrEx>
        <w:trPr>
          <w:jc w:val="center"/>
          <w:cantSplit/>
        </w:trPr>
        <w:tc>
          <w:tcPr>
            <w:tcW w:w="520" w:type="dxa"/>
            <w:tcMar>
              <w:top w:w="30" w:type="dxa"/>
              <w:left w:w="60" w:type="dxa"/>
              <w:bottom w:w="30" w:type="dxa"/>
              <w:right w:w="60" w:type="dxa"/>
            </w:tcMar>
            <w:vAlign w:val="center"/>
            <w:tcBorders>
              <w:top w:val="none"/>
              <w:left w:val="none"/>
              <w:right w:val="none"/>
              <w:bottom w:val="single" w:sz="4" w:space="0" w:color="000000"/>
            </w:tcBorders>
          </w:tcPr>
          <w:p w14:paraId="0C8CAF3C" w14:textId="77777777" w:rsidR="00404735" w:rsidRDefault="00000000">
            <w:pPr>
              <w:spacing w:before="40" w:after="40" w:line="240" w:lineRule="auto"/>
              <w:jc w:val="center"/>
            </w:pPr>
            <w:r>
              <w:rPr>
                <w:rFonts w:ascii="Times New Roman" w:hAnsi="Times New Roman"/>
                <w:color w:val="000000"/>
                <w:sz w:val="20"/>
              </w:rPr>
              <w:t>3</w:t>
            </w:r>
          </w:p>
        </w:tc>
        <w:tc>
          <w:tcPr>
            <w:tcW w:w="1300" w:type="dxa"/>
            <w:tcMar>
              <w:top w:w="30" w:type="dxa"/>
              <w:left w:w="60" w:type="dxa"/>
              <w:bottom w:w="30" w:type="dxa"/>
              <w:right w:w="60" w:type="dxa"/>
            </w:tcMar>
            <w:vAlign w:val="center"/>
            <w:tcBorders>
              <w:top w:val="none"/>
              <w:left w:val="none"/>
              <w:right w:val="none"/>
              <w:bottom w:val="single" w:sz="4" w:space="0" w:color="000000"/>
            </w:tcBorders>
          </w:tcPr>
          <w:p w14:paraId="0C2B3BA9" w14:textId="77777777" w:rsidR="00404735" w:rsidRDefault="00000000">
            <w:pPr>
              <w:spacing w:before="40" w:after="40" w:line="240" w:lineRule="auto"/>
            </w:pPr>
            <w:r>
              <w:rPr>
                <w:rFonts w:ascii="Times New Roman" w:hAnsi="Times New Roman"/>
                <w:color w:val="000000"/>
                <w:sz w:val="20"/>
              </w:rPr>
              <w:t>Hasna &amp; Halimatusadiah (2022)</w:t>
            </w:r>
          </w:p>
        </w:tc>
        <w:tc>
          <w:tcPr>
            <w:tcW w:w="2300" w:type="dxa"/>
            <w:tcMar>
              <w:top w:w="30" w:type="dxa"/>
              <w:left w:w="60" w:type="dxa"/>
              <w:bottom w:w="30" w:type="dxa"/>
              <w:right w:w="60" w:type="dxa"/>
            </w:tcMar>
            <w:vAlign w:val="center"/>
            <w:tcBorders>
              <w:top w:val="none"/>
              <w:left w:val="none"/>
              <w:right w:val="none"/>
              <w:bottom w:val="single" w:sz="4" w:space="0" w:color="000000"/>
            </w:tcBorders>
          </w:tcPr>
          <w:p w14:paraId="719C71F9" w14:textId="77777777" w:rsidR="00404735" w:rsidRDefault="00000000">
            <w:pPr>
              <w:spacing w:before="40" w:after="40" w:line="240" w:lineRule="auto"/>
            </w:pPr>
            <w:r>
              <w:rPr>
                <w:rFonts w:ascii="Times New Roman" w:hAnsi="Times New Roman"/>
                <w:color w:val="000000"/>
                <w:sz w:val="20"/>
              </w:rPr>
              <w:t>Pengaruh sosialisasi perpajakan dan tingkat pendapatan terhadap kepatuhan membayar PBB</w:t>
            </w:r>
          </w:p>
        </w:tc>
        <w:tc>
          <w:tcPr>
            <w:tcW w:w="1717" w:type="dxa"/>
            <w:tcMar>
              <w:top w:w="30" w:type="dxa"/>
              <w:left w:w="60" w:type="dxa"/>
              <w:bottom w:w="30" w:type="dxa"/>
              <w:right w:w="60" w:type="dxa"/>
            </w:tcMar>
            <w:vAlign w:val="center"/>
            <w:tcBorders>
              <w:top w:val="none"/>
              <w:left w:val="none"/>
              <w:right w:val="none"/>
              <w:bottom w:val="single" w:sz="4" w:space="0" w:color="000000"/>
            </w:tcBorders>
          </w:tcPr>
          <w:p w14:paraId="19CD4469" w14:textId="77777777" w:rsidR="00404735" w:rsidRDefault="00000000">
            <w:pPr>
              <w:spacing w:before="40" w:after="40" w:line="240" w:lineRule="auto"/>
            </w:pPr>
            <w:r>
              <w:rPr>
                <w:rFonts w:ascii="Times New Roman" w:hAnsi="Times New Roman"/>
                <w:color w:val="000000"/>
                <w:sz w:val="20"/>
              </w:rPr>
              <w:t>Bandung Conference Series: Accountancy, 2(1), 2022, hlm. 328–334</w:t>
            </w:r>
          </w:p>
        </w:tc>
        <w:tc>
          <w:tcPr>
            <w:tcW w:w="2100" w:type="dxa"/>
            <w:tcMar>
              <w:top w:w="30" w:type="dxa"/>
              <w:left w:w="60" w:type="dxa"/>
              <w:bottom w:w="30" w:type="dxa"/>
              <w:right w:w="60" w:type="dxa"/>
            </w:tcMar>
            <w:vAlign w:val="center"/>
            <w:tcBorders>
              <w:top w:val="none"/>
              <w:left w:val="none"/>
              <w:right w:val="none"/>
              <w:bottom w:val="single" w:sz="4" w:space="0" w:color="000000"/>
            </w:tcBorders>
          </w:tcPr>
          <w:p w14:paraId="72C639CC" w14:textId="77777777" w:rsidR="00404735" w:rsidRDefault="00000000">
            <w:pPr>
              <w:spacing w:before="40" w:after="40" w:line="240" w:lineRule="auto"/>
            </w:pPr>
            <w:r>
              <w:rPr>
                <w:rFonts w:ascii="Times New Roman" w:hAnsi="Times New Roman"/>
                <w:color w:val="000000"/>
                <w:sz w:val="20"/>
              </w:rPr>
              <w:t>Sosialisasi perpajakan tidak berpengaruh signifikan, sedangkan tingkat pendapatan berpengaruh terhadap kepatuhan.</w:t>
            </w:r>
          </w:p>
        </w:tc>
      </w:tr>
      <w:tr w:rsidR="00404735" w14:paraId="135C2927" w14:textId="77777777">
        <w:tblPrEx>
          <w:tblCellMar>
            <w:top w:w="0" w:type="dxa"/>
            <w:bottom w:w="0" w:type="dxa"/>
          </w:tblCellMar>
        </w:tblPrEx>
        <w:trPr>
          <w:jc w:val="center"/>
          <w:cantSplit/>
        </w:trPr>
        <w:tc>
          <w:tcPr>
            <w:tcW w:w="520" w:type="dxa"/>
            <w:tcMar>
              <w:top w:w="30" w:type="dxa"/>
              <w:left w:w="60" w:type="dxa"/>
              <w:bottom w:w="30" w:type="dxa"/>
              <w:right w:w="60" w:type="dxa"/>
            </w:tcMar>
            <w:vAlign w:val="center"/>
            <w:tcBorders>
              <w:top w:val="none"/>
              <w:left w:val="none"/>
              <w:right w:val="none"/>
              <w:bottom w:val="single" w:sz="4" w:space="0" w:color="000000"/>
            </w:tcBorders>
          </w:tcPr>
          <w:p w14:paraId="6BBE577F" w14:textId="77777777" w:rsidR="00404735" w:rsidRDefault="00000000">
            <w:pPr>
              <w:spacing w:before="40" w:after="40" w:line="240" w:lineRule="auto"/>
              <w:jc w:val="center"/>
            </w:pPr>
            <w:r>
              <w:rPr>
                <w:rFonts w:ascii="Times New Roman" w:hAnsi="Times New Roman"/>
                <w:color w:val="000000"/>
                <w:sz w:val="20"/>
              </w:rPr>
              <w:t>4</w:t>
            </w:r>
          </w:p>
        </w:tc>
        <w:tc>
          <w:tcPr>
            <w:tcW w:w="1300" w:type="dxa"/>
            <w:tcMar>
              <w:top w:w="30" w:type="dxa"/>
              <w:left w:w="60" w:type="dxa"/>
              <w:bottom w:w="30" w:type="dxa"/>
              <w:right w:w="60" w:type="dxa"/>
            </w:tcMar>
            <w:vAlign w:val="center"/>
            <w:tcBorders>
              <w:top w:val="none"/>
              <w:left w:val="none"/>
              <w:right w:val="none"/>
              <w:bottom w:val="single" w:sz="4" w:space="0" w:color="000000"/>
            </w:tcBorders>
          </w:tcPr>
          <w:p w14:paraId="002FA178" w14:textId="77777777" w:rsidR="00404735" w:rsidRDefault="00000000">
            <w:pPr>
              <w:spacing w:before="40" w:after="40" w:line="240" w:lineRule="auto"/>
            </w:pPr>
            <w:r>
              <w:rPr>
                <w:rFonts w:ascii="Times New Roman" w:hAnsi="Times New Roman"/>
                <w:color w:val="000000"/>
                <w:sz w:val="20"/>
              </w:rPr>
              <w:t>Yuniar &amp; Saputra (2022)</w:t>
            </w:r>
          </w:p>
        </w:tc>
        <w:tc>
          <w:tcPr>
            <w:tcW w:w="2300" w:type="dxa"/>
            <w:tcMar>
              <w:top w:w="30" w:type="dxa"/>
              <w:left w:w="60" w:type="dxa"/>
              <w:bottom w:w="30" w:type="dxa"/>
              <w:right w:w="60" w:type="dxa"/>
            </w:tcMar>
            <w:vAlign w:val="center"/>
            <w:tcBorders>
              <w:top w:val="none"/>
              <w:left w:val="none"/>
              <w:right w:val="none"/>
              <w:bottom w:val="single" w:sz="4" w:space="0" w:color="000000"/>
            </w:tcBorders>
          </w:tcPr>
          <w:p w14:paraId="3E5235A9" w14:textId="77777777" w:rsidR="00404735" w:rsidRDefault="00000000">
            <w:pPr>
              <w:spacing w:before="40" w:after="40" w:line="240" w:lineRule="auto"/>
            </w:pPr>
            <w:r>
              <w:rPr>
                <w:rFonts w:ascii="Times New Roman" w:hAnsi="Times New Roman"/>
                <w:color w:val="000000"/>
                <w:sz w:val="20"/>
              </w:rPr>
              <w:t xml:space="preserve">Pengaruh pengetahuan, pelayanan, dan sanksi pajak terhadap kepatuhan </w:t>
            </w:r>
            <w:r>
              <w:rPr>
                <w:rFonts w:ascii="Times New Roman" w:hAnsi="Times New Roman"/>
                <w:color w:val="000000"/>
                <w:sz w:val="20"/>
              </w:rPr>
              <w:lastRenderedPageBreak/>
              <w:t>wajib pajak PBB di Kecamatan Cakung</w:t>
            </w:r>
          </w:p>
        </w:tc>
        <w:tc>
          <w:tcPr>
            <w:tcW w:w="1717" w:type="dxa"/>
            <w:tcMar>
              <w:top w:w="30" w:type="dxa"/>
              <w:left w:w="60" w:type="dxa"/>
              <w:bottom w:w="30" w:type="dxa"/>
              <w:right w:w="60" w:type="dxa"/>
            </w:tcMar>
            <w:vAlign w:val="center"/>
            <w:tcBorders>
              <w:top w:val="none"/>
              <w:left w:val="none"/>
              <w:right w:val="none"/>
              <w:bottom w:val="single" w:sz="4" w:space="0" w:color="000000"/>
            </w:tcBorders>
          </w:tcPr>
          <w:p w14:paraId="72E16FA8" w14:textId="77777777" w:rsidR="00404735" w:rsidRDefault="00000000">
            <w:pPr>
              <w:spacing w:before="40" w:after="40" w:line="240" w:lineRule="auto"/>
            </w:pPr>
            <w:r>
              <w:rPr>
                <w:rFonts w:ascii="Times New Roman" w:hAnsi="Times New Roman"/>
                <w:color w:val="000000"/>
                <w:sz w:val="20"/>
              </w:rPr>
              <w:lastRenderedPageBreak/>
              <w:t xml:space="preserve">Fair Value: Jurnal Ilmiah Akuntansi dan Keuangan, 5(4), 2022, </w:t>
            </w:r>
            <w:r>
              <w:rPr>
                <w:rFonts w:ascii="Times New Roman" w:hAnsi="Times New Roman"/>
                <w:color w:val="000000"/>
                <w:sz w:val="20"/>
              </w:rPr>
              <w:lastRenderedPageBreak/>
              <w:t>hlm. 1738–1745</w:t>
            </w:r>
          </w:p>
        </w:tc>
        <w:tc>
          <w:tcPr>
            <w:tcW w:w="2100" w:type="dxa"/>
            <w:tcMar>
              <w:top w:w="30" w:type="dxa"/>
              <w:left w:w="60" w:type="dxa"/>
              <w:bottom w:w="30" w:type="dxa"/>
              <w:right w:w="60" w:type="dxa"/>
            </w:tcMar>
            <w:vAlign w:val="center"/>
            <w:tcBorders>
              <w:top w:val="none"/>
              <w:left w:val="none"/>
              <w:right w:val="none"/>
              <w:bottom w:val="single" w:sz="4" w:space="0" w:color="000000"/>
            </w:tcBorders>
          </w:tcPr>
          <w:p w14:paraId="4D857166" w14:textId="77777777" w:rsidR="00404735" w:rsidRDefault="00000000">
            <w:pPr>
              <w:spacing w:before="40" w:after="40" w:line="240" w:lineRule="auto"/>
            </w:pPr>
            <w:r>
              <w:rPr>
                <w:rFonts w:ascii="Times New Roman" w:hAnsi="Times New Roman"/>
                <w:color w:val="000000"/>
                <w:sz w:val="20"/>
              </w:rPr>
              <w:lastRenderedPageBreak/>
              <w:t>Sanksi pajak berpengaruh positif dan signifikan terhadap kepatuhan wajib pajak PBB.</w:t>
            </w:r>
          </w:p>
        </w:tc>
      </w:tr>
      <w:tr w:rsidR="00404735" w14:paraId="0F6B37B6" w14:textId="77777777">
        <w:tblPrEx>
          <w:tblCellMar>
            <w:top w:w="0" w:type="dxa"/>
            <w:bottom w:w="0" w:type="dxa"/>
          </w:tblCellMar>
        </w:tblPrEx>
        <w:trPr>
          <w:jc w:val="center"/>
          <w:cantSplit/>
        </w:trPr>
        <w:tc>
          <w:tcPr>
            <w:tcW w:w="520" w:type="dxa"/>
            <w:tcMar>
              <w:top w:w="30" w:type="dxa"/>
              <w:left w:w="60" w:type="dxa"/>
              <w:bottom w:w="30" w:type="dxa"/>
              <w:right w:w="60" w:type="dxa"/>
            </w:tcMar>
            <w:vAlign w:val="center"/>
            <w:tcBorders>
              <w:top w:val="none"/>
              <w:left w:val="none"/>
              <w:right w:val="none"/>
              <w:bottom w:val="single" w:sz="4" w:space="0" w:color="000000"/>
            </w:tcBorders>
          </w:tcPr>
          <w:p w14:paraId="51A38180" w14:textId="77777777" w:rsidR="00404735" w:rsidRDefault="00000000">
            <w:pPr>
              <w:spacing w:before="40" w:after="40" w:line="240" w:lineRule="auto"/>
              <w:jc w:val="center"/>
            </w:pPr>
            <w:r>
              <w:rPr>
                <w:rFonts w:ascii="Times New Roman" w:hAnsi="Times New Roman"/>
                <w:color w:val="000000"/>
                <w:sz w:val="20"/>
              </w:rPr>
              <w:t>5</w:t>
            </w:r>
          </w:p>
        </w:tc>
        <w:tc>
          <w:tcPr>
            <w:tcW w:w="1300" w:type="dxa"/>
            <w:tcMar>
              <w:top w:w="30" w:type="dxa"/>
              <w:left w:w="60" w:type="dxa"/>
              <w:bottom w:w="30" w:type="dxa"/>
              <w:right w:w="60" w:type="dxa"/>
            </w:tcMar>
            <w:vAlign w:val="center"/>
            <w:tcBorders>
              <w:top w:val="none"/>
              <w:left w:val="none"/>
              <w:right w:val="none"/>
              <w:bottom w:val="single" w:sz="4" w:space="0" w:color="000000"/>
            </w:tcBorders>
          </w:tcPr>
          <w:p w14:paraId="08ABFE85" w14:textId="77777777" w:rsidR="00404735" w:rsidRDefault="00000000">
            <w:pPr>
              <w:spacing w:before="40" w:after="40" w:line="240" w:lineRule="auto"/>
            </w:pPr>
            <w:r>
              <w:rPr>
                <w:rFonts w:ascii="Times New Roman" w:hAnsi="Times New Roman"/>
                <w:color w:val="000000"/>
                <w:sz w:val="20"/>
              </w:rPr>
              <w:t>Patriandari &amp; Amalia (2022)</w:t>
            </w:r>
          </w:p>
        </w:tc>
        <w:tc>
          <w:tcPr>
            <w:tcW w:w="2300" w:type="dxa"/>
            <w:tcMar>
              <w:top w:w="30" w:type="dxa"/>
              <w:left w:w="60" w:type="dxa"/>
              <w:bottom w:w="30" w:type="dxa"/>
              <w:right w:w="60" w:type="dxa"/>
            </w:tcMar>
            <w:vAlign w:val="center"/>
            <w:tcBorders>
              <w:top w:val="none"/>
              <w:left w:val="none"/>
              <w:right w:val="none"/>
              <w:bottom w:val="single" w:sz="4" w:space="0" w:color="000000"/>
            </w:tcBorders>
          </w:tcPr>
          <w:p w14:paraId="494FE0D3" w14:textId="77777777" w:rsidR="00404735" w:rsidRDefault="00000000">
            <w:pPr>
              <w:spacing w:before="40" w:after="40" w:line="240" w:lineRule="auto"/>
            </w:pPr>
            <w:r>
              <w:rPr>
                <w:rFonts w:ascii="Times New Roman" w:hAnsi="Times New Roman"/>
                <w:color w:val="000000"/>
                <w:sz w:val="20"/>
              </w:rPr>
              <w:t>Pengaruh pengetahuan, kesadaran, dan sanksi perpajakan terhadap kepatuhan PBB-P2 pada Bapenda Jakarta Timur</w:t>
            </w:r>
          </w:p>
        </w:tc>
        <w:tc>
          <w:tcPr>
            <w:tcW w:w="1717" w:type="dxa"/>
            <w:tcMar>
              <w:top w:w="30" w:type="dxa"/>
              <w:left w:w="60" w:type="dxa"/>
              <w:bottom w:w="30" w:type="dxa"/>
              <w:right w:w="60" w:type="dxa"/>
            </w:tcMar>
            <w:vAlign w:val="center"/>
            <w:tcBorders>
              <w:top w:val="none"/>
              <w:left w:val="none"/>
              <w:right w:val="none"/>
              <w:bottom w:val="single" w:sz="4" w:space="0" w:color="000000"/>
            </w:tcBorders>
          </w:tcPr>
          <w:p w14:paraId="1870D473" w14:textId="77777777" w:rsidR="00404735" w:rsidRDefault="00000000">
            <w:pPr>
              <w:spacing w:before="40" w:after="40" w:line="240" w:lineRule="auto"/>
            </w:pPr>
            <w:r>
              <w:rPr>
                <w:rFonts w:ascii="Times New Roman" w:hAnsi="Times New Roman"/>
                <w:color w:val="000000"/>
                <w:sz w:val="20"/>
              </w:rPr>
              <w:t>AKRUAL: Jurnal Akuntansi dan Keuangan, 4(1), 2022, hlm. 48–56</w:t>
            </w:r>
          </w:p>
        </w:tc>
        <w:tc>
          <w:tcPr>
            <w:tcW w:w="2100" w:type="dxa"/>
            <w:tcMar>
              <w:top w:w="30" w:type="dxa"/>
              <w:left w:w="60" w:type="dxa"/>
              <w:bottom w:w="30" w:type="dxa"/>
              <w:right w:w="60" w:type="dxa"/>
            </w:tcMar>
            <w:vAlign w:val="center"/>
            <w:tcBorders>
              <w:top w:val="none"/>
              <w:left w:val="none"/>
              <w:right w:val="none"/>
              <w:bottom w:val="single" w:sz="4" w:space="0" w:color="000000"/>
            </w:tcBorders>
          </w:tcPr>
          <w:p w14:paraId="3B92F26E" w14:textId="77777777" w:rsidR="00404735" w:rsidRDefault="00000000">
            <w:pPr>
              <w:spacing w:before="40" w:after="40" w:line="240" w:lineRule="auto"/>
            </w:pPr>
            <w:r>
              <w:rPr>
                <w:rFonts w:ascii="Times New Roman" w:hAnsi="Times New Roman"/>
                <w:color w:val="000000"/>
                <w:sz w:val="20"/>
              </w:rPr>
              <w:t>Sanksi perpajakan berpengaruh signifikan terhadap kepatuhan wajib pajak PBB-P2.</w:t>
            </w:r>
          </w:p>
        </w:tc>
      </w:tr>
      <w:tr w:rsidR="00404735" w14:paraId="65E2C295" w14:textId="77777777">
        <w:tblPrEx>
          <w:tblCellMar>
            <w:top w:w="0" w:type="dxa"/>
            <w:bottom w:w="0" w:type="dxa"/>
          </w:tblCellMar>
        </w:tblPrEx>
        <w:trPr>
          <w:jc w:val="center"/>
          <w:cantSplit/>
        </w:trPr>
        <w:tc>
          <w:tcPr>
            <w:tcW w:w="520" w:type="dxa"/>
            <w:tcMar>
              <w:top w:w="30" w:type="dxa"/>
              <w:left w:w="60" w:type="dxa"/>
              <w:bottom w:w="30" w:type="dxa"/>
              <w:right w:w="60" w:type="dxa"/>
            </w:tcMar>
            <w:vAlign w:val="center"/>
            <w:tcBorders>
              <w:top w:val="none"/>
              <w:left w:val="none"/>
              <w:right w:val="none"/>
              <w:bottom w:val="single" w:sz="4" w:space="0" w:color="000000"/>
            </w:tcBorders>
          </w:tcPr>
          <w:p w14:paraId="1F44FB1D" w14:textId="77777777" w:rsidR="00404735" w:rsidRDefault="00000000">
            <w:pPr>
              <w:spacing w:before="40" w:after="40" w:line="240" w:lineRule="auto"/>
              <w:jc w:val="center"/>
            </w:pPr>
            <w:r>
              <w:rPr>
                <w:rFonts w:ascii="Times New Roman" w:hAnsi="Times New Roman"/>
                <w:color w:val="000000"/>
                <w:sz w:val="20"/>
              </w:rPr>
              <w:t>6</w:t>
            </w:r>
          </w:p>
        </w:tc>
        <w:tc>
          <w:tcPr>
            <w:tcW w:w="1300" w:type="dxa"/>
            <w:tcMar>
              <w:top w:w="30" w:type="dxa"/>
              <w:left w:w="60" w:type="dxa"/>
              <w:bottom w:w="30" w:type="dxa"/>
              <w:right w:w="60" w:type="dxa"/>
            </w:tcMar>
            <w:vAlign w:val="center"/>
            <w:tcBorders>
              <w:top w:val="none"/>
              <w:left w:val="none"/>
              <w:right w:val="none"/>
              <w:bottom w:val="single" w:sz="4" w:space="0" w:color="000000"/>
            </w:tcBorders>
          </w:tcPr>
          <w:p w14:paraId="346251A4" w14:textId="77777777" w:rsidR="00404735" w:rsidRDefault="00000000">
            <w:pPr>
              <w:spacing w:before="40" w:after="40" w:line="240" w:lineRule="auto"/>
            </w:pPr>
            <w:r>
              <w:rPr>
                <w:rFonts w:ascii="Times New Roman" w:hAnsi="Times New Roman"/>
                <w:color w:val="000000"/>
                <w:sz w:val="20"/>
              </w:rPr>
              <w:t>Wulandari &amp; Wahyudi (2022)</w:t>
            </w:r>
          </w:p>
        </w:tc>
        <w:tc>
          <w:tcPr>
            <w:tcW w:w="2300" w:type="dxa"/>
            <w:tcMar>
              <w:top w:w="30" w:type="dxa"/>
              <w:left w:w="60" w:type="dxa"/>
              <w:bottom w:w="30" w:type="dxa"/>
              <w:right w:w="60" w:type="dxa"/>
            </w:tcMar>
            <w:vAlign w:val="center"/>
            <w:tcBorders>
              <w:top w:val="none"/>
              <w:left w:val="none"/>
              <w:right w:val="none"/>
              <w:bottom w:val="single" w:sz="4" w:space="0" w:color="000000"/>
            </w:tcBorders>
          </w:tcPr>
          <w:p w14:paraId="3AE2CCB5" w14:textId="77777777" w:rsidR="00404735" w:rsidRDefault="00000000">
            <w:pPr>
              <w:spacing w:before="40" w:after="40" w:line="240" w:lineRule="auto"/>
            </w:pPr>
            <w:r>
              <w:rPr>
                <w:rFonts w:ascii="Times New Roman" w:hAnsi="Times New Roman"/>
                <w:color w:val="000000"/>
                <w:sz w:val="20"/>
              </w:rPr>
              <w:t>Pengaruh pengetahuan, sanksi, kesadaran, dan kualitas pelayanan terhadap kepatuhan PBB di Desa Mranggen</w:t>
            </w:r>
          </w:p>
        </w:tc>
        <w:tc>
          <w:tcPr>
            <w:tcW w:w="1717" w:type="dxa"/>
            <w:tcMar>
              <w:top w:w="30" w:type="dxa"/>
              <w:left w:w="60" w:type="dxa"/>
              <w:bottom w:w="30" w:type="dxa"/>
              <w:right w:w="60" w:type="dxa"/>
            </w:tcMar>
            <w:vAlign w:val="center"/>
            <w:tcBorders>
              <w:top w:val="none"/>
              <w:left w:val="none"/>
              <w:right w:val="none"/>
              <w:bottom w:val="single" w:sz="4" w:space="0" w:color="000000"/>
            </w:tcBorders>
          </w:tcPr>
          <w:p w14:paraId="29D40436" w14:textId="77777777" w:rsidR="00404735" w:rsidRDefault="00000000">
            <w:pPr>
              <w:spacing w:before="40" w:after="40" w:line="240" w:lineRule="auto"/>
            </w:pPr>
            <w:r>
              <w:rPr>
                <w:rFonts w:ascii="Times New Roman" w:hAnsi="Times New Roman"/>
                <w:color w:val="000000"/>
                <w:sz w:val="20"/>
              </w:rPr>
              <w:t>Jurnal Pendidikan Tambusai, 6(2), 2022, hlm. 14853–14870</w:t>
            </w:r>
          </w:p>
        </w:tc>
        <w:tc>
          <w:tcPr>
            <w:tcW w:w="2100" w:type="dxa"/>
            <w:tcMar>
              <w:top w:w="30" w:type="dxa"/>
              <w:left w:w="60" w:type="dxa"/>
              <w:bottom w:w="30" w:type="dxa"/>
              <w:right w:w="60" w:type="dxa"/>
            </w:tcMar>
            <w:vAlign w:val="center"/>
            <w:tcBorders>
              <w:top w:val="none"/>
              <w:left w:val="none"/>
              <w:right w:val="none"/>
              <w:bottom w:val="single" w:sz="4" w:space="0" w:color="000000"/>
            </w:tcBorders>
          </w:tcPr>
          <w:p w14:paraId="45B257E5" w14:textId="77777777" w:rsidR="00404735" w:rsidRDefault="00000000">
            <w:pPr>
              <w:spacing w:before="40" w:after="40" w:line="240" w:lineRule="auto"/>
            </w:pPr>
            <w:r>
              <w:rPr>
                <w:rFonts w:ascii="Times New Roman" w:hAnsi="Times New Roman"/>
                <w:color w:val="000000"/>
                <w:sz w:val="20"/>
              </w:rPr>
              <w:t>Sanksi pajak tidak berpengaruh signifikan terhadap kepatuhan wajib pajak PBB.</w:t>
            </w:r>
          </w:p>
        </w:tc>
      </w:tr>
      <w:tr w:rsidR="00404735" w14:paraId="044F37CC" w14:textId="77777777">
        <w:tblPrEx>
          <w:tblCellMar>
            <w:top w:w="0" w:type="dxa"/>
            <w:bottom w:w="0" w:type="dxa"/>
          </w:tblCellMar>
        </w:tblPrEx>
        <w:trPr>
          <w:jc w:val="center"/>
          <w:cantSplit/>
        </w:trPr>
        <w:tc>
          <w:tcPr>
            <w:tcW w:w="520" w:type="dxa"/>
            <w:tcMar>
              <w:top w:w="30" w:type="dxa"/>
              <w:left w:w="60" w:type="dxa"/>
              <w:bottom w:w="30" w:type="dxa"/>
              <w:right w:w="60" w:type="dxa"/>
            </w:tcMar>
            <w:vAlign w:val="center"/>
            <w:tcBorders>
              <w:top w:val="none"/>
              <w:left w:val="none"/>
              <w:right w:val="none"/>
              <w:bottom w:val="single" w:sz="4" w:space="0" w:color="000000"/>
            </w:tcBorders>
          </w:tcPr>
          <w:p w14:paraId="474FB887" w14:textId="77777777" w:rsidR="00404735" w:rsidRDefault="00000000">
            <w:pPr>
              <w:spacing w:before="40" w:after="40" w:line="240" w:lineRule="auto"/>
              <w:jc w:val="center"/>
            </w:pPr>
            <w:r>
              <w:rPr>
                <w:rFonts w:ascii="Times New Roman" w:hAnsi="Times New Roman"/>
                <w:color w:val="000000"/>
                <w:sz w:val="20"/>
              </w:rPr>
              <w:t>7</w:t>
            </w:r>
          </w:p>
        </w:tc>
        <w:tc>
          <w:tcPr>
            <w:tcW w:w="1300" w:type="dxa"/>
            <w:tcMar>
              <w:top w:w="30" w:type="dxa"/>
              <w:left w:w="60" w:type="dxa"/>
              <w:bottom w:w="30" w:type="dxa"/>
              <w:right w:w="60" w:type="dxa"/>
            </w:tcMar>
            <w:vAlign w:val="center"/>
            <w:tcBorders>
              <w:top w:val="none"/>
              <w:left w:val="none"/>
              <w:right w:val="none"/>
              <w:bottom w:val="single" w:sz="4" w:space="0" w:color="000000"/>
            </w:tcBorders>
          </w:tcPr>
          <w:p w14:paraId="5866EA2F" w14:textId="77777777" w:rsidR="00404735" w:rsidRDefault="00000000">
            <w:pPr>
              <w:spacing w:before="40" w:after="40" w:line="240" w:lineRule="auto"/>
            </w:pPr>
            <w:r>
              <w:rPr>
                <w:rFonts w:ascii="Times New Roman" w:hAnsi="Times New Roman"/>
                <w:color w:val="000000"/>
                <w:sz w:val="20"/>
              </w:rPr>
              <w:t>Gahung et al. (2024)</w:t>
            </w:r>
          </w:p>
        </w:tc>
        <w:tc>
          <w:tcPr>
            <w:tcW w:w="2300" w:type="dxa"/>
            <w:tcMar>
              <w:top w:w="30" w:type="dxa"/>
              <w:left w:w="60" w:type="dxa"/>
              <w:bottom w:w="30" w:type="dxa"/>
              <w:right w:w="60" w:type="dxa"/>
            </w:tcMar>
            <w:vAlign w:val="center"/>
            <w:tcBorders>
              <w:top w:val="none"/>
              <w:left w:val="none"/>
              <w:right w:val="none"/>
              <w:bottom w:val="single" w:sz="4" w:space="0" w:color="000000"/>
            </w:tcBorders>
          </w:tcPr>
          <w:p w14:paraId="7F32F06D" w14:textId="77777777" w:rsidR="00404735" w:rsidRDefault="00000000">
            <w:pPr>
              <w:spacing w:before="40" w:after="40" w:line="240" w:lineRule="auto"/>
            </w:pPr>
            <w:r>
              <w:rPr>
                <w:rFonts w:ascii="Times New Roman" w:hAnsi="Times New Roman"/>
                <w:color w:val="000000"/>
                <w:sz w:val="20"/>
              </w:rPr>
              <w:t>Pengaruh pengetahuan, kesadaran, dan kepercayaan pada pemerintah terhadap kepatuhan PBB-P2</w:t>
            </w:r>
          </w:p>
        </w:tc>
        <w:tc>
          <w:tcPr>
            <w:tcW w:w="1717" w:type="dxa"/>
            <w:tcMar>
              <w:top w:w="30" w:type="dxa"/>
              <w:left w:w="60" w:type="dxa"/>
              <w:bottom w:w="30" w:type="dxa"/>
              <w:right w:w="60" w:type="dxa"/>
            </w:tcMar>
            <w:vAlign w:val="center"/>
            <w:tcBorders>
              <w:top w:val="none"/>
              <w:left w:val="none"/>
              <w:right w:val="none"/>
              <w:bottom w:val="single" w:sz="4" w:space="0" w:color="000000"/>
            </w:tcBorders>
          </w:tcPr>
          <w:p w14:paraId="603E8041" w14:textId="77777777" w:rsidR="00404735" w:rsidRDefault="00000000">
            <w:pPr>
              <w:spacing w:before="40" w:after="40" w:line="240" w:lineRule="auto"/>
            </w:pPr>
            <w:r>
              <w:rPr>
                <w:rFonts w:ascii="Times New Roman" w:hAnsi="Times New Roman"/>
                <w:color w:val="000000"/>
                <w:sz w:val="20"/>
              </w:rPr>
              <w:t>Riset Akuntansi dan Portofolio Investasi, 2(2), 2024, hlm. 143–149</w:t>
            </w:r>
          </w:p>
        </w:tc>
        <w:tc>
          <w:tcPr>
            <w:tcW w:w="2100" w:type="dxa"/>
            <w:tcMar>
              <w:top w:w="30" w:type="dxa"/>
              <w:left w:w="60" w:type="dxa"/>
              <w:bottom w:w="30" w:type="dxa"/>
              <w:right w:w="60" w:type="dxa"/>
            </w:tcMar>
            <w:vAlign w:val="center"/>
            <w:tcBorders>
              <w:top w:val="none"/>
              <w:left w:val="none"/>
              <w:right w:val="none"/>
              <w:bottom w:val="single" w:sz="4" w:space="0" w:color="000000"/>
            </w:tcBorders>
          </w:tcPr>
          <w:p w14:paraId="58CB24CA" w14:textId="77777777" w:rsidR="00404735" w:rsidRDefault="00000000">
            <w:pPr>
              <w:spacing w:before="40" w:after="40" w:line="240" w:lineRule="auto"/>
            </w:pPr>
            <w:r>
              <w:rPr>
                <w:rFonts w:ascii="Times New Roman" w:hAnsi="Times New Roman"/>
                <w:color w:val="000000"/>
                <w:sz w:val="20"/>
              </w:rPr>
              <w:t>Kepercayaan pada pemerintah berpengaruh positif dan signifikan terhadap kepatuhan wajib pajak PBB-P2.</w:t>
            </w:r>
          </w:p>
        </w:tc>
      </w:tr>
      <w:tr w:rsidR="00404735" w14:paraId="545A8274" w14:textId="77777777">
        <w:tblPrEx>
          <w:tblCellMar>
            <w:top w:w="0" w:type="dxa"/>
            <w:bottom w:w="0" w:type="dxa"/>
          </w:tblCellMar>
        </w:tblPrEx>
        <w:trPr>
          <w:jc w:val="center"/>
          <w:cantSplit/>
        </w:trPr>
        <w:tc>
          <w:tcPr>
            <w:tcW w:w="520" w:type="dxa"/>
            <w:tcMar>
              <w:top w:w="30" w:type="dxa"/>
              <w:left w:w="60" w:type="dxa"/>
              <w:bottom w:w="30" w:type="dxa"/>
              <w:right w:w="60" w:type="dxa"/>
            </w:tcMar>
            <w:vAlign w:val="center"/>
            <w:tcBorders>
              <w:top w:val="none"/>
              <w:left w:val="none"/>
              <w:right w:val="none"/>
              <w:bottom w:val="single" w:sz="4" w:space="0" w:color="000000"/>
            </w:tcBorders>
          </w:tcPr>
          <w:p w14:paraId="6E1C3B7D" w14:textId="77777777" w:rsidR="00404735" w:rsidRDefault="00000000">
            <w:pPr>
              <w:spacing w:before="40" w:after="40" w:line="240" w:lineRule="auto"/>
              <w:jc w:val="center"/>
            </w:pPr>
            <w:r>
              <w:rPr>
                <w:rFonts w:ascii="Times New Roman" w:hAnsi="Times New Roman"/>
                <w:color w:val="000000"/>
                <w:sz w:val="20"/>
              </w:rPr>
              <w:t>8</w:t>
            </w:r>
          </w:p>
        </w:tc>
        <w:tc>
          <w:tcPr>
            <w:tcW w:w="1300" w:type="dxa"/>
            <w:tcMar>
              <w:top w:w="30" w:type="dxa"/>
              <w:left w:w="60" w:type="dxa"/>
              <w:bottom w:w="30" w:type="dxa"/>
              <w:right w:w="60" w:type="dxa"/>
            </w:tcMar>
            <w:vAlign w:val="center"/>
            <w:tcBorders>
              <w:top w:val="none"/>
              <w:left w:val="none"/>
              <w:right w:val="none"/>
              <w:bottom w:val="single" w:sz="4" w:space="0" w:color="000000"/>
            </w:tcBorders>
          </w:tcPr>
          <w:p w14:paraId="4C2314F5" w14:textId="77777777" w:rsidR="00404735" w:rsidRDefault="00000000">
            <w:pPr>
              <w:spacing w:before="40" w:after="40" w:line="240" w:lineRule="auto"/>
            </w:pPr>
            <w:r>
              <w:rPr>
                <w:rFonts w:ascii="Times New Roman" w:hAnsi="Times New Roman"/>
                <w:color w:val="000000"/>
                <w:sz w:val="20"/>
              </w:rPr>
              <w:t>Purnamasari et al. (2018)</w:t>
            </w:r>
          </w:p>
        </w:tc>
        <w:tc>
          <w:tcPr>
            <w:tcW w:w="2300" w:type="dxa"/>
            <w:tcMar>
              <w:top w:w="30" w:type="dxa"/>
              <w:left w:w="60" w:type="dxa"/>
              <w:bottom w:w="30" w:type="dxa"/>
              <w:right w:w="60" w:type="dxa"/>
            </w:tcMar>
            <w:vAlign w:val="center"/>
            <w:tcBorders>
              <w:top w:val="none"/>
              <w:left w:val="none"/>
              <w:right w:val="none"/>
              <w:bottom w:val="single" w:sz="4" w:space="0" w:color="000000"/>
            </w:tcBorders>
          </w:tcPr>
          <w:p w14:paraId="78E7E03B" w14:textId="77777777" w:rsidR="00404735" w:rsidRDefault="00000000">
            <w:pPr>
              <w:spacing w:before="40" w:after="40" w:line="240" w:lineRule="auto"/>
            </w:pPr>
            <w:r>
              <w:rPr>
                <w:rFonts w:ascii="Times New Roman" w:hAnsi="Times New Roman"/>
                <w:color w:val="000000"/>
                <w:sz w:val="20"/>
              </w:rPr>
              <w:t>Pengaruh pemahaman, sanksi, kepercayaan pada pemerintah, dan nasionalisme terhadap kepatuhan PBB-P2</w:t>
            </w:r>
          </w:p>
        </w:tc>
        <w:tc>
          <w:tcPr>
            <w:tcW w:w="1717" w:type="dxa"/>
            <w:tcMar>
              <w:top w:w="30" w:type="dxa"/>
              <w:left w:w="60" w:type="dxa"/>
              <w:bottom w:w="30" w:type="dxa"/>
              <w:right w:w="60" w:type="dxa"/>
            </w:tcMar>
            <w:vAlign w:val="center"/>
            <w:tcBorders>
              <w:top w:val="none"/>
              <w:left w:val="none"/>
              <w:right w:val="none"/>
              <w:bottom w:val="single" w:sz="4" w:space="0" w:color="000000"/>
            </w:tcBorders>
          </w:tcPr>
          <w:p w14:paraId="7292207B" w14:textId="77777777" w:rsidR="00404735" w:rsidRDefault="00000000">
            <w:pPr>
              <w:spacing w:before="40" w:after="40" w:line="240" w:lineRule="auto"/>
            </w:pPr>
            <w:r>
              <w:rPr>
                <w:rFonts w:ascii="Times New Roman" w:hAnsi="Times New Roman"/>
                <w:color w:val="000000"/>
                <w:sz w:val="20"/>
              </w:rPr>
              <w:t>Jurnal Akuntansi dan Auditing, 14(1), 2018, hlm. 22–39</w:t>
            </w:r>
          </w:p>
        </w:tc>
        <w:tc>
          <w:tcPr>
            <w:tcW w:w="2100" w:type="dxa"/>
            <w:tcMar>
              <w:top w:w="30" w:type="dxa"/>
              <w:left w:w="60" w:type="dxa"/>
              <w:bottom w:w="30" w:type="dxa"/>
              <w:right w:w="60" w:type="dxa"/>
            </w:tcMar>
            <w:vAlign w:val="center"/>
            <w:tcBorders>
              <w:top w:val="none"/>
              <w:left w:val="none"/>
              <w:right w:val="none"/>
              <w:bottom w:val="single" w:sz="4" w:space="0" w:color="000000"/>
            </w:tcBorders>
          </w:tcPr>
          <w:p w14:paraId="6AF501FF" w14:textId="77777777" w:rsidR="00404735" w:rsidRDefault="00000000">
            <w:pPr>
              <w:spacing w:before="40" w:after="40" w:line="240" w:lineRule="auto"/>
            </w:pPr>
            <w:r>
              <w:rPr>
                <w:rFonts w:ascii="Times New Roman" w:hAnsi="Times New Roman"/>
                <w:color w:val="000000"/>
                <w:sz w:val="20"/>
              </w:rPr>
              <w:t>Sanksi perpajakan dan kepercayaan pada pemerintah berpengaruh signifikan terhadap kepatuhan PBB-P2.</w:t>
            </w:r>
          </w:p>
        </w:tc>
      </w:tr>
      <w:tr w:rsidR="00404735" w14:paraId="62CE8393" w14:textId="77777777">
        <w:tblPrEx>
          <w:tblCellMar>
            <w:top w:w="0" w:type="dxa"/>
            <w:bottom w:w="0" w:type="dxa"/>
          </w:tblCellMar>
        </w:tblPrEx>
        <w:trPr>
          <w:jc w:val="center"/>
          <w:cantSplit/>
        </w:trPr>
        <w:tc>
          <w:tcPr>
            <w:tcW w:w="520" w:type="dxa"/>
            <w:tcMar>
              <w:top w:w="30" w:type="dxa"/>
              <w:left w:w="60" w:type="dxa"/>
              <w:bottom w:w="30" w:type="dxa"/>
              <w:right w:w="60" w:type="dxa"/>
            </w:tcMar>
            <w:vAlign w:val="center"/>
            <w:tcBorders>
              <w:top w:val="none"/>
              <w:left w:val="none"/>
              <w:right w:val="none"/>
              <w:bottom w:val="single" w:sz="4" w:space="0" w:color="000000"/>
            </w:tcBorders>
          </w:tcPr>
          <w:p w14:paraId="2F4B8EDB" w14:textId="77777777" w:rsidR="00404735" w:rsidRDefault="00000000">
            <w:pPr>
              <w:spacing w:before="40" w:after="40" w:line="240" w:lineRule="auto"/>
              <w:jc w:val="center"/>
            </w:pPr>
            <w:r>
              <w:rPr>
                <w:rFonts w:ascii="Times New Roman" w:hAnsi="Times New Roman"/>
                <w:color w:val="000000"/>
                <w:sz w:val="20"/>
              </w:rPr>
              <w:t>9</w:t>
            </w:r>
          </w:p>
        </w:tc>
        <w:tc>
          <w:tcPr>
            <w:tcW w:w="1300" w:type="dxa"/>
            <w:tcMar>
              <w:top w:w="30" w:type="dxa"/>
              <w:left w:w="60" w:type="dxa"/>
              <w:bottom w:w="30" w:type="dxa"/>
              <w:right w:w="60" w:type="dxa"/>
            </w:tcMar>
            <w:vAlign w:val="center"/>
            <w:tcBorders>
              <w:top w:val="none"/>
              <w:left w:val="none"/>
              <w:right w:val="none"/>
              <w:bottom w:val="single" w:sz="4" w:space="0" w:color="000000"/>
            </w:tcBorders>
          </w:tcPr>
          <w:p w14:paraId="00B444EC" w14:textId="77777777" w:rsidR="00404735" w:rsidRDefault="00000000">
            <w:pPr>
              <w:spacing w:before="40" w:after="40" w:line="240" w:lineRule="auto"/>
            </w:pPr>
            <w:r>
              <w:rPr>
                <w:rFonts w:ascii="Times New Roman" w:hAnsi="Times New Roman"/>
                <w:color w:val="000000"/>
                <w:sz w:val="20"/>
              </w:rPr>
              <w:t>Zainudin et al. (2022)</w:t>
            </w:r>
          </w:p>
        </w:tc>
        <w:tc>
          <w:tcPr>
            <w:tcW w:w="2300" w:type="dxa"/>
            <w:tcMar>
              <w:top w:w="30" w:type="dxa"/>
              <w:left w:w="60" w:type="dxa"/>
              <w:bottom w:w="30" w:type="dxa"/>
              <w:right w:w="60" w:type="dxa"/>
            </w:tcMar>
            <w:vAlign w:val="center"/>
            <w:tcBorders>
              <w:top w:val="none"/>
              <w:left w:val="none"/>
              <w:right w:val="none"/>
              <w:bottom w:val="single" w:sz="4" w:space="0" w:color="000000"/>
            </w:tcBorders>
          </w:tcPr>
          <w:p w14:paraId="1EC4D1A7" w14:textId="77777777" w:rsidR="00404735" w:rsidRDefault="00000000">
            <w:pPr>
              <w:spacing w:before="40" w:after="40" w:line="240" w:lineRule="auto"/>
            </w:pPr>
            <w:r>
              <w:rPr>
                <w:rFonts w:ascii="Times New Roman" w:hAnsi="Times New Roman"/>
                <w:color w:val="000000"/>
                <w:sz w:val="20"/>
              </w:rPr>
              <w:t>Pengaruh kepercayaan kepada pemerintah terhadap kepatuhan pajak dengan persepsi keadilan sebagai intervening</w:t>
            </w:r>
          </w:p>
        </w:tc>
        <w:tc>
          <w:tcPr>
            <w:tcW w:w="1717" w:type="dxa"/>
            <w:tcMar>
              <w:top w:w="30" w:type="dxa"/>
              <w:left w:w="60" w:type="dxa"/>
              <w:bottom w:w="30" w:type="dxa"/>
              <w:right w:w="60" w:type="dxa"/>
            </w:tcMar>
            <w:vAlign w:val="center"/>
            <w:tcBorders>
              <w:top w:val="none"/>
              <w:left w:val="none"/>
              <w:right w:val="none"/>
              <w:bottom w:val="single" w:sz="4" w:space="0" w:color="000000"/>
            </w:tcBorders>
          </w:tcPr>
          <w:p w14:paraId="7FABA4D2" w14:textId="77777777" w:rsidR="00404735" w:rsidRDefault="00000000">
            <w:pPr>
              <w:spacing w:before="40" w:after="40" w:line="240" w:lineRule="auto"/>
            </w:pPr>
            <w:r>
              <w:rPr>
                <w:rFonts w:ascii="Times New Roman" w:hAnsi="Times New Roman"/>
                <w:color w:val="000000"/>
                <w:sz w:val="20"/>
              </w:rPr>
              <w:t>Jurnal Pajak Indonesia, 6(1), 2022, hlm. 107–121</w:t>
            </w:r>
          </w:p>
        </w:tc>
        <w:tc>
          <w:tcPr>
            <w:tcW w:w="2100" w:type="dxa"/>
            <w:tcMar>
              <w:top w:w="30" w:type="dxa"/>
              <w:left w:w="60" w:type="dxa"/>
              <w:bottom w:w="30" w:type="dxa"/>
              <w:right w:w="60" w:type="dxa"/>
            </w:tcMar>
            <w:vAlign w:val="center"/>
            <w:tcBorders>
              <w:top w:val="none"/>
              <w:left w:val="none"/>
              <w:right w:val="none"/>
              <w:bottom w:val="single" w:sz="4" w:space="0" w:color="000000"/>
            </w:tcBorders>
          </w:tcPr>
          <w:p w14:paraId="76DEF79F" w14:textId="77777777" w:rsidR="00404735" w:rsidRDefault="00000000">
            <w:pPr>
              <w:spacing w:before="40" w:after="40" w:line="240" w:lineRule="auto"/>
            </w:pPr>
            <w:r>
              <w:rPr>
                <w:rFonts w:ascii="Times New Roman" w:hAnsi="Times New Roman"/>
                <w:color w:val="000000"/>
                <w:sz w:val="20"/>
              </w:rPr>
              <w:t>Kepercayaan berpengaruh tidak langsung terhadap kepatuhan melalui persepsi keadilan pajak.</w:t>
            </w:r>
          </w:p>
        </w:tc>
      </w:tr>
      <w:tr w:rsidR="00404735" w14:paraId="62D543AF" w14:textId="77777777">
        <w:tblPrEx>
          <w:tblCellMar>
            <w:top w:w="0" w:type="dxa"/>
            <w:bottom w:w="0" w:type="dxa"/>
          </w:tblCellMar>
        </w:tblPrEx>
        <w:trPr>
          <w:jc w:val="center"/>
          <w:cantSplit/>
        </w:trPr>
        <w:tc>
          <w:tcPr>
            <w:tcW w:w="520" w:type="dxa"/>
            <w:tcMar>
              <w:top w:w="30" w:type="dxa"/>
              <w:left w:w="60" w:type="dxa"/>
              <w:bottom w:w="30" w:type="dxa"/>
              <w:right w:w="60" w:type="dxa"/>
            </w:tcMar>
            <w:vAlign w:val="center"/>
            <w:tcBorders>
              <w:top w:val="none"/>
              <w:left w:val="none"/>
              <w:right w:val="none"/>
              <w:bottom w:val="single" w:sz="4" w:space="0" w:color="000000"/>
            </w:tcBorders>
          </w:tcPr>
          <w:p w14:paraId="279A7F23" w14:textId="77777777" w:rsidR="00404735" w:rsidRDefault="00000000">
            <w:pPr>
              <w:spacing w:before="40" w:after="40" w:line="240" w:lineRule="auto"/>
              <w:jc w:val="center"/>
            </w:pPr>
            <w:r>
              <w:rPr>
                <w:rFonts w:ascii="Times New Roman" w:hAnsi="Times New Roman"/>
                <w:color w:val="000000"/>
                <w:sz w:val="20"/>
              </w:rPr>
              <w:t>10</w:t>
            </w:r>
          </w:p>
        </w:tc>
        <w:tc>
          <w:tcPr>
            <w:tcW w:w="1300" w:type="dxa"/>
            <w:tcMar>
              <w:top w:w="30" w:type="dxa"/>
              <w:left w:w="60" w:type="dxa"/>
              <w:bottom w:w="30" w:type="dxa"/>
              <w:right w:w="60" w:type="dxa"/>
            </w:tcMar>
            <w:vAlign w:val="center"/>
            <w:tcBorders>
              <w:top w:val="none"/>
              <w:left w:val="none"/>
              <w:right w:val="none"/>
              <w:bottom w:val="single" w:sz="4" w:space="0" w:color="000000"/>
            </w:tcBorders>
          </w:tcPr>
          <w:p w14:paraId="6D0C284B" w14:textId="77777777" w:rsidR="00404735" w:rsidRDefault="00000000">
            <w:pPr>
              <w:spacing w:before="40" w:after="40" w:line="240" w:lineRule="auto"/>
            </w:pPr>
            <w:r>
              <w:rPr>
                <w:rFonts w:ascii="Times New Roman" w:hAnsi="Times New Roman"/>
                <w:color w:val="000000"/>
                <w:sz w:val="20"/>
              </w:rPr>
              <w:t>Ramadhan &amp; Tarmidi (2024)</w:t>
            </w:r>
          </w:p>
        </w:tc>
        <w:tc>
          <w:tcPr>
            <w:tcW w:w="2300" w:type="dxa"/>
            <w:tcMar>
              <w:top w:w="30" w:type="dxa"/>
              <w:left w:w="60" w:type="dxa"/>
              <w:bottom w:w="30" w:type="dxa"/>
              <w:right w:w="60" w:type="dxa"/>
            </w:tcMar>
            <w:vAlign w:val="center"/>
            <w:tcBorders>
              <w:top w:val="none"/>
              <w:left w:val="none"/>
              <w:right w:val="none"/>
              <w:bottom w:val="single" w:sz="4" w:space="0" w:color="000000"/>
            </w:tcBorders>
          </w:tcPr>
          <w:p w14:paraId="0672C980" w14:textId="77777777" w:rsidR="00404735" w:rsidRDefault="00000000">
            <w:pPr>
              <w:spacing w:before="40" w:after="40" w:line="240" w:lineRule="auto"/>
            </w:pPr>
            <w:r>
              <w:rPr>
                <w:rFonts w:ascii="Times New Roman" w:hAnsi="Times New Roman"/>
                <w:color w:val="000000"/>
                <w:sz w:val="20"/>
              </w:rPr>
              <w:t>Analisis kepatuhan pajak: pemahaman, religiusitas, dan tingkat kepercayaan UMKM di wilayah Cengkareng</w:t>
            </w:r>
          </w:p>
        </w:tc>
        <w:tc>
          <w:tcPr>
            <w:tcW w:w="1717" w:type="dxa"/>
            <w:tcMar>
              <w:top w:w="30" w:type="dxa"/>
              <w:left w:w="60" w:type="dxa"/>
              <w:bottom w:w="30" w:type="dxa"/>
              <w:right w:w="60" w:type="dxa"/>
            </w:tcMar>
            <w:vAlign w:val="center"/>
            <w:tcBorders>
              <w:top w:val="none"/>
              <w:left w:val="none"/>
              <w:right w:val="none"/>
              <w:bottom w:val="single" w:sz="4" w:space="0" w:color="000000"/>
            </w:tcBorders>
          </w:tcPr>
          <w:p w14:paraId="7CA8D78A" w14:textId="77777777" w:rsidR="00404735" w:rsidRDefault="00000000">
            <w:pPr>
              <w:spacing w:before="40" w:after="40" w:line="240" w:lineRule="auto"/>
            </w:pPr>
            <w:r>
              <w:rPr>
                <w:rFonts w:ascii="Times New Roman" w:hAnsi="Times New Roman"/>
                <w:color w:val="000000"/>
                <w:sz w:val="20"/>
              </w:rPr>
              <w:t>Media Akuntansi Perpajakan, 9(1), 2024, hlm. 1–11</w:t>
            </w:r>
          </w:p>
        </w:tc>
        <w:tc>
          <w:tcPr>
            <w:tcW w:w="2100" w:type="dxa"/>
            <w:tcMar>
              <w:top w:w="30" w:type="dxa"/>
              <w:left w:w="60" w:type="dxa"/>
              <w:bottom w:w="30" w:type="dxa"/>
              <w:right w:w="60" w:type="dxa"/>
            </w:tcMar>
            <w:vAlign w:val="center"/>
            <w:tcBorders>
              <w:top w:val="none"/>
              <w:left w:val="none"/>
              <w:right w:val="none"/>
              <w:bottom w:val="single" w:sz="4" w:space="0" w:color="000000"/>
            </w:tcBorders>
          </w:tcPr>
          <w:p w14:paraId="7461B121" w14:textId="77777777" w:rsidR="00404735" w:rsidRDefault="00000000">
            <w:pPr>
              <w:spacing w:before="40" w:after="40" w:line="240" w:lineRule="auto"/>
            </w:pPr>
            <w:r>
              <w:rPr>
                <w:rFonts w:ascii="Times New Roman" w:hAnsi="Times New Roman"/>
                <w:color w:val="000000"/>
                <w:sz w:val="20"/>
              </w:rPr>
              <w:t xml:space="preserve">Kepercayaan yang tinggi pada pemerintah mendorong kepatuhan wajib </w:t>
            </w:r>
            <w:r>
              <w:rPr>
                <w:rFonts w:ascii="Times New Roman" w:hAnsi="Times New Roman"/>
                <w:color w:val="000000"/>
                <w:sz w:val="20"/>
              </w:rPr>
              <w:lastRenderedPageBreak/>
              <w:t>pajak; religiusitas tidak berpengaruh.</w:t>
            </w:r>
          </w:p>
        </w:tc>
      </w:tr>
      <w:tr w:rsidR="00404735" w14:paraId="17B65035" w14:textId="77777777">
        <w:tblPrEx>
          <w:tblCellMar>
            <w:top w:w="0" w:type="dxa"/>
            <w:bottom w:w="0" w:type="dxa"/>
          </w:tblCellMar>
        </w:tblPrEx>
        <w:trPr>
          <w:jc w:val="center"/>
          <w:cantSplit/>
        </w:trPr>
        <w:tc>
          <w:tcPr>
            <w:tcW w:w="520" w:type="dxa"/>
            <w:tcMar>
              <w:top w:w="30" w:type="dxa"/>
              <w:left w:w="60" w:type="dxa"/>
              <w:bottom w:w="30" w:type="dxa"/>
              <w:right w:w="60" w:type="dxa"/>
            </w:tcMar>
            <w:vAlign w:val="center"/>
            <w:tcBorders>
              <w:top w:val="none"/>
              <w:left w:val="none"/>
              <w:right w:val="none"/>
              <w:bottom w:val="single" w:sz="4" w:space="0" w:color="000000"/>
            </w:tcBorders>
          </w:tcPr>
          <w:p w14:paraId="2A9284CA" w14:textId="77777777" w:rsidR="00404735" w:rsidRDefault="00000000">
            <w:pPr>
              <w:spacing w:before="40" w:after="40" w:line="240" w:lineRule="auto"/>
              <w:jc w:val="center"/>
            </w:pPr>
            <w:r>
              <w:rPr>
                <w:rFonts w:ascii="Times New Roman" w:hAnsi="Times New Roman"/>
                <w:color w:val="000000"/>
                <w:sz w:val="20"/>
              </w:rPr>
              <w:lastRenderedPageBreak/>
              <w:t>11</w:t>
            </w:r>
          </w:p>
        </w:tc>
        <w:tc>
          <w:tcPr>
            <w:tcW w:w="1300" w:type="dxa"/>
            <w:tcMar>
              <w:top w:w="30" w:type="dxa"/>
              <w:left w:w="60" w:type="dxa"/>
              <w:bottom w:w="30" w:type="dxa"/>
              <w:right w:w="60" w:type="dxa"/>
            </w:tcMar>
            <w:vAlign w:val="center"/>
            <w:tcBorders>
              <w:top w:val="none"/>
              <w:left w:val="none"/>
              <w:right w:val="none"/>
              <w:bottom w:val="single" w:sz="4" w:space="0" w:color="000000"/>
            </w:tcBorders>
          </w:tcPr>
          <w:p w14:paraId="51FD08A8" w14:textId="77777777" w:rsidR="00404735" w:rsidRDefault="00000000">
            <w:pPr>
              <w:spacing w:before="40" w:after="40" w:line="240" w:lineRule="auto"/>
            </w:pPr>
            <w:r>
              <w:rPr>
                <w:rFonts w:ascii="Times New Roman" w:hAnsi="Times New Roman"/>
                <w:color w:val="000000"/>
                <w:sz w:val="20"/>
              </w:rPr>
              <w:t>Kogler et al. (2015)</w:t>
            </w:r>
          </w:p>
        </w:tc>
        <w:tc>
          <w:tcPr>
            <w:tcW w:w="2300" w:type="dxa"/>
            <w:tcMar>
              <w:top w:w="30" w:type="dxa"/>
              <w:left w:w="60" w:type="dxa"/>
              <w:bottom w:w="30" w:type="dxa"/>
              <w:right w:w="60" w:type="dxa"/>
            </w:tcMar>
            <w:vAlign w:val="center"/>
            <w:tcBorders>
              <w:top w:val="none"/>
              <w:left w:val="none"/>
              <w:right w:val="none"/>
              <w:bottom w:val="single" w:sz="4" w:space="0" w:color="000000"/>
            </w:tcBorders>
          </w:tcPr>
          <w:p w14:paraId="7341F59C" w14:textId="77777777" w:rsidR="00404735" w:rsidRDefault="00000000">
            <w:pPr>
              <w:spacing w:before="40" w:after="40" w:line="240" w:lineRule="auto"/>
            </w:pPr>
            <w:r>
              <w:rPr>
                <w:rFonts w:ascii="Times New Roman" w:hAnsi="Times New Roman"/>
                <w:color w:val="000000"/>
                <w:sz w:val="20"/>
              </w:rPr>
              <w:t>Testing the slippery slope framework among self-employed taxpayers</w:t>
            </w:r>
          </w:p>
        </w:tc>
        <w:tc>
          <w:tcPr>
            <w:tcW w:w="1717" w:type="dxa"/>
            <w:tcMar>
              <w:top w:w="30" w:type="dxa"/>
              <w:left w:w="60" w:type="dxa"/>
              <w:bottom w:w="30" w:type="dxa"/>
              <w:right w:w="60" w:type="dxa"/>
            </w:tcMar>
            <w:vAlign w:val="center"/>
            <w:tcBorders>
              <w:top w:val="none"/>
              <w:left w:val="none"/>
              <w:right w:val="none"/>
              <w:bottom w:val="single" w:sz="4" w:space="0" w:color="000000"/>
            </w:tcBorders>
          </w:tcPr>
          <w:p w14:paraId="4478670B" w14:textId="77777777" w:rsidR="00404735" w:rsidRDefault="00000000">
            <w:pPr>
              <w:spacing w:before="40" w:after="40" w:line="240" w:lineRule="auto"/>
            </w:pPr>
            <w:r>
              <w:rPr>
                <w:rFonts w:ascii="Times New Roman" w:hAnsi="Times New Roman"/>
                <w:color w:val="000000"/>
                <w:sz w:val="20"/>
              </w:rPr>
              <w:t>Economics of Governance, 16(2), 2015, hlm. 125–142</w:t>
            </w:r>
          </w:p>
        </w:tc>
        <w:tc>
          <w:tcPr>
            <w:tcW w:w="2100" w:type="dxa"/>
            <w:tcMar>
              <w:top w:w="30" w:type="dxa"/>
              <w:left w:w="60" w:type="dxa"/>
              <w:bottom w:w="30" w:type="dxa"/>
              <w:right w:w="60" w:type="dxa"/>
            </w:tcMar>
            <w:vAlign w:val="center"/>
            <w:tcBorders>
              <w:top w:val="none"/>
              <w:left w:val="none"/>
              <w:right w:val="none"/>
              <w:bottom w:val="single" w:sz="4" w:space="0" w:color="000000"/>
            </w:tcBorders>
          </w:tcPr>
          <w:p w14:paraId="5A15F71F" w14:textId="77777777" w:rsidR="00404735" w:rsidRDefault="00000000">
            <w:pPr>
              <w:spacing w:before="40" w:after="40" w:line="240" w:lineRule="auto"/>
            </w:pPr>
            <w:r>
              <w:rPr>
                <w:rFonts w:ascii="Times New Roman" w:hAnsi="Times New Roman"/>
                <w:color w:val="000000"/>
                <w:sz w:val="20"/>
              </w:rPr>
              <w:t>Kepercayaan memediasi pengaruh keadilan terhadap kepatuhan sukarela; kekuatan otoritas memediasi pengaruh deterensi terhadap kepatuhan terpaksa.</w:t>
            </w:r>
          </w:p>
        </w:tc>
      </w:tr>
      <w:tr w:rsidR="00404735" w14:paraId="3685AC3E" w14:textId="77777777">
        <w:tblPrEx>
          <w:tblCellMar>
            <w:top w:w="0" w:type="dxa"/>
            <w:bottom w:w="0" w:type="dxa"/>
          </w:tblCellMar>
        </w:tblPrEx>
        <w:trPr>
          <w:jc w:val="center"/>
          <w:cantSplit/>
        </w:trPr>
        <w:tc>
          <w:tcPr>
            <w:tcW w:w="520" w:type="dxa"/>
            <w:tcMar>
              <w:top w:w="30" w:type="dxa"/>
              <w:left w:w="60" w:type="dxa"/>
              <w:bottom w:w="30" w:type="dxa"/>
              <w:right w:w="60" w:type="dxa"/>
            </w:tcMar>
            <w:vAlign w:val="center"/>
            <w:tcBorders>
              <w:top w:val="none"/>
              <w:left w:val="none"/>
              <w:right w:val="none"/>
              <w:bottom w:val="single" w:sz="8" w:space="0" w:color="000000"/>
            </w:tcBorders>
          </w:tcPr>
          <w:p w14:paraId="482FC2F7" w14:textId="77777777" w:rsidR="00404735" w:rsidRDefault="00000000">
            <w:pPr>
              <w:spacing w:before="40" w:after="40" w:line="240" w:lineRule="auto"/>
              <w:jc w:val="center"/>
            </w:pPr>
            <w:r>
              <w:rPr>
                <w:rFonts w:ascii="Times New Roman" w:hAnsi="Times New Roman"/>
                <w:color w:val="000000"/>
                <w:sz w:val="20"/>
              </w:rPr>
              <w:t>12</w:t>
            </w:r>
          </w:p>
        </w:tc>
        <w:tc>
          <w:tcPr>
            <w:tcW w:w="1300" w:type="dxa"/>
            <w:tcMar>
              <w:top w:w="30" w:type="dxa"/>
              <w:left w:w="60" w:type="dxa"/>
              <w:bottom w:w="30" w:type="dxa"/>
              <w:right w:w="60" w:type="dxa"/>
            </w:tcMar>
            <w:vAlign w:val="center"/>
            <w:tcBorders>
              <w:top w:val="none"/>
              <w:left w:val="none"/>
              <w:right w:val="none"/>
              <w:bottom w:val="single" w:sz="8" w:space="0" w:color="000000"/>
            </w:tcBorders>
          </w:tcPr>
          <w:p w14:paraId="6B576308" w14:textId="77777777" w:rsidR="00404735" w:rsidRDefault="00000000">
            <w:pPr>
              <w:spacing w:before="40" w:after="40" w:line="240" w:lineRule="auto"/>
            </w:pPr>
            <w:r>
              <w:rPr>
                <w:rFonts w:ascii="Times New Roman" w:hAnsi="Times New Roman"/>
                <w:color w:val="000000"/>
                <w:sz w:val="20"/>
              </w:rPr>
              <w:t>Hofmann et al. (2008)</w:t>
            </w:r>
          </w:p>
        </w:tc>
        <w:tc>
          <w:tcPr>
            <w:tcW w:w="2300" w:type="dxa"/>
            <w:tcMar>
              <w:top w:w="30" w:type="dxa"/>
              <w:left w:w="60" w:type="dxa"/>
              <w:bottom w:w="30" w:type="dxa"/>
              <w:right w:w="60" w:type="dxa"/>
            </w:tcMar>
            <w:vAlign w:val="center"/>
            <w:tcBorders>
              <w:top w:val="none"/>
              <w:left w:val="none"/>
              <w:right w:val="none"/>
              <w:bottom w:val="single" w:sz="8" w:space="0" w:color="000000"/>
            </w:tcBorders>
          </w:tcPr>
          <w:p w14:paraId="127F19ED" w14:textId="77777777" w:rsidR="00404735" w:rsidRDefault="00000000">
            <w:pPr>
              <w:spacing w:before="40" w:after="40" w:line="240" w:lineRule="auto"/>
            </w:pPr>
            <w:r>
              <w:rPr>
                <w:rFonts w:ascii="Times New Roman" w:hAnsi="Times New Roman"/>
                <w:color w:val="000000"/>
                <w:sz w:val="20"/>
              </w:rPr>
              <w:t>Preconditions of voluntary tax compliance: knowledge, norms, fairness, and motivation to cooperate</w:t>
            </w:r>
          </w:p>
        </w:tc>
        <w:tc>
          <w:tcPr>
            <w:tcW w:w="1717" w:type="dxa"/>
            <w:tcMar>
              <w:top w:w="30" w:type="dxa"/>
              <w:left w:w="60" w:type="dxa"/>
              <w:bottom w:w="30" w:type="dxa"/>
              <w:right w:w="60" w:type="dxa"/>
            </w:tcMar>
            <w:vAlign w:val="center"/>
            <w:tcBorders>
              <w:top w:val="none"/>
              <w:left w:val="none"/>
              <w:right w:val="none"/>
              <w:bottom w:val="single" w:sz="8" w:space="0" w:color="000000"/>
            </w:tcBorders>
          </w:tcPr>
          <w:p w14:paraId="311261DB" w14:textId="77777777" w:rsidR="00404735" w:rsidRDefault="00000000">
            <w:pPr>
              <w:spacing w:before="40" w:after="40" w:line="240" w:lineRule="auto"/>
            </w:pPr>
            <w:r>
              <w:rPr>
                <w:rFonts w:ascii="Times New Roman" w:hAnsi="Times New Roman"/>
                <w:color w:val="000000"/>
                <w:sz w:val="20"/>
              </w:rPr>
              <w:t>Zeitschrift für Psychologie, 216(4), 2008, hlm. 209–217</w:t>
            </w:r>
          </w:p>
        </w:tc>
        <w:tc>
          <w:tcPr>
            <w:tcW w:w="2100" w:type="dxa"/>
            <w:tcMar>
              <w:top w:w="30" w:type="dxa"/>
              <w:left w:w="60" w:type="dxa"/>
              <w:bottom w:w="30" w:type="dxa"/>
              <w:right w:w="60" w:type="dxa"/>
            </w:tcMar>
            <w:vAlign w:val="center"/>
            <w:tcBorders>
              <w:top w:val="none"/>
              <w:left w:val="none"/>
              <w:right w:val="none"/>
              <w:bottom w:val="single" w:sz="8" w:space="0" w:color="000000"/>
            </w:tcBorders>
          </w:tcPr>
          <w:p w14:paraId="2940D059" w14:textId="77777777" w:rsidR="00404735" w:rsidRDefault="00000000">
            <w:pPr>
              <w:spacing w:before="40" w:after="40" w:line="240" w:lineRule="auto"/>
            </w:pPr>
            <w:r>
              <w:rPr>
                <w:rFonts w:ascii="Times New Roman" w:hAnsi="Times New Roman"/>
                <w:color w:val="000000"/>
                <w:sz w:val="20"/>
              </w:rPr>
              <w:t>Pengetahuan perpajakan, norma, dan keadilan merupakan prakondisi penting bagi kepatuhan sukarela.</w:t>
            </w:r>
          </w:p>
        </w:tc>
      </w:tr>
    </w:tbl>
    <w:p w14:paraId="412D8C0F" w14:textId="77777777" w:rsidR="00404735" w:rsidRDefault="00000000" is_subsub="false" is_formula="false" orig_style="Normal">
      <w:pPr>
        <w:spacing w:before="60" w:after="120" w:line="240" w:lineRule="auto"/>
        <w:ind w:left="0" w:right="0" w:firstLine="0"/>
        <w:jc w:val="left"/>
      </w:pPr>
      <w:r>
        <w:rPr>
          <w:rFonts w:ascii="Times New Roman" w:hAnsi="Times New Roman"/>
          <w:b w:val="0"/>
          <w:i w:val="0"/>
          <w:iCs/>
          <w:color w:val="000000"/>
          <w:sz w:val="20"/>
          <w:szCs w:val="22"/>
        </w:rPr>
        <w:t>Sumber: Diolah oleh peneliti dari berbagai sumber (2026).</w:t>
      </w:r>
    </w:p>
    <w:p w14:paraId="0B62E482" w14:textId="77777777" w:rsidR="00404735" w:rsidRDefault="00000000" is_subsub="false" is_formula="false" orig_style="Heading 2">
      <w:bookmarkStart w:id="124" w:name="_Toc123"/>
      <w:pPr>
        <w:pStyle w:val="Heading2"/>
        <w:keepNext/>
        <w:jc w:val="left"/>
        <w:numPr>
          <w:ilvl w:val="1"/>
          <w:numId w:val="2"/>
        </w:numPr>
        <w:ind w:left="567" w:hanging="567"/>
        <w:outlineLvl w:val="1"/>
        <w:spacing w:before="240" w:after="120" w:line="276" w:lineRule="auto" w:beforeAutospacing="0" w:afterAutospacing="0"/>
      </w:pPr>
      <w:r>
        <w:rPr>
          <w:rFonts w:ascii="Times New Roman" w:hAnsi="Times New Roman"/>
          <w:b/>
          <w:i w:val="0"/>
          <w:color w:val="000000"/>
          <w:sz w:val="24"/>
        </w:rPr>
        <w:t>Rerangka Pemikiran</w:t>
      </w:r>
      <w:bookmarkEnd w:id="124"/>
    </w:p>
    <w:p w14:paraId="6BE50685" w14:textId="77777777" w:rsidR="00404735" w:rsidRDefault="00000000" is_subsub="false" is_formula="false" orig_style="Normal">
      <w:pPr>
        <w:spacing w:before="0" w:after="120" w:line="276" w:lineRule="auto" w:beforeAutospacing="0" w:afterAutospacing="0"/>
        <w:ind w:left="0" w:right="0" w:firstLine="567"/>
        <w:jc w:val="both"/>
      </w:pPr>
      <w:r/>
      <w:r>
        <w:rPr>
          <w:rFonts w:ascii="Times New Roman" w:hAnsi="Times New Roman"/>
          <w:b w:val="0"/>
          <w:i w:val="0"/>
          <w:color w:val="000000"/>
          <w:sz w:val="24"/>
        </w:rPr>
        <w:t xml:space="preserve">Berdasarkan kajian teori dan penelitian terdahulu, penelitian ini membangun rerangka pemikiran yang menautkan tiga variabel independen, yaitu sosialisasi perpajakan, sanksi perpajakan, dan kepercayaan pada pemerintah, dengan kepatuhan wajib pajak PBB-P2 sebagai variabel dependen. Keterkaitan ini berlandaskan Theory of Planned Behavior dan Slippery Slope </w:t>
      </w:r>
      <w:r>
        <w:rPr>
          <w:rFonts w:ascii="Times New Roman" w:hAnsi="Times New Roman"/>
          <w:b w:val="0"/>
          <w:i/>
          <w:color w:val="000000"/>
          <w:sz w:val="24"/>
        </w:rPr>
        <w:t>Framework</w:t>
      </w:r>
      <w:r>
        <w:rPr>
          <w:rFonts w:ascii="Times New Roman" w:hAnsi="Times New Roman"/>
          <w:b w:val="0"/>
          <w:i w:val="0"/>
          <w:color w:val="000000"/>
          <w:sz w:val="24"/>
        </w:rPr>
        <w:t xml:space="preserve">. TPB menjelaskan bahwa perilaku kepatuhan dipengaruhi oleh sikap, norma subjektif, dan persepsi kontrol perilaku, sedangkan Slippery Slope </w:t>
      </w:r>
      <w:r>
        <w:rPr>
          <w:rFonts w:ascii="Times New Roman" w:hAnsi="Times New Roman"/>
          <w:b w:val="0"/>
          <w:i/>
          <w:color w:val="000000"/>
          <w:sz w:val="24"/>
        </w:rPr>
        <w:t>Framework</w:t>
      </w:r>
      <w:r>
        <w:rPr>
          <w:rFonts w:ascii="Times New Roman" w:hAnsi="Times New Roman"/>
          <w:b w:val="0"/>
          <w:i w:val="0"/>
          <w:color w:val="000000"/>
          <w:sz w:val="24"/>
        </w:rPr>
        <w:t xml:space="preserve"> menekankan peran kepercayaan pada otoritas dan kekuatan penegakan dalam membentuk kepatuhan.</w:t>
      </w:r>
    </w:p>
    <w:p w14:paraId="4C381E77"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Sosialisasi perpajakan diharapkan meningkatkan pengetahuan dan membentuk sikap positif wajib pajak terhadap kewajibannya sehingga mendorong kepatuhan. Wajib pajak yang memperoleh informasi yang memadai cenderung lebih memahami prosedur, hak, serta manfaat membayar PBB-P2.</w:t>
      </w:r>
    </w:p>
    <w:p w14:paraId="1FF5A8B4"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lastRenderedPageBreak/>
        <w:t>Sanksi perpajakan berperan membentuk persepsi kontrol perilaku sekaligus kesadaran wajib pajak akan konsekuensi dari kelalaiannya. Sanksi yang tegas dan adil diharapkan mendorong wajib pajak memenuhi kewajibannya secara tepat waktu.</w:t>
      </w:r>
    </w:p>
    <w:p w14:paraId="2E55C354"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Kepercayaan pada pemerintah memengaruhi sikap wajib pajak terhadap sistem perpajakan. Keyakinan bahwa pajak dikelola secara transparan dan memberikan manfaat nyata akan memperkuat motivasi untuk patuh secara sukarela. Ketiga keterkaitan tersebut digambarkan dalam model konseptual pada Gambar 2.1.</w:t>
      </w:r>
    </w:p>
    <w:p w14:paraId="2B33415D" w14:textId="77777777" w:rsidR="00404735" w:rsidRDefault="00000000" is_subsub="false" is_formula="false" orig_style="Normal">
      <w:pPr>
        <w:spacing w:before="120" w:after="80" w:line="240" w:lineRule="auto"/>
        <w:ind w:left="0" w:right="0" w:firstLine="0"/>
        <w:jc w:val="center"/>
      </w:pPr>
      <w:r>
        <w:rPr>
          <w:noProof/>
        </w:rPr>
        <mc:AlternateContent>
          <mc:Choice Requires="wpg">
            <w:drawing>
              <wp:inline distT="0" distB="0" distL="0" distR="0" wp14:anchorId="5D639FC8" wp14:editId="51F5A23B">
                <wp:extent cx="5400000" cy="2580000"/>
                <wp:effectExtent l="0" t="0" r="10795" b="11430"/>
                <wp:docPr id="200" name="ModelKonseptual"/>
                <wp:cNvGraphicFramePr/>
                <a:graphic xmlns:a="http://schemas.openxmlformats.org/drawingml/2006/main">
                  <a:graphicData uri="http://schemas.microsoft.com/office/word/2010/wordprocessingGroup">
                    <wpg:wgp>
                      <wpg:cNvGrpSpPr/>
                      <wpg:grpSpPr>
                        <a:xfrm>
                          <a:off x="0" y="0"/>
                          <a:ext cx="5400000" cy="2580000"/>
                          <a:chOff x="0" y="150000"/>
                          <a:chExt cx="5400000" cy="2580000"/>
                        </a:xfrm>
                      </wpg:grpSpPr>
                      <wps:wsp>
                        <wps:cNvPr id="201" name="Oval201"/>
                        <wps:cNvSpPr/>
                        <wps:spPr>
                          <a:xfrm>
                            <a:off x="0" y="150000"/>
                            <a:ext cx="1850000" cy="760000"/>
                          </a:xfrm>
                          <a:prstGeom prst="ellipse">
                            <a:avLst/>
                          </a:prstGeom>
                          <a:solidFill>
                            <a:srgbClr val="FFFFFF"/>
                          </a:solidFill>
                          <a:ln w="12700">
                            <a:solidFill>
                              <a:srgbClr val="000000"/>
                            </a:solidFill>
                          </a:ln>
                        </wps:spPr>
                        <wps:txbx>
                          <w:txbxContent>
                            <w:p w14:paraId="777F89CD" w14:textId="77777777" w:rsidR="00404735" w:rsidRDefault="00000000">
                              <w:pPr>
                                <w:jc w:val="center"/>
                              </w:pPr>
                              <w:r>
                                <w:rPr>
                                  <w:sz w:val="20"/>
                                </w:rPr>
                                <w:t>Sosialisasi Perpajakan</w:t>
                              </w:r>
                            </w:p>
                            <w:p w14:paraId="72D66E50" w14:textId="77777777" w:rsidR="00404735" w:rsidRDefault="00000000">
                              <w:pPr>
                                <w:jc w:val="center"/>
                              </w:pPr>
                              <w:r>
                                <w:rPr>
                                  <w:sz w:val="20"/>
                                </w:rPr>
                                <w:t>(X1)</w:t>
                              </w:r>
                            </w:p>
                          </w:txbxContent>
                        </wps:txbx>
                        <wps:bodyPr rot="0" anchor="ctr" anchorCtr="0">
                          <a:noAutofit/>
                        </wps:bodyPr>
                      </wps:wsp>
                      <wps:wsp>
                        <wps:cNvPr id="202" name="Oval202"/>
                        <wps:cNvSpPr/>
                        <wps:spPr>
                          <a:xfrm>
                            <a:off x="0" y="1060000"/>
                            <a:ext cx="1850000" cy="760000"/>
                          </a:xfrm>
                          <a:prstGeom prst="ellipse">
                            <a:avLst/>
                          </a:prstGeom>
                          <a:solidFill>
                            <a:srgbClr val="FFFFFF"/>
                          </a:solidFill>
                          <a:ln w="12700">
                            <a:solidFill>
                              <a:srgbClr val="000000"/>
                            </a:solidFill>
                          </a:ln>
                        </wps:spPr>
                        <wps:txbx>
                          <w:txbxContent>
                            <w:p w14:paraId="31BBE6F0" w14:textId="77777777" w:rsidR="00404735" w:rsidRDefault="00000000">
                              <w:pPr>
                                <w:jc w:val="center"/>
                              </w:pPr>
                              <w:r>
                                <w:rPr>
                                  <w:sz w:val="20"/>
                                </w:rPr>
                                <w:t>Sanksi Perpajakan</w:t>
                              </w:r>
                            </w:p>
                            <w:p w14:paraId="10975211" w14:textId="77777777" w:rsidR="00404735" w:rsidRDefault="00000000">
                              <w:pPr>
                                <w:jc w:val="center"/>
                              </w:pPr>
                              <w:r>
                                <w:rPr>
                                  <w:sz w:val="20"/>
                                </w:rPr>
                                <w:t>(X2)</w:t>
                              </w:r>
                            </w:p>
                          </w:txbxContent>
                        </wps:txbx>
                        <wps:bodyPr rot="0" anchor="ctr" anchorCtr="0">
                          <a:noAutofit/>
                        </wps:bodyPr>
                      </wps:wsp>
                      <wps:wsp>
                        <wps:cNvPr id="203" name="Oval203"/>
                        <wps:cNvSpPr/>
                        <wps:spPr>
                          <a:xfrm>
                            <a:off x="0" y="1970000"/>
                            <a:ext cx="1850000" cy="760000"/>
                          </a:xfrm>
                          <a:prstGeom prst="ellipse">
                            <a:avLst/>
                          </a:prstGeom>
                          <a:solidFill>
                            <a:srgbClr val="FFFFFF"/>
                          </a:solidFill>
                          <a:ln w="12700">
                            <a:solidFill>
                              <a:srgbClr val="000000"/>
                            </a:solidFill>
                          </a:ln>
                        </wps:spPr>
                        <wps:txbx>
                          <w:txbxContent>
                            <w:p w14:paraId="2179C54A" w14:textId="77777777" w:rsidR="00404735" w:rsidRDefault="00000000">
                              <w:pPr>
                                <w:jc w:val="center"/>
                              </w:pPr>
                              <w:r>
                                <w:rPr>
                                  <w:sz w:val="20"/>
                                </w:rPr>
                                <w:t>Kepercayaan pada</w:t>
                              </w:r>
                            </w:p>
                            <w:p w14:paraId="57925BA8" w14:textId="77777777" w:rsidR="00404735" w:rsidRDefault="00000000">
                              <w:pPr>
                                <w:jc w:val="center"/>
                              </w:pPr>
                              <w:r>
                                <w:rPr>
                                  <w:sz w:val="20"/>
                                </w:rPr>
                                <w:t>Pemerintah (X3)</w:t>
                              </w:r>
                            </w:p>
                          </w:txbxContent>
                        </wps:txbx>
                        <wps:bodyPr rot="0" anchor="ctr" anchorCtr="0">
                          <a:noAutofit/>
                        </wps:bodyPr>
                      </wps:wsp>
                      <wps:wsp>
                        <wps:cNvPr id="204" name="Oval204"/>
                        <wps:cNvSpPr/>
                        <wps:spPr>
                          <a:xfrm>
                            <a:off x="3550000" y="1060000"/>
                            <a:ext cx="1850000" cy="760000"/>
                          </a:xfrm>
                          <a:prstGeom prst="ellipse">
                            <a:avLst/>
                          </a:prstGeom>
                          <a:solidFill>
                            <a:srgbClr val="FFFFFF"/>
                          </a:solidFill>
                          <a:ln w="12700">
                            <a:solidFill>
                              <a:srgbClr val="000000"/>
                            </a:solidFill>
                          </a:ln>
                        </wps:spPr>
                        <wps:txbx>
                          <w:txbxContent>
                            <w:p w14:paraId="53EEDBAC" w14:textId="77777777" w:rsidR="00404735" w:rsidRDefault="00000000">
                              <w:pPr>
                                <w:jc w:val="center"/>
                              </w:pPr>
                              <w:r>
                                <w:rPr>
                                  <w:sz w:val="20"/>
                                </w:rPr>
                                <w:t>Kepatuhan Wajib</w:t>
                              </w:r>
                            </w:p>
                            <w:p w14:paraId="0D6E2536" w14:textId="77777777" w:rsidR="00404735" w:rsidRDefault="00000000">
                              <w:pPr>
                                <w:jc w:val="center"/>
                              </w:pPr>
                              <w:r>
                                <w:rPr>
                                  <w:sz w:val="20"/>
                                </w:rPr>
                                <w:t>Pajak PBB-P2 (Y)</w:t>
                              </w:r>
                            </w:p>
                          </w:txbxContent>
                        </wps:txbx>
                        <wps:bodyPr rot="0" anchor="ctr" anchorCtr="0">
                          <a:noAutofit/>
                        </wps:bodyPr>
                      </wps:wsp>
                      <wps:wsp>
                        <wps:cNvPr id="205" name="Conn205"/>
                        <wps:cNvCnPr/>
                        <wps:spPr>
                          <a:xfrm>
                            <a:off x="1850000" y="530000"/>
                            <a:ext cx="1700000" cy="910000"/>
                          </a:xfrm>
                          <a:prstGeom prst="line">
                            <a:avLst/>
                          </a:prstGeom>
                          <a:ln w="12700">
                            <a:solidFill>
                              <a:srgbClr val="000000"/>
                            </a:solidFill>
                            <a:tailEnd type="triangle" w="med" len="med"/>
                          </a:ln>
                        </wps:spPr>
                        <wps:bodyPr/>
                      </wps:wsp>
                      <wps:wsp>
                        <wps:cNvPr id="206" name="Conn206"/>
                        <wps:cNvCnPr/>
                        <wps:spPr>
                          <a:xfrm>
                            <a:off x="1850000" y="1440000"/>
                            <a:ext cx="1700000" cy="1"/>
                          </a:xfrm>
                          <a:prstGeom prst="line">
                            <a:avLst/>
                          </a:prstGeom>
                          <a:ln w="12700">
                            <a:solidFill>
                              <a:srgbClr val="000000"/>
                            </a:solidFill>
                            <a:tailEnd type="triangle" w="med" len="med"/>
                          </a:ln>
                        </wps:spPr>
                        <wps:bodyPr/>
                      </wps:wsp>
                      <wps:wsp>
                        <wps:cNvPr id="207" name="Conn207"/>
                        <wps:cNvCnPr/>
                        <wps:spPr>
                          <a:xfrm flipV="1">
                            <a:off x="1850000" y="1440000"/>
                            <a:ext cx="1700000" cy="910000"/>
                          </a:xfrm>
                          <a:prstGeom prst="line">
                            <a:avLst/>
                          </a:prstGeom>
                          <a:ln w="12700">
                            <a:solidFill>
                              <a:srgbClr val="000000"/>
                            </a:solidFill>
                            <a:tailEnd type="triangle" w="med" len="med"/>
                          </a:ln>
                        </wps:spPr>
                        <wps:bodyPr/>
                      </wps:wsp>
                      <wps:wsp>
                        <wps:cNvPr id="208" name="Lbl208"/>
                        <wps:cNvSpPr txBox="1"/>
                        <wps:spPr>
                          <a:xfrm>
                            <a:off x="2329743" y="699933"/>
                            <a:ext cx="760095" cy="237490"/>
                          </a:xfrm>
                          <a:prstGeom prst="rect">
                            <a:avLst/>
                          </a:prstGeom>
                          <a:noFill/>
                          <a:ln>
                            <a:noFill/>
                          </a:ln>
                        </wps:spPr>
                        <wps:txbx>
                          <w:txbxContent>
                            <w:p w14:paraId="011324CE" w14:textId="77777777" w:rsidR="00404735" w:rsidRDefault="00000000">
                              <w:pPr>
                                <w:jc w:val="center"/>
                              </w:pPr>
                              <w:r>
                                <w:rPr>
                                  <w:i/>
                                  <w:sz w:val="20"/>
                                </w:rPr>
                                <w:t>HA1</w:t>
                              </w:r>
                            </w:p>
                          </w:txbxContent>
                        </wps:txbx>
                        <wps:bodyPr rot="0" anchor="ctr">
                          <a:spAutoFit/>
                        </wps:bodyPr>
                      </wps:wsp>
                      <wps:wsp>
                        <wps:cNvPr id="209" name="Lbl209"/>
                        <wps:cNvSpPr txBox="1"/>
                        <wps:spPr>
                          <a:xfrm>
                            <a:off x="2379738" y="1299719"/>
                            <a:ext cx="759460" cy="237490"/>
                          </a:xfrm>
                          <a:prstGeom prst="rect">
                            <a:avLst/>
                          </a:prstGeom>
                          <a:noFill/>
                          <a:ln>
                            <a:noFill/>
                          </a:ln>
                        </wps:spPr>
                        <wps:txbx>
                          <w:txbxContent>
                            <w:p w14:paraId="4961C3A5" w14:textId="77777777" w:rsidR="00404735" w:rsidRDefault="00000000">
                              <w:pPr>
                                <w:jc w:val="center"/>
                              </w:pPr>
                              <w:r>
                                <w:rPr>
                                  <w:i/>
                                  <w:sz w:val="20"/>
                                </w:rPr>
                                <w:t>HA2</w:t>
                              </w:r>
                            </w:p>
                          </w:txbxContent>
                        </wps:txbx>
                        <wps:bodyPr rot="0" anchor="ctr">
                          <a:spAutoFit/>
                        </wps:bodyPr>
                      </wps:wsp>
                      <wps:wsp>
                        <wps:cNvPr id="210" name="Lbl210"/>
                        <wps:cNvSpPr txBox="1"/>
                        <wps:spPr>
                          <a:xfrm>
                            <a:off x="2329743" y="1899573"/>
                            <a:ext cx="760095" cy="237490"/>
                          </a:xfrm>
                          <a:prstGeom prst="rect">
                            <a:avLst/>
                          </a:prstGeom>
                          <a:noFill/>
                          <a:ln>
                            <a:noFill/>
                          </a:ln>
                        </wps:spPr>
                        <wps:txbx>
                          <w:txbxContent>
                            <w:p w14:paraId="55EE8EB6" w14:textId="77777777" w:rsidR="00404735" w:rsidRDefault="00000000">
                              <w:pPr>
                                <w:jc w:val="center"/>
                              </w:pPr>
                              <w:r>
                                <w:rPr>
                                  <w:i/>
                                  <w:sz w:val="20"/>
                                </w:rPr>
                                <w:t>HA3</w:t>
                              </w:r>
                            </w:p>
                          </w:txbxContent>
                        </wps:txbx>
                        <wps:bodyPr rot="0" anchor="ctr">
                          <a:spAutoFit/>
                        </wps:bodyPr>
                      </wps:wsp>
                    </wpg:wgp>
                  </a:graphicData>
                </a:graphic>
              </wp:inline>
            </w:drawing>
          </mc:Choice>
          <mc:Fallback>
            <w:pict>
              <v:group w14:anchorId="5D639FC8" id="ModelKonseptual" o:spid="_x0000_s1026" style="width:425.2pt;height:203.15pt;mso-position-horizontal-relative:char;mso-position-vertical-relative:line" coordorigin=",1500" coordsize="54000,2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">
                <v:oval id="Oval201" o:spid="_x0000_s1027" style="position:absolute;top:1500;width:18500;height:7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" strokeweight="1pt">
                  <v:textbox>
                    <w:txbxContent>
                      <w:p w14:paraId="777F89CD" w14:textId="77777777" w:rsidR="00404735" w:rsidRDefault="00000000">
                        <w:pPr>
                          <w:jc w:val="center"/>
                        </w:pPr>
                        <w:r>
                          <w:rPr>
                            <w:sz w:val="20"/>
                          </w:rPr>
                          <w:t>Sosialisasi Perpajakan</w:t>
                        </w:r>
                      </w:p>
                      <w:p w14:paraId="72D66E50" w14:textId="77777777" w:rsidR="00404735" w:rsidRDefault="00000000">
                        <w:pPr>
                          <w:jc w:val="center"/>
                        </w:pPr>
                        <w:r>
                          <w:rPr>
                            <w:sz w:val="20"/>
                          </w:rPr>
                          <w:t>(X1)</w:t>
                        </w:r>
                      </w:p>
                    </w:txbxContent>
                  </v:textbox>
                </v:oval>
                <v:oval id="Oval202" o:spid="_x0000_s1028" style="position:absolute;top:10600;width:18500;height:7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" strokeweight="1pt">
                  <v:textbox>
                    <w:txbxContent>
                      <w:p w14:paraId="31BBE6F0" w14:textId="77777777" w:rsidR="00404735" w:rsidRDefault="00000000">
                        <w:pPr>
                          <w:jc w:val="center"/>
                        </w:pPr>
                        <w:r>
                          <w:rPr>
                            <w:sz w:val="20"/>
                          </w:rPr>
                          <w:t>Sanksi Perpajakan</w:t>
                        </w:r>
                      </w:p>
                      <w:p w14:paraId="10975211" w14:textId="77777777" w:rsidR="00404735" w:rsidRDefault="00000000">
                        <w:pPr>
                          <w:jc w:val="center"/>
                        </w:pPr>
                        <w:r>
                          <w:rPr>
                            <w:sz w:val="20"/>
                          </w:rPr>
                          <w:t>(X2)</w:t>
                        </w:r>
                      </w:p>
                    </w:txbxContent>
                  </v:textbox>
                </v:oval>
                <v:oval id="Oval203" o:spid="_x0000_s1029" style="position:absolute;top:19700;width:18500;height:7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" strokeweight="1pt">
                  <v:textbox>
                    <w:txbxContent>
                      <w:p w14:paraId="2179C54A" w14:textId="77777777" w:rsidR="00404735" w:rsidRDefault="00000000">
                        <w:pPr>
                          <w:jc w:val="center"/>
                        </w:pPr>
                        <w:r>
                          <w:rPr>
                            <w:sz w:val="20"/>
                          </w:rPr>
                          <w:t>Kepercayaan pada</w:t>
                        </w:r>
                      </w:p>
                      <w:p w14:paraId="57925BA8" w14:textId="77777777" w:rsidR="00404735" w:rsidRDefault="00000000">
                        <w:pPr>
                          <w:jc w:val="center"/>
                        </w:pPr>
                        <w:r>
                          <w:rPr>
                            <w:sz w:val="20"/>
                          </w:rPr>
                          <w:t>Pemerintah (X3)</w:t>
                        </w:r>
                      </w:p>
                    </w:txbxContent>
                  </v:textbox>
                </v:oval>
                <v:oval id="Oval204" o:spid="_x0000_s1030" style="position:absolute;left:35500;top:10600;width:18500;height:7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" strokeweight="1pt">
                  <v:textbox>
                    <w:txbxContent>
                      <w:p w14:paraId="53EEDBAC" w14:textId="77777777" w:rsidR="00404735" w:rsidRDefault="00000000">
                        <w:pPr>
                          <w:jc w:val="center"/>
                        </w:pPr>
                        <w:r>
                          <w:rPr>
                            <w:sz w:val="20"/>
                          </w:rPr>
                          <w:t>Kepatuhan Wajib</w:t>
                        </w:r>
                      </w:p>
                      <w:p w14:paraId="0D6E2536" w14:textId="77777777" w:rsidR="00404735" w:rsidRDefault="00000000">
                        <w:pPr>
                          <w:jc w:val="center"/>
                        </w:pPr>
                        <w:r>
                          <w:rPr>
                            <w:sz w:val="20"/>
                          </w:rPr>
                          <w:t>Pajak PBB-P2 (Y)</w:t>
                        </w:r>
                      </w:p>
                    </w:txbxContent>
                  </v:textbox>
                </v:oval>
                <v:line id="Conn205" o:spid="_x0000_s1031" style="position:absolute;visibility:visible;mso-wrap-style:square" from="18500,5300" to="35500,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" strokeweight="1pt">
                  <v:stroke endarrow="block"/>
                </v:line>
                <v:line id="Conn206" o:spid="_x0000_s1032" style="position:absolute;visibility:visible;mso-wrap-style:square" from="18500,14400" to="35500,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" strokeweight="1pt">
                  <v:stroke endarrow="block"/>
                </v:line>
                <v:line id="Conn207" o:spid="_x0000_s1033" style="position:absolute;flip:y;visibility:visible;mso-wrap-style:square" from="18500,14400" to="35500,2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" strokeweight="1pt">
                  <v:stroke endarrow="block"/>
                </v:line>
                <v:shapetype id="_x0000_t202" coordsize="21600,21600" o:spt="202" path="m,l,21600r21600,l21600,xe">
                  <v:stroke joinstyle="miter"/>
                  <v:path gradientshapeok="t" o:connecttype="rect"/>
                </v:shapetype>
                <v:shape id="Lbl208" o:spid="_x0000_s1034" type="#_x0000_t202" style="position:absolute;left:23297;top:6999;width:7601;height: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" filled="f" stroked="f">
                  <v:textbox style="mso-fit-shape-to-text:t">
                    <w:txbxContent>
                      <w:p w14:paraId="011324CE" w14:textId="77777777" w:rsidR="00404735" w:rsidRDefault="00000000">
                        <w:pPr>
                          <w:jc w:val="center"/>
                        </w:pPr>
                        <w:r>
                          <w:rPr>
                            <w:i/>
                            <w:sz w:val="20"/>
                          </w:rPr>
                          <w:t>HA1</w:t>
                        </w:r>
                      </w:p>
                    </w:txbxContent>
                  </v:textbox>
                </v:shape>
                <v:shape id="Lbl209" o:spid="_x0000_s1035" type="#_x0000_t202" style="position:absolute;left:23797;top:12997;width:7594;height: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" filled="f" stroked="f">
                  <v:textbox style="mso-fit-shape-to-text:t">
                    <w:txbxContent>
                      <w:p w14:paraId="4961C3A5" w14:textId="77777777" w:rsidR="00404735" w:rsidRDefault="00000000">
                        <w:pPr>
                          <w:jc w:val="center"/>
                        </w:pPr>
                        <w:r>
                          <w:rPr>
                            <w:i/>
                            <w:sz w:val="20"/>
                          </w:rPr>
                          <w:t>HA2</w:t>
                        </w:r>
                      </w:p>
                    </w:txbxContent>
                  </v:textbox>
                </v:shape>
                <v:shape id="Lbl210" o:spid="_x0000_s1036" type="#_x0000_t202" style="position:absolute;left:23297;top:18995;width:7601;height: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" filled="f" stroked="f">
                  <v:textbox style="mso-fit-shape-to-text:t">
                    <w:txbxContent>
                      <w:p w14:paraId="55EE8EB6" w14:textId="77777777" w:rsidR="00404735" w:rsidRDefault="00000000">
                        <w:pPr>
                          <w:jc w:val="center"/>
                        </w:pPr>
                        <w:r>
                          <w:rPr>
                            <w:i/>
                            <w:sz w:val="20"/>
                          </w:rPr>
                          <w:t>HA3</w:t>
                        </w:r>
                      </w:p>
                    </w:txbxContent>
                  </v:textbox>
                </v:shape>
                <w10:anchorlock/>
              </v:group>
            </w:pict>
          </mc:Fallback>
        </mc:AlternateContent>
      </w:r>
    </w:p>
    <w:p w14:paraId="685F4A13" w14:textId="77777777" w:rsidR="00404735" w:rsidRDefault="00000000" is_subsub="false" is_formula="false" orig_style="Caption Gambar">
      <w:pPr>
        <w:pStyle w:val="CaptionGambar"/>
        <w:ind w:left="0" w:right="0" w:firstLine="0" w:hanging="0"/>
        <w:jc w:val="center"/>
        <w:spacing w:before="120" w:after="240" w:line="240" w:lineRule="auto"/>
      </w:pPr>
      <w:bookmarkStart w:id="125" w:name="_Toc124"/>
      <w:r>
        <w:rPr>
          <w:rFonts w:ascii="Times New Roman" w:hAnsi="Times New Roman"/>
          <w:b/>
          <w:color w:val="000000"/>
          <w:sz w:val="24"/>
        </w:rPr>
        <w:t xml:space="preserve">Gambar </w:t>
      </w:r>
      <w:fldSimple w:instr=" STYLEREF 1 \s ">
        <w:r>
          <w:rPr>
            <w:rFonts w:ascii="Times New Roman" w:hAnsi="Times New Roman"/>
            <w:sz w:val="24"/>
            <w:b/>
            <w:color w:val="000000"/>
            <w:noProof/>
          </w:rPr>
          <w:t>2</w:t>
        </w:r>
      </w:fldSimple>
      <w:r>
        <w:rPr>
          <w:rFonts w:ascii="Times New Roman" w:hAnsi="Times New Roman"/>
          <w:b/>
          <w:color w:val="000000"/>
          <w:sz w:val="24"/>
        </w:rPr>
        <w:t>.</w:t>
      </w:r>
      <w:fldSimple w:instr=" SEQ Gambar \* ARABIC \s 1 ">
        <w:r>
          <w:rPr>
            <w:rFonts w:ascii="Times New Roman" w:hAnsi="Times New Roman"/>
            <w:sz w:val="24"/>
            <w:b/>
            <w:color w:val="000000"/>
            <w:noProof/>
          </w:rPr>
          <w:t>1</w:t>
        </w:r>
      </w:fldSimple>
      <w:r>
        <w:rPr>
          <w:rFonts w:ascii="Times New Roman" w:hAnsi="Times New Roman"/>
          <w:b/>
          <w:color w:val="000000"/>
          <w:sz w:val="24"/>
        </w:rPr>
        <w:t xml:space="preserve"> Model Konseptual Penelitian</w:t>
      </w:r>
      <w:bookmarkEnd w:id="125"/>
    </w:p>
    <w:p w14:paraId="2AA9AB12" w14:textId="77777777" w:rsidR="00404735" w:rsidRDefault="00000000" is_subsub="false" is_formula="false" orig_style="Heading 2">
      <w:bookmarkStart w:id="126" w:name="_Toc125"/>
      <w:pPr>
        <w:pStyle w:val="Heading2"/>
        <w:keepNext/>
        <w:jc w:val="left"/>
        <w:numPr>
          <w:ilvl w:val="1"/>
          <w:numId w:val="2"/>
        </w:numPr>
        <w:ind w:left="567" w:hanging="567"/>
        <w:outlineLvl w:val="1"/>
        <w:spacing w:before="240" w:after="120" w:line="276" w:lineRule="auto" w:beforeAutospacing="0" w:afterAutospacing="0"/>
      </w:pPr>
      <w:r>
        <w:rPr>
          <w:rFonts w:ascii="Times New Roman" w:hAnsi="Times New Roman"/>
          <w:b/>
          <w:i w:val="0"/>
          <w:color w:val="000000"/>
          <w:sz w:val="24"/>
        </w:rPr>
        <w:t>Hipotesis</w:t>
      </w:r>
      <w:bookmarkEnd w:id="126"/>
    </w:p>
    <w:p w14:paraId="4A14A828"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Berdasarkan rerangka pemikiran di atas, hipotesis penelitian dirumuskan sebagai berikut.</w:t>
      </w:r>
    </w:p>
    <w:p w14:paraId="1583DF79"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 xml:space="preserve">Sosialisasi perpajakan yang efektif meningkatkan pemahaman dan kesadaran wajib pajak, yang menurut Theory of Planned Behavior membentuk sikap positif dan mendorong niat untuk patuh. Temuan Arrasi (2022) serta Zagoto dan Zalogo (2023) menunjukkan sosialisasi perpajakan berpengaruh positif dan signifikan terhadap kepatuhan wajib pajak PBB, meskipun Hasna dan Halimatusadiah (2022) tidak menemukan pengaruh yang sama dalam konteks berbeda, yang mengindikasikan bahwa efektivitas sosialisasi bergantung pada </w:t>
      </w:r>
      <w:r>
        <w:rPr>
          <w:rFonts w:ascii="Times New Roman" w:hAnsi="Times New Roman"/>
          <w:b w:val="0"/>
          <w:i w:val="0"/>
          <w:color w:val="000000"/>
          <w:sz w:val="24"/>
        </w:rPr>
        <w:lastRenderedPageBreak/>
        <w:t>konteks wilayah dan karakteristik wajib pajak. Atas dasar itu dirumuskan hipotesis pertama.</w:t>
      </w:r>
    </w:p>
    <w:p w14:paraId="7F20EFBB" w14:textId="77777777" w:rsidR="00404735" w:rsidRDefault="00000000" is_subsub="false" is_formula="false" orig_style="Normal">
      <w:pPr>
        <w:spacing w:after="120" w:line="276" w:lineRule="auto" w:before="0"/>
        <w:ind w:left="567" w:right="0" w:firstLine="0"/>
        <w:jc w:val="both"/>
      </w:pPr>
      <w:r>
        <w:rPr>
          <w:rFonts w:ascii="Times New Roman" w:hAnsi="Times New Roman"/>
          <w:b/>
          <w:bCs/>
          <w:i w:val="0"/>
          <w:color w:val="000000"/>
          <w:sz w:val="24"/>
        </w:rPr>
        <w:t>HA1: Sosialisasi perpajakan berpengaruh positif terhadap kepatuhan wajib pajak PBB-P2 di wilayah Jakarta Barat.</w:t>
      </w:r>
    </w:p>
    <w:p w14:paraId="2D99E3C7"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Sanksi perpajakan yang tegas memperkuat persepsi kontrol perilaku dalam Theory of Planned Behavior, yaitu kesadaran wajib pajak akan konsekuensi atas kelalaian, sehingga mendorong kepatuhan. Yuniar dan Saputra (2022) serta Patriandari dan Amalia (2022) membuktikan sanksi perpajakan berpengaruh positif dan signifikan terhadap kepatuhan wajib pajak PBB-P2, meskipun Wulandari dan Wahyudi (2022) tidak menemukan pengaruh signifikan dalam penelitian di Desa Mranggen, yang menunjukkan bahwa efektivitas sanksi bergantung pada konsistensi penerapannya di lapangan. Atas dasar itu dirumuskan hipotesis kedua.</w:t>
      </w:r>
    </w:p>
    <w:p w14:paraId="03C4131A" w14:textId="77777777" w:rsidR="00404735" w:rsidRDefault="00000000" is_subsub="false" is_formula="false" orig_style="Normal">
      <w:pPr>
        <w:spacing w:after="120" w:line="276" w:lineRule="auto" w:before="0"/>
        <w:ind w:left="567" w:right="0" w:firstLine="0"/>
        <w:jc w:val="both"/>
      </w:pPr>
      <w:r>
        <w:rPr>
          <w:rFonts w:ascii="Times New Roman" w:hAnsi="Times New Roman"/>
          <w:b/>
          <w:bCs/>
          <w:i w:val="0"/>
          <w:color w:val="000000"/>
          <w:sz w:val="24"/>
        </w:rPr>
        <w:t>HA2: Sanksi perpajakan berpengaruh positif terhadap kepatuhan wajib pajak PBB-P2 di wilayah Jakarta Barat.</w:t>
      </w:r>
    </w:p>
    <w:p w14:paraId="141D7CB4" w14:textId="77777777" w:rsidR="00404735" w:rsidRDefault="00000000" is_subsub="false" is_formula="false" orig_style="Normal">
      <w:pPr>
        <w:spacing w:before="0" w:after="120" w:line="276" w:lineRule="auto" w:beforeAutospacing="0" w:afterAutospacing="0"/>
        <w:ind w:left="0" w:right="0" w:firstLine="567"/>
        <w:jc w:val="both"/>
      </w:pPr>
      <w:r/>
      <w:r>
        <w:rPr>
          <w:rFonts w:ascii="Times New Roman" w:hAnsi="Times New Roman"/>
          <w:b w:val="0"/>
          <w:i w:val="0"/>
          <w:color w:val="000000"/>
          <w:sz w:val="24"/>
        </w:rPr>
        <w:t xml:space="preserve">Kepercayaan pada pemerintah membentuk sikap positif terhadap sistem perpajakan dan mendorong kepatuhan sukarela. Hal ini sejalan dengan Slippery Slope </w:t>
      </w:r>
      <w:r>
        <w:rPr>
          <w:rFonts w:ascii="Times New Roman" w:hAnsi="Times New Roman"/>
          <w:b w:val="0"/>
          <w:i/>
          <w:color w:val="000000"/>
          <w:sz w:val="24"/>
        </w:rPr>
        <w:t>Framework</w:t>
      </w:r>
      <w:r>
        <w:rPr>
          <w:rFonts w:ascii="Times New Roman" w:hAnsi="Times New Roman"/>
          <w:b w:val="0"/>
          <w:i w:val="0"/>
          <w:color w:val="000000"/>
          <w:sz w:val="24"/>
        </w:rPr>
        <w:t xml:space="preserve"> (Kirchler </w:t>
      </w:r>
      <w:r>
        <w:rPr>
          <w:rFonts w:ascii="Times New Roman" w:hAnsi="Times New Roman"/>
          <w:b w:val="0"/>
          <w:i/>
          <w:color w:val="000000"/>
          <w:sz w:val="24"/>
        </w:rPr>
        <w:t>et al</w:t>
      </w:r>
      <w:r>
        <w:rPr>
          <w:rFonts w:ascii="Times New Roman" w:hAnsi="Times New Roman"/>
          <w:b w:val="0"/>
          <w:i w:val="0"/>
          <w:color w:val="000000"/>
          <w:sz w:val="24"/>
        </w:rPr>
        <w:t xml:space="preserve">., 2008) yang menempatkan kepercayaan sebagai pendorong utama kepatuhan sukarela. Gahung </w:t>
      </w:r>
      <w:r>
        <w:rPr>
          <w:rFonts w:ascii="Times New Roman" w:hAnsi="Times New Roman"/>
          <w:b w:val="0"/>
          <w:i/>
          <w:color w:val="000000"/>
          <w:sz w:val="24"/>
        </w:rPr>
        <w:t>et al</w:t>
      </w:r>
      <w:r>
        <w:rPr>
          <w:rFonts w:ascii="Times New Roman" w:hAnsi="Times New Roman"/>
          <w:b w:val="0"/>
          <w:i w:val="0"/>
          <w:color w:val="000000"/>
          <w:sz w:val="24"/>
        </w:rPr>
        <w:t xml:space="preserve">. (2024), Purnamasari </w:t>
      </w:r>
      <w:r>
        <w:rPr>
          <w:rFonts w:ascii="Times New Roman" w:hAnsi="Times New Roman"/>
          <w:b w:val="0"/>
          <w:i/>
          <w:color w:val="000000"/>
          <w:sz w:val="24"/>
        </w:rPr>
        <w:t>et al</w:t>
      </w:r>
      <w:r>
        <w:rPr>
          <w:rFonts w:ascii="Times New Roman" w:hAnsi="Times New Roman"/>
          <w:b w:val="0"/>
          <w:i w:val="0"/>
          <w:color w:val="000000"/>
          <w:sz w:val="24"/>
        </w:rPr>
        <w:t xml:space="preserve">. (2018), serta Ramadhan dan Tarmidi (2024) menemukan kepercayaan pada pemerintah berpengaruh positif terhadap kepatuhan wajib pajak PBB-P2, meskipun Zainudin </w:t>
      </w:r>
      <w:r>
        <w:rPr>
          <w:rFonts w:ascii="Times New Roman" w:hAnsi="Times New Roman"/>
          <w:b w:val="0"/>
          <w:i/>
          <w:color w:val="000000"/>
          <w:sz w:val="24"/>
        </w:rPr>
        <w:t>et al</w:t>
      </w:r>
      <w:r>
        <w:rPr>
          <w:rFonts w:ascii="Times New Roman" w:hAnsi="Times New Roman"/>
          <w:b w:val="0"/>
          <w:i w:val="0"/>
          <w:color w:val="000000"/>
          <w:sz w:val="24"/>
        </w:rPr>
        <w:t>. (2022) menemukan pengaruh kepercayaan bersifat tidak langsung dan dimediasi oleh persepsi keadilan pajak. Atas dasar itu dirumuskan hipotesis ketiga.</w:t>
      </w:r>
    </w:p>
    <w:p w14:paraId="4A45B7F8" w14:textId="77777777" w:rsidR="00404735" w:rsidRDefault="00000000" is_subsub="false" is_formula="false" orig_style="Normal">
      <w:pPr>
        <w:spacing w:after="120" w:line="276" w:lineRule="auto" w:before="0"/>
        <w:ind w:left="567" w:right="0" w:firstLine="0"/>
        <w:jc w:val="both"/>
      </w:pPr>
      <w:r>
        <w:rPr>
          <w:rFonts w:ascii="Times New Roman" w:hAnsi="Times New Roman"/>
          <w:b/>
          <w:bCs/>
          <w:i w:val="0"/>
          <w:color w:val="000000"/>
          <w:sz w:val="24"/>
        </w:rPr>
        <w:t>HA3: Kepercayaan pada pemerintah berpengaruh positif terhadap kepatuhan wajib pajak PBB-P2 di wilayah Jakarta Barat.</w:t>
      </w:r>
    </w:p>
    <w:p w14:paraId="6FAF6FDF" w14:textId="77777777" w:rsidR="00404735" w:rsidRDefault="00000000" is_subsub="false" is_formula="false" orig_style="Heading 1">
      <w:bookmarkStart w:id="127" w:name="_Toc126"/>
      <w:pPr>
        <w:pStyle w:val="Heading1"/>
        <w:keepNext/>
        <w:pageBreakBefore/>
        <w:jc w:val="center"/>
        <w:ind w:left="0" w:right="0" w:firstLine="0" w:hanging="0"/>
        <w:numPr>
          <w:ilvl w:val="0"/>
          <w:numId w:val="2"/>
        </w:numPr>
        <w:outlineLvl w:val="0"/>
        <w:spacing w:before="0" w:after="240" w:line="240" w:lineRule="auto" w:beforeAutospacing="0" w:afterAutospacing="0"/>
      </w:pPr>
      <w:r>
        <w:rPr>
          <w:rFonts w:ascii="Times New Roman" w:hAnsi="Times New Roman"/>
          <w:b/>
          <w:i w:val="0"/>
          <w:color w:val="000000"/>
          <w:sz w:val="28"/>
        </w:rPr>
      </w:r>
      <w:r>
        <w:rPr>
          <w:rFonts w:ascii="Times New Roman" w:hAnsi="Times New Roman"/>
          <w:b/>
          <w:i w:val="0"/>
          <w:color w:val="000000"/>
          <w:sz w:val="28"/>
        </w:rPr>
        <w:br/>
      </w:r>
      <w:r>
        <w:rPr>
          <w:rFonts w:ascii="Times New Roman" w:hAnsi="Times New Roman"/>
          <w:b/>
          <w:i w:val="0"/>
          <w:color w:val="000000"/>
          <w:sz w:val="28"/>
        </w:rPr>
        <w:t>DESAIN DAN METODE PENELITIAN</w:t>
      </w:r>
      <w:bookmarkEnd w:id="127"/>
    </w:p>
    <w:p w14:paraId="3863A27E" w14:textId="77777777" w:rsidR="00404735" w:rsidRDefault="00000000" is_subsub="false" is_formula="false" orig_style="Heading 2">
      <w:bookmarkStart w:id="128" w:name="_Toc127"/>
      <w:pPr>
        <w:pStyle w:val="Heading2"/>
        <w:keepNext/>
        <w:jc w:val="left"/>
        <w:numPr>
          <w:ilvl w:val="1"/>
          <w:numId w:val="2"/>
        </w:numPr>
        <w:ind w:left="567" w:hanging="567"/>
        <w:outlineLvl w:val="1"/>
        <w:spacing w:before="240" w:after="120" w:line="276" w:lineRule="auto" w:beforeAutospacing="0" w:afterAutospacing="0"/>
      </w:pPr>
      <w:r>
        <w:rPr>
          <w:rFonts w:ascii="Times New Roman" w:hAnsi="Times New Roman"/>
          <w:b/>
          <w:i w:val="0"/>
          <w:color w:val="000000"/>
          <w:sz w:val="24"/>
        </w:rPr>
        <w:t>Jenis Penelitian</w:t>
      </w:r>
      <w:bookmarkEnd w:id="128"/>
    </w:p>
    <w:p w14:paraId="615D8593"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Penelitian ini menggunakan pendekatan kuantitatif dengan jenis penelitian kausal. Pendekatan kuantitatif merupakan metode penelitian yang berlandaskan pada filsafat positivisme, digunakan untuk meneliti populasi atau sampel tertentu, dengan pengumpulan data menggunakan instrumen penelitian serta analisis data bersifat statistik guna menguji hipotesis yang telah ditetapkan (Sugiyono, 2023). Jenis penelitian kausal dipilih karena penelitian bertujuan menguji pengaruh variabel bebas, yaitu sosialisasi perpajakan, sanksi perpajakan, dan kepercayaan pada pemerintah, terhadap variabel terikat, yaitu kepatuhan wajib pajak PBB-P2.</w:t>
      </w:r>
    </w:p>
    <w:p w14:paraId="5BDA5562"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Data yang digunakan merupakan data primer yang diperoleh melalui penyebaran kuesioner kepada wajib pajak PBB-P2 di wilayah Jakarta Barat. Penelitian bersifat lintas-seksi karena data dikumpulkan pada satu periode tertentu untuk menggambarkan kondisi kepatuhan wajib pajak pada saat penelitian dilakukan.</w:t>
      </w:r>
    </w:p>
    <w:p w14:paraId="620A698A" w14:textId="77777777" w:rsidR="00404735" w:rsidRDefault="00000000" is_subsub="false" is_formula="false" orig_style="Heading 2">
      <w:bookmarkStart w:id="129" w:name="_Toc128"/>
      <w:pPr>
        <w:pStyle w:val="Heading2"/>
        <w:keepNext/>
        <w:jc w:val="left"/>
        <w:numPr>
          <w:ilvl w:val="1"/>
          <w:numId w:val="2"/>
        </w:numPr>
        <w:ind w:left="567" w:hanging="567"/>
        <w:outlineLvl w:val="1"/>
        <w:spacing w:before="240" w:after="120" w:line="276" w:lineRule="auto" w:beforeAutospacing="0" w:afterAutospacing="0"/>
      </w:pPr>
      <w:r>
        <w:rPr>
          <w:rFonts w:ascii="Times New Roman" w:hAnsi="Times New Roman"/>
          <w:b/>
          <w:i w:val="0"/>
          <w:color w:val="000000"/>
          <w:sz w:val="24"/>
        </w:rPr>
        <w:t>Definisi Operasionalisasi Variabel dan Pengukuran Variabel</w:t>
      </w:r>
      <w:bookmarkEnd w:id="129"/>
    </w:p>
    <w:p w14:paraId="447FC446"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t>Variabel penelitian merupakan suatu atribut, sifat, atau nilai dari objek yang mempunyai variasi tertentu yang ditetapkan peneliti untuk dipelajari dan ditarik kesimpulannya (Sugiyono, 2023). Penelitian ini menggunakan satu variabel terikat, yaitu kepatuhan wajib pajak PBB-P2 (Y), serta tiga variabel bebas, yaitu sosialisasi perpajakan (X1), sanksi perpajakan (X2), dan kepercayaan pada pemerintah (X3). Definisi operasional dan indikator setiap variabel diuraikan sebagai berikut.</w:t>
      </w:r>
    </w:p>
    <w:p w14:paraId="749995E8" w14:textId="77777777" w:rsidR="00404735" w:rsidRDefault="00000000" is_subsub="true" is_formula="false" orig_style="Heading 3">
      <w:bookmarkStart w:id="130" w:name="_Toc129"/>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Kepatuhan Wajib Pajak Pbb-P2 (y)</w:t>
      </w:r>
      <w:bookmarkEnd w:id="130"/>
    </w:p>
    <w:p w14:paraId="4318D560"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Kepatuhan wajib pajak PBB-P2 merupakan kesediaan wajib pajak memenuhi kewajiban perpajakannya dengan melunasi pajak terutang yang tercantum dalam SPPT secara benar dan tepat waktu. Variabel ini diukur melalui indikator kesadaran mendaftarkan dan melaporkan objek pajak, ketepatan menghitung besaran pajak terutang, ketepatan waktu pembayaran, serta ketiadaan tunggakan pajak (Arrasi, 2022; Yuniar &amp; Saputra, 2022).</w:t>
      </w:r>
    </w:p>
    <w:p w14:paraId="2ABE9387" w14:textId="77777777" w:rsidR="00404735" w:rsidRDefault="00000000" is_subsub="true" is_formula="false" orig_style="Heading 3">
      <w:bookmarkStart w:id="131" w:name="_Toc130"/>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Sosialisasi Perpajakan (x1)</w:t>
      </w:r>
      <w:bookmarkEnd w:id="131"/>
    </w:p>
    <w:p w14:paraId="6C2E58BD"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Sosialisasi perpajakan merupakan upaya otoritas pajak menyampaikan informasi, pengetahuan, dan pemahaman perpajakan kepada wajib pajak agar memahami hak dan kewajibannya. Variabel ini diukur melalui indikator penyelenggaraan kegiatan sosialisasi secara berkala, ragam media dan saluran penyampaian informasi, kejelasan dan kualitas materi yang disampaikan, serta tingkat pemahaman wajib pajak sebagai hasil sosialisasi (Zagoto &amp; Zalogo, 2023).</w:t>
      </w:r>
    </w:p>
    <w:p w14:paraId="490F3B6D" w14:textId="77777777" w:rsidR="00404735" w:rsidRDefault="00000000" is_subsub="true" is_formula="false" orig_style="Heading 3">
      <w:bookmarkStart w:id="132" w:name="_Toc131"/>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Sanksi Perpajakan (x2)</w:t>
      </w:r>
      <w:bookmarkEnd w:id="132"/>
    </w:p>
    <w:p w14:paraId="6867ACAC"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Sanksi perpajakan merupakan jaminan bahwa ketentuan peraturan perpajakan akan dipatuhi sekaligus alat pencegah agar wajib pajak tidak melanggar kewajibannya. Variabel ini diukur melalui indikator pengetahuan wajib pajak mengenai keberadaan sanksi, ketegasan dan konsistensi penerapan sanksi, tingkat keberatan sanksi yang dikenakan, serta keadilan pengenaan sanksi (Yuniar &amp; Saputra, 2022; Patriandari &amp; Amalia, 2022).</w:t>
      </w:r>
    </w:p>
    <w:p w14:paraId="6C5827C9" w14:textId="77777777" w:rsidR="00404735" w:rsidRDefault="00000000" is_subsub="true" is_formula="false" orig_style="Heading 3">
      <w:bookmarkStart w:id="133" w:name="_Toc132"/>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Kepercayaan pada Pemerintah (x3)</w:t>
      </w:r>
      <w:bookmarkEnd w:id="133"/>
    </w:p>
    <w:p w14:paraId="0CFB3A0A"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Kepercayaan pada pemerintah merupakan keyakinan wajib pajak bahwa pemerintah mengelola penerimaan pajak secara jujur, transparan, dan bertanggung jawab serta menggunakannya untuk kepentingan publik. Variabel ini diukur melalui indikator keyakinan terhadap kejujuran pengelolaan pajak, persepsi transparansi penggunaan dana pajak, akuntabilitas pemerintah daerah, serta manfaat pembangunan yang dirasakan wajib pajak (Gahung </w:t>
      </w:r>
      <w:r>
        <w:rPr>
          <w:rFonts w:ascii="Times New Roman" w:hAnsi="Times New Roman"/>
          <w:b w:val="0"/>
          <w:i/>
          <w:color w:val="000000"/>
          <w:sz w:val="24"/>
        </w:rPr>
        <w:t>et al</w:t>
      </w:r>
      <w:r>
        <w:rPr>
          <w:rFonts w:ascii="Times New Roman" w:hAnsi="Times New Roman"/>
          <w:b w:val="0"/>
          <w:i w:val="0"/>
          <w:color w:val="000000"/>
          <w:sz w:val="24"/>
        </w:rPr>
        <w:t>., 2024; Ramadhan &amp; Tarmidi, 2024).</w:t>
      </w:r>
    </w:p>
    <w:p w14:paraId="1CEE5A64"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Setiap indikator dijabarkan menjadi butir pernyataan yang diukur menggunakan skala Likert lima poin, yaitu sangat tidak setuju (skor 1), tidak setuju (skor 2), netral (skor 3), setuju (skor 4), dan sangat setuju (skor 5) (Sugiyono, 2023). Ringkasan operasionalisasi variabel disajikan pada Tabel 3.1.</w:t>
      </w:r>
    </w:p>
    <w:p w14:paraId="7F0E701D" w14:textId="77777777" w:rsidR="00404735" w:rsidRDefault="00000000" is_subsub="false" is_formula="false" orig_style="Caption Tabel">
      <w:pPr>
        <w:pStyle w:val="CaptionTabel"/>
        <w:ind w:left="0" w:right="0" w:firstLine="0" w:hanging="0"/>
        <w:jc w:val="center"/>
        <w:spacing w:before="240" w:after="120" w:line="240" w:lineRule="auto"/>
      </w:pPr>
      <w:bookmarkStart w:id="134" w:name="_Toc133"/>
      <w:r>
        <w:rPr>
          <w:rFonts w:ascii="Times New Roman" w:hAnsi="Times New Roman"/>
          <w:b/>
          <w:color w:val="000000"/>
          <w:sz w:val="24"/>
        </w:rPr>
        <w:t xml:space="preserve">Tabel </w:t>
      </w:r>
      <w:fldSimple w:instr=" STYLEREF 1 \s ">
        <w:r>
          <w:rPr>
            <w:rFonts w:ascii="Times New Roman" w:hAnsi="Times New Roman"/>
            <w:sz w:val="24"/>
            <w:b/>
            <w:color w:val="000000"/>
            <w:noProof/>
          </w:rPr>
          <w:t>3</w:t>
        </w:r>
      </w:fldSimple>
      <w:r>
        <w:rPr>
          <w:rFonts w:ascii="Times New Roman" w:hAnsi="Times New Roman"/>
          <w:b/>
          <w:color w:val="000000"/>
          <w:sz w:val="24"/>
        </w:rPr>
        <w:t>.</w:t>
      </w:r>
      <w:fldSimple w:instr=" SEQ Tabel \* ARABIC \s 1 ">
        <w:r>
          <w:rPr>
            <w:rFonts w:ascii="Times New Roman" w:hAnsi="Times New Roman"/>
            <w:sz w:val="24"/>
            <w:b/>
            <w:color w:val="000000"/>
            <w:noProof/>
          </w:rPr>
          <w:t>1</w:t>
        </w:r>
      </w:fldSimple>
      <w:r>
        <w:rPr>
          <w:rFonts w:ascii="Times New Roman" w:hAnsi="Times New Roman"/>
          <w:b/>
          <w:color w:val="000000"/>
          <w:sz w:val="24"/>
        </w:rPr>
        <w:t xml:space="preserve"> Operasionalisasi Variabel Penelitian</w:t>
      </w:r>
      <w:bookmarkEnd w:id="134"/>
    </w:p>
    <w:tbl>
      <w:tblPr>
        <w:tblW w:w="7937" w:type="dxa"/>
        <w:jc w:val="center"/>
        <w:tblCellMar>
          <w:left w:w="10" w:type="dxa"/>
          <w:right w:w="10" w:type="dxa"/>
        </w:tblCellMar>
        <w:tblLook w:val="0000" w:firstRow="0" w:lastRow="0" w:firstColumn="0" w:lastColumn="0" w:noHBand="0" w:noVBand="0"/>
        <w:tblBorders>
          <w:top w:val="single" w:sz="8" w:space="0" w:color="000000"/>
          <w:bottom w:val="single" w:sz="8" w:space="0" w:color="000000"/>
          <w:left w:val="none"/>
          <w:right w:val="none"/>
          <w:insideH w:val="single" w:sz="4" w:space="0" w:color="000000"/>
          <w:insideV w:val="none"/>
        </w:tblBorders>
      </w:tblPr>
      <w:tblGrid>
        <w:gridCol w:w="2000"/>
        <w:gridCol w:w="4137"/>
        <w:gridCol w:w="900"/>
        <w:gridCol w:w="900"/>
      </w:tblGrid>
      <w:tr w:rsidR="00404735" w14:paraId="5D1C040C" w14:textId="77777777">
        <w:tblPrEx>
          <w:tblCellMar>
            <w:top w:w="0" w:type="dxa"/>
            <w:bottom w:w="0" w:type="dxa"/>
          </w:tblCellMar>
        </w:tblPrEx>
        <w:trPr>
          <w:jc w:val="center"/>
          <w:cantSplit/>
          <w:tblHeader/>
        </w:trPr>
        <w:tc>
          <w:tcPr>
            <w:tcW w:w="20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67EFF4CE" w14:textId="77777777" w:rsidR="00404735" w:rsidRDefault="00000000">
            <w:pPr>
              <w:spacing w:before="40" w:after="40" w:line="240" w:lineRule="auto"/>
              <w:jc w:val="center"/>
            </w:pPr>
            <w:r>
              <w:rPr>
                <w:rFonts w:ascii="Times New Roman" w:hAnsi="Times New Roman"/>
                <w:b/>
                <w:bCs/>
                <w:color w:val="000000"/>
                <w:sz w:val="20"/>
              </w:rPr>
              <w:t>Variabel</w:t>
            </w:r>
          </w:p>
        </w:tc>
        <w:tc>
          <w:tcPr>
            <w:tcW w:w="4137"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7B8F6ECE" w14:textId="77777777" w:rsidR="00404735" w:rsidRDefault="00000000">
            <w:pPr>
              <w:spacing w:before="40" w:after="40" w:line="240" w:lineRule="auto"/>
              <w:jc w:val="center"/>
            </w:pPr>
            <w:r>
              <w:rPr>
                <w:rFonts w:ascii="Times New Roman" w:hAnsi="Times New Roman"/>
                <w:b/>
                <w:bCs/>
                <w:color w:val="000000"/>
                <w:sz w:val="20"/>
              </w:rPr>
              <w:t>Indikator</w:t>
            </w:r>
          </w:p>
        </w:tc>
        <w:tc>
          <w:tcPr>
            <w:tcW w:w="9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489ACB39" w14:textId="77777777" w:rsidR="00404735" w:rsidRDefault="00000000">
            <w:pPr>
              <w:spacing w:before="40" w:after="40" w:line="240" w:lineRule="auto"/>
              <w:jc w:val="center"/>
            </w:pPr>
            <w:r>
              <w:rPr>
                <w:rFonts w:ascii="Times New Roman" w:hAnsi="Times New Roman"/>
                <w:b/>
                <w:bCs/>
                <w:color w:val="000000"/>
                <w:sz w:val="20"/>
              </w:rPr>
              <w:t>No. Item</w:t>
            </w:r>
          </w:p>
        </w:tc>
        <w:tc>
          <w:tcPr>
            <w:tcW w:w="9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7573233E" w14:textId="77777777" w:rsidR="00404735" w:rsidRDefault="00000000">
            <w:pPr>
              <w:spacing w:before="40" w:after="40" w:line="240" w:lineRule="auto"/>
              <w:jc w:val="center"/>
            </w:pPr>
            <w:r>
              <w:rPr>
                <w:rFonts w:ascii="Times New Roman" w:hAnsi="Times New Roman"/>
                <w:b/>
                <w:bCs/>
                <w:color w:val="000000"/>
                <w:sz w:val="20"/>
              </w:rPr>
              <w:t>Skala</w:t>
            </w:r>
          </w:p>
        </w:tc>
      </w:tr>
      <w:tr w:rsidR="00404735" w14:paraId="599DEF09" w14:textId="77777777">
        <w:tblPrEx>
          <w:tblCellMar>
            <w:top w:w="0" w:type="dxa"/>
            <w:bottom w:w="0" w:type="dxa"/>
          </w:tblCellMar>
        </w:tblPrEx>
        <w:trPr>
          <w:jc w:val="center"/>
          <w:cantSplit/>
        </w:trPr>
        <w:tc>
          <w:tcPr>
            <w:tcW w:w="2000" w:type="dxa"/>
            <w:tcMar>
              <w:top w:w="40" w:type="dxa"/>
              <w:left w:w="80" w:type="dxa"/>
              <w:bottom w:w="40" w:type="dxa"/>
              <w:right w:w="80" w:type="dxa"/>
            </w:tcMar>
            <w:vAlign w:val="center"/>
            <w:tcBorders>
              <w:top w:val="none"/>
              <w:left w:val="none"/>
              <w:right w:val="none"/>
              <w:bottom w:val="single" w:sz="4" w:space="0" w:color="000000"/>
            </w:tcBorders>
          </w:tcPr>
          <w:p w14:paraId="16D42A63" w14:textId="77777777" w:rsidR="00404735" w:rsidRDefault="00000000">
            <w:pPr>
              <w:spacing w:before="40" w:after="40" w:line="240" w:lineRule="auto"/>
            </w:pPr>
            <w:r>
              <w:rPr>
                <w:rFonts w:ascii="Times New Roman" w:hAnsi="Times New Roman"/>
                <w:color w:val="000000"/>
                <w:sz w:val="20"/>
              </w:rPr>
              <w:lastRenderedPageBreak/>
              <w:t>Kepatuhan Wajib Pajak PBB-P2 (Y)</w:t>
            </w:r>
          </w:p>
        </w:tc>
        <w:tc>
          <w:tcPr>
            <w:tcW w:w="4137" w:type="dxa"/>
            <w:tcMar>
              <w:top w:w="40" w:type="dxa"/>
              <w:left w:w="80" w:type="dxa"/>
              <w:bottom w:w="40" w:type="dxa"/>
              <w:right w:w="80" w:type="dxa"/>
            </w:tcMar>
            <w:vAlign w:val="center"/>
            <w:tcBorders>
              <w:top w:val="none"/>
              <w:left w:val="none"/>
              <w:right w:val="none"/>
              <w:bottom w:val="single" w:sz="4" w:space="0" w:color="000000"/>
            </w:tcBorders>
          </w:tcPr>
          <w:p w14:paraId="646ACC43" w14:textId="77777777" w:rsidR="00404735" w:rsidRDefault="00000000">
            <w:pPr>
              <w:spacing w:before="40" w:after="40" w:line="240" w:lineRule="auto"/>
              <w:jc w:val="both"/>
            </w:pPr>
            <w:r>
              <w:rPr>
                <w:rFonts w:ascii="Times New Roman" w:hAnsi="Times New Roman"/>
                <w:color w:val="000000"/>
                <w:sz w:val="20"/>
              </w:rPr>
              <w:t>(1) Kesadaran mendaftarkan dan melaporkan objek pajak; (2) ketepatan menghitung pajak terutang; (3) ketepatan waktu pembayaran; (4) ketiadaan tunggakan (Arrasi, 2022; Yuniar &amp; Saputra, 2022).</w:t>
            </w:r>
          </w:p>
        </w:tc>
        <w:tc>
          <w:tcPr>
            <w:tcW w:w="900" w:type="dxa"/>
            <w:tcMar>
              <w:top w:w="40" w:type="dxa"/>
              <w:left w:w="80" w:type="dxa"/>
              <w:bottom w:w="40" w:type="dxa"/>
              <w:right w:w="80" w:type="dxa"/>
            </w:tcMar>
            <w:vAlign w:val="center"/>
            <w:tcBorders>
              <w:top w:val="none"/>
              <w:left w:val="none"/>
              <w:right w:val="none"/>
              <w:bottom w:val="single" w:sz="4" w:space="0" w:color="000000"/>
            </w:tcBorders>
          </w:tcPr>
          <w:p w14:paraId="702B1E4C" w14:textId="77777777" w:rsidR="00404735" w:rsidRDefault="00000000">
            <w:pPr>
              <w:spacing w:before="40" w:after="40" w:line="240" w:lineRule="auto"/>
              <w:jc w:val="center"/>
            </w:pPr>
            <w:r>
              <w:rPr>
                <w:rFonts w:ascii="Times New Roman" w:hAnsi="Times New Roman"/>
                <w:color w:val="000000"/>
                <w:sz w:val="20"/>
              </w:rPr>
              <w:t>1–4</w:t>
            </w:r>
          </w:p>
        </w:tc>
        <w:tc>
          <w:tcPr>
            <w:tcW w:w="900" w:type="dxa"/>
            <w:tcMar>
              <w:top w:w="40" w:type="dxa"/>
              <w:left w:w="80" w:type="dxa"/>
              <w:bottom w:w="40" w:type="dxa"/>
              <w:right w:w="80" w:type="dxa"/>
            </w:tcMar>
            <w:vAlign w:val="center"/>
            <w:tcBorders>
              <w:top w:val="none"/>
              <w:left w:val="none"/>
              <w:right w:val="none"/>
              <w:bottom w:val="single" w:sz="4" w:space="0" w:color="000000"/>
            </w:tcBorders>
          </w:tcPr>
          <w:p w14:paraId="41364265" w14:textId="77777777" w:rsidR="00404735" w:rsidRDefault="00000000">
            <w:pPr>
              <w:spacing w:before="40" w:after="40" w:line="240" w:lineRule="auto"/>
              <w:jc w:val="center"/>
            </w:pPr>
            <w:r>
              <w:rPr>
                <w:rFonts w:ascii="Times New Roman" w:hAnsi="Times New Roman"/>
                <w:color w:val="000000"/>
                <w:sz w:val="20"/>
              </w:rPr>
              <w:t>Likert 1–5</w:t>
            </w:r>
          </w:p>
        </w:tc>
      </w:tr>
      <w:tr w:rsidR="00404735" w14:paraId="2622EE45" w14:textId="77777777">
        <w:tblPrEx>
          <w:tblCellMar>
            <w:top w:w="0" w:type="dxa"/>
            <w:bottom w:w="0" w:type="dxa"/>
          </w:tblCellMar>
        </w:tblPrEx>
        <w:trPr>
          <w:jc w:val="center"/>
          <w:cantSplit/>
        </w:trPr>
        <w:tc>
          <w:tcPr>
            <w:tcW w:w="2000" w:type="dxa"/>
            <w:tcMar>
              <w:top w:w="40" w:type="dxa"/>
              <w:left w:w="80" w:type="dxa"/>
              <w:bottom w:w="40" w:type="dxa"/>
              <w:right w:w="80" w:type="dxa"/>
            </w:tcMar>
            <w:vAlign w:val="center"/>
            <w:tcBorders>
              <w:top w:val="none"/>
              <w:left w:val="none"/>
              <w:right w:val="none"/>
              <w:bottom w:val="single" w:sz="4" w:space="0" w:color="000000"/>
            </w:tcBorders>
          </w:tcPr>
          <w:p w14:paraId="1AE81E03" w14:textId="77777777" w:rsidR="00404735" w:rsidRDefault="00000000">
            <w:pPr>
              <w:spacing w:before="40" w:after="40" w:line="240" w:lineRule="auto"/>
            </w:pPr>
            <w:r>
              <w:rPr>
                <w:rFonts w:ascii="Times New Roman" w:hAnsi="Times New Roman"/>
                <w:color w:val="000000"/>
                <w:sz w:val="20"/>
              </w:rPr>
              <w:t>Sosialisasi Perpajakan (X1)</w:t>
            </w:r>
          </w:p>
        </w:tc>
        <w:tc>
          <w:tcPr>
            <w:tcW w:w="4137" w:type="dxa"/>
            <w:tcMar>
              <w:top w:w="40" w:type="dxa"/>
              <w:left w:w="80" w:type="dxa"/>
              <w:bottom w:w="40" w:type="dxa"/>
              <w:right w:w="80" w:type="dxa"/>
            </w:tcMar>
            <w:vAlign w:val="center"/>
            <w:tcBorders>
              <w:top w:val="none"/>
              <w:left w:val="none"/>
              <w:right w:val="none"/>
              <w:bottom w:val="single" w:sz="4" w:space="0" w:color="000000"/>
            </w:tcBorders>
          </w:tcPr>
          <w:p w14:paraId="55D42896" w14:textId="77777777" w:rsidR="00404735" w:rsidRDefault="00000000">
            <w:pPr>
              <w:spacing w:before="40" w:after="40" w:line="240" w:lineRule="auto"/>
              <w:jc w:val="both"/>
            </w:pPr>
            <w:r>
              <w:rPr>
                <w:rFonts w:ascii="Times New Roman" w:hAnsi="Times New Roman"/>
                <w:color w:val="000000"/>
                <w:sz w:val="20"/>
              </w:rPr>
              <w:t>(1) Penyelenggaraan sosialisasi berkala; (2) ragam media dan saluran; (3) kejelasan dan kualitas materi; (4) tingkat pemahaman wajib pajak (Zagoto &amp; Zalogo, 2023).</w:t>
            </w:r>
          </w:p>
        </w:tc>
        <w:tc>
          <w:tcPr>
            <w:tcW w:w="900" w:type="dxa"/>
            <w:tcMar>
              <w:top w:w="40" w:type="dxa"/>
              <w:left w:w="80" w:type="dxa"/>
              <w:bottom w:w="40" w:type="dxa"/>
              <w:right w:w="80" w:type="dxa"/>
            </w:tcMar>
            <w:vAlign w:val="center"/>
            <w:tcBorders>
              <w:top w:val="none"/>
              <w:left w:val="none"/>
              <w:right w:val="none"/>
              <w:bottom w:val="single" w:sz="4" w:space="0" w:color="000000"/>
            </w:tcBorders>
          </w:tcPr>
          <w:p w14:paraId="4725F7FB" w14:textId="77777777" w:rsidR="00404735" w:rsidRDefault="00000000">
            <w:pPr>
              <w:spacing w:before="40" w:after="40" w:line="240" w:lineRule="auto"/>
              <w:jc w:val="center"/>
            </w:pPr>
            <w:r>
              <w:rPr>
                <w:rFonts w:ascii="Times New Roman" w:hAnsi="Times New Roman"/>
                <w:color w:val="000000"/>
                <w:sz w:val="20"/>
              </w:rPr>
              <w:t>5–8</w:t>
            </w:r>
          </w:p>
        </w:tc>
        <w:tc>
          <w:tcPr>
            <w:tcW w:w="900" w:type="dxa"/>
            <w:tcMar>
              <w:top w:w="40" w:type="dxa"/>
              <w:left w:w="80" w:type="dxa"/>
              <w:bottom w:w="40" w:type="dxa"/>
              <w:right w:w="80" w:type="dxa"/>
            </w:tcMar>
            <w:vAlign w:val="center"/>
            <w:tcBorders>
              <w:top w:val="none"/>
              <w:left w:val="none"/>
              <w:right w:val="none"/>
              <w:bottom w:val="single" w:sz="4" w:space="0" w:color="000000"/>
            </w:tcBorders>
          </w:tcPr>
          <w:p w14:paraId="16A72AD5" w14:textId="77777777" w:rsidR="00404735" w:rsidRDefault="00000000">
            <w:pPr>
              <w:spacing w:before="40" w:after="40" w:line="240" w:lineRule="auto"/>
              <w:jc w:val="center"/>
            </w:pPr>
            <w:r>
              <w:rPr>
                <w:rFonts w:ascii="Times New Roman" w:hAnsi="Times New Roman"/>
                <w:color w:val="000000"/>
                <w:sz w:val="20"/>
              </w:rPr>
              <w:t>Likert 1–5</w:t>
            </w:r>
          </w:p>
        </w:tc>
      </w:tr>
      <w:tr w:rsidR="00404735" w14:paraId="5821BC01" w14:textId="77777777">
        <w:tblPrEx>
          <w:tblCellMar>
            <w:top w:w="0" w:type="dxa"/>
            <w:bottom w:w="0" w:type="dxa"/>
          </w:tblCellMar>
        </w:tblPrEx>
        <w:trPr>
          <w:jc w:val="center"/>
          <w:cantSplit/>
        </w:trPr>
        <w:tc>
          <w:tcPr>
            <w:tcW w:w="2000" w:type="dxa"/>
            <w:tcMar>
              <w:top w:w="40" w:type="dxa"/>
              <w:left w:w="80" w:type="dxa"/>
              <w:bottom w:w="40" w:type="dxa"/>
              <w:right w:w="80" w:type="dxa"/>
            </w:tcMar>
            <w:vAlign w:val="center"/>
            <w:tcBorders>
              <w:top w:val="none"/>
              <w:left w:val="none"/>
              <w:right w:val="none"/>
              <w:bottom w:val="single" w:sz="4" w:space="0" w:color="000000"/>
            </w:tcBorders>
          </w:tcPr>
          <w:p w14:paraId="251B8C15" w14:textId="77777777" w:rsidR="00404735" w:rsidRDefault="00000000">
            <w:pPr>
              <w:spacing w:before="40" w:after="40" w:line="240" w:lineRule="auto"/>
            </w:pPr>
            <w:r>
              <w:rPr>
                <w:rFonts w:ascii="Times New Roman" w:hAnsi="Times New Roman"/>
                <w:color w:val="000000"/>
                <w:sz w:val="20"/>
              </w:rPr>
              <w:t>Sanksi Perpajakan (X2)</w:t>
            </w:r>
          </w:p>
        </w:tc>
        <w:tc>
          <w:tcPr>
            <w:tcW w:w="4137" w:type="dxa"/>
            <w:tcMar>
              <w:top w:w="40" w:type="dxa"/>
              <w:left w:w="80" w:type="dxa"/>
              <w:bottom w:w="40" w:type="dxa"/>
              <w:right w:w="80" w:type="dxa"/>
            </w:tcMar>
            <w:vAlign w:val="center"/>
            <w:tcBorders>
              <w:top w:val="none"/>
              <w:left w:val="none"/>
              <w:right w:val="none"/>
              <w:bottom w:val="single" w:sz="4" w:space="0" w:color="000000"/>
            </w:tcBorders>
          </w:tcPr>
          <w:p w14:paraId="2CD9D241" w14:textId="77777777" w:rsidR="00404735" w:rsidRDefault="00000000">
            <w:pPr>
              <w:spacing w:before="40" w:after="40" w:line="240" w:lineRule="auto"/>
              <w:jc w:val="both"/>
            </w:pPr>
            <w:r>
              <w:rPr>
                <w:rFonts w:ascii="Times New Roman" w:hAnsi="Times New Roman"/>
                <w:color w:val="000000"/>
                <w:sz w:val="20"/>
              </w:rPr>
              <w:t>(1) Pengetahuan atas sanksi; (2) ketegasan dan konsistensi penerapan; (3) tingkat keberatan sanksi; (4) keadilan pengenaan (Yuniar &amp; Saputra, 2022; Patriandari &amp; Amalia, 2022).</w:t>
            </w:r>
          </w:p>
        </w:tc>
        <w:tc>
          <w:tcPr>
            <w:tcW w:w="900" w:type="dxa"/>
            <w:tcMar>
              <w:top w:w="40" w:type="dxa"/>
              <w:left w:w="80" w:type="dxa"/>
              <w:bottom w:w="40" w:type="dxa"/>
              <w:right w:w="80" w:type="dxa"/>
            </w:tcMar>
            <w:vAlign w:val="center"/>
            <w:tcBorders>
              <w:top w:val="none"/>
              <w:left w:val="none"/>
              <w:right w:val="none"/>
              <w:bottom w:val="single" w:sz="4" w:space="0" w:color="000000"/>
            </w:tcBorders>
          </w:tcPr>
          <w:p w14:paraId="3B63CC2C" w14:textId="77777777" w:rsidR="00404735" w:rsidRDefault="00000000">
            <w:pPr>
              <w:spacing w:before="40" w:after="40" w:line="240" w:lineRule="auto"/>
              <w:jc w:val="center"/>
            </w:pPr>
            <w:r>
              <w:rPr>
                <w:rFonts w:ascii="Times New Roman" w:hAnsi="Times New Roman"/>
                <w:color w:val="000000"/>
                <w:sz w:val="20"/>
              </w:rPr>
              <w:t>9–12</w:t>
            </w:r>
          </w:p>
        </w:tc>
        <w:tc>
          <w:tcPr>
            <w:tcW w:w="900" w:type="dxa"/>
            <w:tcMar>
              <w:top w:w="40" w:type="dxa"/>
              <w:left w:w="80" w:type="dxa"/>
              <w:bottom w:w="40" w:type="dxa"/>
              <w:right w:w="80" w:type="dxa"/>
            </w:tcMar>
            <w:vAlign w:val="center"/>
            <w:tcBorders>
              <w:top w:val="none"/>
              <w:left w:val="none"/>
              <w:right w:val="none"/>
              <w:bottom w:val="single" w:sz="4" w:space="0" w:color="000000"/>
            </w:tcBorders>
          </w:tcPr>
          <w:p w14:paraId="7E9C958A" w14:textId="77777777" w:rsidR="00404735" w:rsidRDefault="00000000">
            <w:pPr>
              <w:spacing w:before="40" w:after="40" w:line="240" w:lineRule="auto"/>
              <w:jc w:val="center"/>
            </w:pPr>
            <w:r>
              <w:rPr>
                <w:rFonts w:ascii="Times New Roman" w:hAnsi="Times New Roman"/>
                <w:color w:val="000000"/>
                <w:sz w:val="20"/>
              </w:rPr>
              <w:t>Likert 1–5</w:t>
            </w:r>
          </w:p>
        </w:tc>
      </w:tr>
      <w:tr w:rsidR="00404735" w14:paraId="1AF17922" w14:textId="77777777">
        <w:tblPrEx>
          <w:tblCellMar>
            <w:top w:w="0" w:type="dxa"/>
            <w:bottom w:w="0" w:type="dxa"/>
          </w:tblCellMar>
        </w:tblPrEx>
        <w:trPr>
          <w:jc w:val="center"/>
          <w:cantSplit/>
        </w:trPr>
        <w:tc>
          <w:tcPr>
            <w:tcW w:w="2000" w:type="dxa"/>
            <w:tcMar>
              <w:top w:w="40" w:type="dxa"/>
              <w:left w:w="80" w:type="dxa"/>
              <w:bottom w:w="40" w:type="dxa"/>
              <w:right w:w="80" w:type="dxa"/>
            </w:tcMar>
            <w:vAlign w:val="center"/>
            <w:tcBorders>
              <w:top w:val="none"/>
              <w:left w:val="none"/>
              <w:right w:val="none"/>
              <w:bottom w:val="single" w:sz="8" w:space="0" w:color="000000"/>
            </w:tcBorders>
          </w:tcPr>
          <w:p w14:paraId="2136495B" w14:textId="77777777" w:rsidR="00404735" w:rsidRDefault="00000000">
            <w:pPr>
              <w:spacing w:before="40" w:after="40" w:line="240" w:lineRule="auto"/>
            </w:pPr>
            <w:r>
              <w:rPr>
                <w:rFonts w:ascii="Times New Roman" w:hAnsi="Times New Roman"/>
                <w:color w:val="000000"/>
                <w:sz w:val="20"/>
              </w:rPr>
              <w:t>Kepercayaan pada Pemerintah (X3)</w:t>
            </w:r>
          </w:p>
        </w:tc>
        <w:tc>
          <w:tcPr>
            <w:tcW w:w="4137" w:type="dxa"/>
            <w:tcMar>
              <w:top w:w="40" w:type="dxa"/>
              <w:left w:w="80" w:type="dxa"/>
              <w:bottom w:w="40" w:type="dxa"/>
              <w:right w:w="80" w:type="dxa"/>
            </w:tcMar>
            <w:vAlign w:val="center"/>
            <w:tcBorders>
              <w:top w:val="none"/>
              <w:left w:val="none"/>
              <w:right w:val="none"/>
              <w:bottom w:val="single" w:sz="8" w:space="0" w:color="000000"/>
            </w:tcBorders>
          </w:tcPr>
          <w:p w14:paraId="3AA8FD7A" w14:textId="77777777" w:rsidR="00404735" w:rsidRDefault="00000000">
            <w:pPr>
              <w:spacing w:before="40" w:after="40" w:line="240" w:lineRule="auto"/>
              <w:jc w:val="both"/>
            </w:pPr>
            <w:r>
              <w:rPr>
                <w:rFonts w:ascii="Times New Roman" w:hAnsi="Times New Roman"/>
                <w:color w:val="000000"/>
                <w:sz w:val="20"/>
              </w:rPr>
              <w:t>(1) Keyakinan kejujuran pengelolaan; (2) transparansi penggunaan dana; (3) akuntabilitas pemerintah daerah; (4) manfaat pembangunan yang dirasakan (Gahung et al., 2024; Ramadhan &amp; Tarmidi, 2024).</w:t>
            </w:r>
          </w:p>
        </w:tc>
        <w:tc>
          <w:tcPr>
            <w:tcW w:w="900" w:type="dxa"/>
            <w:tcMar>
              <w:top w:w="40" w:type="dxa"/>
              <w:left w:w="80" w:type="dxa"/>
              <w:bottom w:w="40" w:type="dxa"/>
              <w:right w:w="80" w:type="dxa"/>
            </w:tcMar>
            <w:vAlign w:val="center"/>
            <w:tcBorders>
              <w:top w:val="none"/>
              <w:left w:val="none"/>
              <w:right w:val="none"/>
              <w:bottom w:val="single" w:sz="8" w:space="0" w:color="000000"/>
            </w:tcBorders>
          </w:tcPr>
          <w:p w14:paraId="00110DDC" w14:textId="77777777" w:rsidR="00404735" w:rsidRDefault="00000000">
            <w:pPr>
              <w:spacing w:before="40" w:after="40" w:line="240" w:lineRule="auto"/>
              <w:jc w:val="center"/>
            </w:pPr>
            <w:r>
              <w:rPr>
                <w:rFonts w:ascii="Times New Roman" w:hAnsi="Times New Roman"/>
                <w:color w:val="000000"/>
                <w:sz w:val="20"/>
              </w:rPr>
              <w:t>13–16</w:t>
            </w:r>
          </w:p>
        </w:tc>
        <w:tc>
          <w:tcPr>
            <w:tcW w:w="900" w:type="dxa"/>
            <w:tcMar>
              <w:top w:w="40" w:type="dxa"/>
              <w:left w:w="80" w:type="dxa"/>
              <w:bottom w:w="40" w:type="dxa"/>
              <w:right w:w="80" w:type="dxa"/>
            </w:tcMar>
            <w:vAlign w:val="center"/>
            <w:tcBorders>
              <w:top w:val="none"/>
              <w:left w:val="none"/>
              <w:right w:val="none"/>
              <w:bottom w:val="single" w:sz="8" w:space="0" w:color="000000"/>
            </w:tcBorders>
          </w:tcPr>
          <w:p w14:paraId="294D70EA" w14:textId="77777777" w:rsidR="00404735" w:rsidRDefault="00000000">
            <w:pPr>
              <w:spacing w:before="40" w:after="40" w:line="240" w:lineRule="auto"/>
              <w:jc w:val="center"/>
            </w:pPr>
            <w:r>
              <w:rPr>
                <w:rFonts w:ascii="Times New Roman" w:hAnsi="Times New Roman"/>
                <w:color w:val="000000"/>
                <w:sz w:val="20"/>
              </w:rPr>
              <w:t>Likert 1–5</w:t>
            </w:r>
          </w:p>
        </w:tc>
      </w:tr>
    </w:tbl>
    <w:p w14:paraId="3CC0D057" w14:textId="77777777" w:rsidR="00404735" w:rsidRDefault="00000000" is_subsub="false" is_formula="false" orig_style="Normal">
      <w:pPr>
        <w:spacing w:before="60" w:after="120" w:line="240" w:lineRule="auto"/>
        <w:ind w:left="0" w:right="0" w:firstLine="0"/>
        <w:jc w:val="left"/>
      </w:pPr>
      <w:r>
        <w:rPr>
          <w:rFonts w:ascii="Times New Roman" w:hAnsi="Times New Roman"/>
          <w:b w:val="0"/>
          <w:i w:val="0"/>
          <w:iCs/>
          <w:color w:val="000000"/>
          <w:sz w:val="20"/>
          <w:szCs w:val="22"/>
        </w:rPr>
        <w:t>Sumber: Diolah oleh peneliti dari berbagai sumber (2026).</w:t>
      </w:r>
    </w:p>
    <w:p w14:paraId="4C055BEB" w14:textId="77777777" w:rsidR="00404735" w:rsidRDefault="00000000" is_subsub="false" is_formula="false" orig_style="Heading 2">
      <w:bookmarkStart w:id="135" w:name="_Toc134"/>
      <w:pPr>
        <w:pStyle w:val="Heading2"/>
        <w:keepNext/>
        <w:jc w:val="left"/>
        <w:numPr>
          <w:ilvl w:val="1"/>
          <w:numId w:val="2"/>
        </w:numPr>
        <w:ind w:left="567" w:hanging="567"/>
        <w:outlineLvl w:val="1"/>
        <w:spacing w:before="240" w:after="120" w:line="276" w:lineRule="auto" w:beforeAutospacing="0" w:afterAutospacing="0"/>
      </w:pPr>
      <w:r>
        <w:rPr>
          <w:rFonts w:ascii="Times New Roman" w:hAnsi="Times New Roman"/>
          <w:b/>
          <w:i w:val="0"/>
          <w:color w:val="000000"/>
          <w:sz w:val="24"/>
        </w:rPr>
        <w:t>Populasi dan Sampel Penelitian</w:t>
      </w:r>
      <w:bookmarkEnd w:id="135"/>
    </w:p>
    <w:p w14:paraId="04A416B3" w14:textId="77777777" w:rsidR="00404735" w:rsidRDefault="00000000" is_subsub="true" is_formula="false" orig_style="Heading 3">
      <w:bookmarkStart w:id="136" w:name="_Toc135"/>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Populasi</w:t>
      </w:r>
      <w:bookmarkEnd w:id="136"/>
    </w:p>
    <w:p w14:paraId="260779B7"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Populasi adalah wilayah generalisasi yang terdiri atas objek atau subjek yang mempunyai kuantitas dan karakteristik tertentu yang ditetapkan peneliti untuk dipelajari dan kemudian ditarik kesimpulannya (Sugiyono, 2023). Populasi dalam penelitian ini adalah seluruh wajib pajak PBB-P2 yang terdaftar di wilayah Jakarta Barat. Berdasarkan data Badan Pendapatan Daerah Provinsi DKI Jakarta, jumlah objek pajak PBB-P2 yang terdaftar di Jakarta Barat pada tahun 2025 tercatat sebanyak 528.080 objek yang tersebar di delapan kecamatan.</w:t>
      </w:r>
    </w:p>
    <w:p w14:paraId="07D52D29" w14:textId="77777777" w:rsidR="00404735" w:rsidRDefault="00000000" is_subsub="true" is_formula="false" orig_style="Heading 3">
      <w:bookmarkStart w:id="137" w:name="_Toc136"/>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Sampel</w:t>
      </w:r>
      <w:bookmarkEnd w:id="137"/>
    </w:p>
    <w:p w14:paraId="183242E8"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Sampel adalah bagian dari jumlah dan karakteristik yang dimiliki oleh populasi tersebut (Sugiyono, 2023). Penentuan jumlah sampel dilakukan dengan rumus Slovin pada taraf kesalahan 10% mengingat ukuran populasi yang besar. Rumus Slovin dinyatakan sebagai berikut.</w:t>
      </w:r>
    </w:p>
    <w:p w14:paraId="5B3D7CEC" w14:textId="77777777" w:rsidR="00404735" w:rsidRDefault="00000000" is_subsub="false" is_formula="true" orig_style="Normal">
      <w:pPr>
        <w:spacing w:before="120" w:after="80" w:line="240" w:lineRule="auto"/>
        <w:ind w:left="0" w:right="0" w:firstLine="0"/>
        <w:jc w:val="center"/>
      </w:pPr>
      <w:r>
        <w:lastRenderedPageBreak/>
        <w:tab/>
      </w:r>
      <w:r>
        <w:rPr>
          <w:noProof/>
        </w:rPr>
        <w:drawing>
          <wp:inline distT="0" distB="0" distL="0" distR="0" wp14:anchorId="575DA4D2" wp14:editId="3E890200">
            <wp:extent cx="781200" cy="342000"/>
            <wp:effectExtent l="0" t="0" r="0" b="0"/>
            <wp:docPr id="101" name="Persamaan Slov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ersamaan Slovin"/>
                    <pic:cNvPicPr/>
                  </pic:nvPicPr>
                  <pic:blipFill>
                    <a:blip r:embed="rId9"/>
                    <a:stretch>
                      <a:fillRect/>
                    </a:stretch>
                  </pic:blipFill>
                  <pic:spPr>
                    <a:xfrm>
                      <a:off x="0" y="0"/>
                      <a:ext cx="781200" cy="342000"/>
                    </a:xfrm>
                    <a:prstGeom prst="rect">
                      <a:avLst/>
                    </a:prstGeom>
                  </pic:spPr>
                </pic:pic>
              </a:graphicData>
            </a:graphic>
          </wp:inline>
        </w:drawing>
      </w:r>
      <w:r>
        <w:tab/>
        <w:t>(3.1)</w:t>
      </w:r>
    </w:p>
    <w:p w14:paraId="60EE3DE1" w14:textId="77777777" w:rsidR="00404735" w:rsidRDefault="00000000" is_subsub="false" is_formula="false" orig_style="Normal">
      <w:pPr>
        <w:keepNext/>
        <w:spacing w:after="120" w:line="276" w:lineRule="auto" w:before="0"/>
        <w:ind w:left="0" w:right="0" w:firstLine="0"/>
        <w:jc w:val="left"/>
      </w:pPr>
      <w:r>
        <w:rPr>
          <w:rFonts w:ascii="Times New Roman" w:hAnsi="Times New Roman"/>
          <w:b w:val="0"/>
          <w:i w:val="0"/>
          <w:color w:val="000000"/>
          <w:sz w:val="24"/>
        </w:rPr>
        <w:t xml:space="preserve">Keterangan: </w:t>
      </w:r>
      <w:r>
        <w:rPr>
          <w:rFonts w:ascii="Times New Roman" w:hAnsi="Times New Roman"/>
          <w:b w:val="0"/>
          <w:i w:val="0"/>
          <w:iCs/>
          <w:color w:val="000000"/>
          <w:sz w:val="24"/>
        </w:rPr>
        <w:t>n</w:t>
      </w:r>
      <w:r>
        <w:rPr>
          <w:rFonts w:ascii="Times New Roman" w:hAnsi="Times New Roman"/>
          <w:b w:val="0"/>
          <w:i w:val="0"/>
          <w:color w:val="000000"/>
          <w:sz w:val="24"/>
        </w:rPr>
        <w:t xml:space="preserve"> = jumlah sampel; </w:t>
      </w:r>
      <w:r>
        <w:rPr>
          <w:rFonts w:ascii="Times New Roman" w:hAnsi="Times New Roman"/>
          <w:b w:val="0"/>
          <w:i w:val="0"/>
          <w:iCs/>
          <w:color w:val="000000"/>
          <w:sz w:val="24"/>
        </w:rPr>
        <w:t>N</w:t>
      </w:r>
      <w:r>
        <w:rPr>
          <w:rFonts w:ascii="Times New Roman" w:hAnsi="Times New Roman"/>
          <w:b w:val="0"/>
          <w:i w:val="0"/>
          <w:color w:val="000000"/>
          <w:sz w:val="24"/>
        </w:rPr>
        <w:t xml:space="preserve"> = jumlah populasi; dan </w:t>
      </w:r>
      <w:r>
        <w:rPr>
          <w:rFonts w:ascii="Times New Roman" w:hAnsi="Times New Roman"/>
          <w:b w:val="0"/>
          <w:i w:val="0"/>
          <w:iCs/>
          <w:color w:val="000000"/>
          <w:sz w:val="24"/>
        </w:rPr>
        <w:t>e</w:t>
      </w:r>
      <w:r>
        <w:rPr>
          <w:rFonts w:ascii="Times New Roman" w:hAnsi="Times New Roman"/>
          <w:b w:val="0"/>
          <w:i w:val="0"/>
          <w:color w:val="000000"/>
          <w:sz w:val="24"/>
        </w:rPr>
        <w:t xml:space="preserve"> = taraf kesalahan (10%).</w:t>
      </w:r>
    </w:p>
    <w:p w14:paraId="2EC8B9E8"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Berdasarkan jumlah populasi sebanyak 528.080 objek dan taraf kesalahan 10%, perhitungan menghasilkan n = 528.080 / (1 + 528.080 × 0,1²) = 528.080 / 5.281,8 = 99,98. Hasil tersebut dibulatkan menjadi 100 responden sebagai jumlah sampel minimal dalam penelitian ini.</w:t>
      </w:r>
    </w:p>
    <w:p w14:paraId="6590B299"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Teknik pengambilan sampel menggunakan metode nonprobability sampling dengan pendekatan incidental sampling, yaitu teknik penentuan sampel berdasarkan kebetulan, yakni siapa saja yang secara kebetulan bertemu dengan peneliti dapat digunakan sebagai sampel apabila dipandang cocok sebagai sumber data (Sugiyono, 2023). Agar sampel mewakili sebaran wajib pajak di seluruh wilayah penelitian, kuesioner disebarkan secara proporsional pada delapan kecamatan sesuai bobot jumlah objek pajak terdaftar. Distribusi sampel per kecamatan disajikan pada Tabel 3.2.</w:t>
      </w:r>
    </w:p>
    <w:p w14:paraId="7B20960F" w14:textId="77777777" w:rsidR="00404735" w:rsidRDefault="00000000" is_subsub="false" is_formula="false" orig_style="Caption Tabel">
      <w:pPr>
        <w:pStyle w:val="CaptionTabel"/>
        <w:ind w:left="0" w:right="0" w:firstLine="0" w:hanging="0"/>
        <w:jc w:val="center"/>
        <w:spacing w:before="240" w:after="120" w:line="240" w:lineRule="auto"/>
      </w:pPr>
      <w:bookmarkStart w:id="138" w:name="_Toc137"/>
      <w:r>
        <w:rPr>
          <w:rFonts w:ascii="Times New Roman" w:hAnsi="Times New Roman"/>
          <w:b/>
          <w:color w:val="000000"/>
          <w:sz w:val="24"/>
        </w:rPr>
        <w:t xml:space="preserve">Tabel </w:t>
      </w:r>
      <w:fldSimple w:instr=" STYLEREF 1 \s ">
        <w:r>
          <w:rPr>
            <w:rFonts w:ascii="Times New Roman" w:hAnsi="Times New Roman"/>
            <w:sz w:val="24"/>
            <w:b/>
            <w:color w:val="000000"/>
            <w:noProof/>
          </w:rPr>
          <w:t>3</w:t>
        </w:r>
      </w:fldSimple>
      <w:r>
        <w:rPr>
          <w:rFonts w:ascii="Times New Roman" w:hAnsi="Times New Roman"/>
          <w:b/>
          <w:color w:val="000000"/>
          <w:sz w:val="24"/>
        </w:rPr>
        <w:t>.</w:t>
      </w:r>
      <w:fldSimple w:instr=" SEQ Tabel \* ARABIC \s 1 ">
        <w:r>
          <w:rPr>
            <w:rFonts w:ascii="Times New Roman" w:hAnsi="Times New Roman"/>
            <w:sz w:val="24"/>
            <w:b/>
            <w:color w:val="000000"/>
            <w:noProof/>
          </w:rPr>
          <w:t>2</w:t>
        </w:r>
      </w:fldSimple>
      <w:r>
        <w:rPr>
          <w:rFonts w:ascii="Times New Roman" w:hAnsi="Times New Roman"/>
          <w:b/>
          <w:color w:val="000000"/>
          <w:sz w:val="24"/>
        </w:rPr>
        <w:t xml:space="preserve"> Distribusi Sampel Penelitian per Kecamatan di Jakarta Barat</w:t>
      </w:r>
      <w:bookmarkEnd w:id="138"/>
    </w:p>
    <w:tbl>
      <w:tblPr>
        <w:tblW w:w="7937" w:type="dxa"/>
        <w:jc w:val="center"/>
        <w:tblCellMar>
          <w:left w:w="10" w:type="dxa"/>
          <w:right w:w="10" w:type="dxa"/>
        </w:tblCellMar>
        <w:tblLook w:val="0000" w:firstRow="0" w:lastRow="0" w:firstColumn="0" w:lastColumn="0" w:noHBand="0" w:noVBand="0"/>
        <w:tblBorders>
          <w:top w:val="single" w:sz="8" w:space="0" w:color="000000"/>
          <w:bottom w:val="single" w:sz="8" w:space="0" w:color="000000"/>
          <w:left w:val="none"/>
          <w:right w:val="none"/>
          <w:insideH w:val="single" w:sz="4" w:space="0" w:color="000000"/>
          <w:insideV w:val="none"/>
        </w:tblBorders>
      </w:tblPr>
      <w:tblGrid>
        <w:gridCol w:w="700"/>
        <w:gridCol w:w="2400"/>
        <w:gridCol w:w="2000"/>
        <w:gridCol w:w="1337"/>
        <w:gridCol w:w="1500"/>
      </w:tblGrid>
      <w:tr w:rsidR="00404735" w14:paraId="2C889E90" w14:textId="77777777">
        <w:tblPrEx>
          <w:tblCellMar>
            <w:top w:w="0" w:type="dxa"/>
            <w:bottom w:w="0" w:type="dxa"/>
          </w:tblCellMar>
        </w:tblPrEx>
        <w:trPr>
          <w:jc w:val="center"/>
          <w:cantSplit/>
          <w:tblHeader/>
        </w:trPr>
        <w:tc>
          <w:tcPr>
            <w:tcW w:w="7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2C29AEAB" w14:textId="77777777" w:rsidR="00404735" w:rsidRDefault="00000000">
            <w:pPr>
              <w:spacing w:before="40" w:after="40" w:line="240" w:lineRule="auto"/>
              <w:jc w:val="center"/>
            </w:pPr>
            <w:r>
              <w:rPr>
                <w:rFonts w:ascii="Times New Roman" w:hAnsi="Times New Roman"/>
                <w:b/>
                <w:bCs/>
                <w:color w:val="000000"/>
                <w:sz w:val="20"/>
              </w:rPr>
              <w:t>No</w:t>
            </w:r>
          </w:p>
        </w:tc>
        <w:tc>
          <w:tcPr>
            <w:tcW w:w="24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561E9B47" w14:textId="77777777" w:rsidR="00404735" w:rsidRDefault="00000000">
            <w:pPr>
              <w:spacing w:before="40" w:after="40" w:line="240" w:lineRule="auto"/>
              <w:jc w:val="center"/>
            </w:pPr>
            <w:r>
              <w:rPr>
                <w:rFonts w:ascii="Times New Roman" w:hAnsi="Times New Roman"/>
                <w:b/>
                <w:bCs/>
                <w:color w:val="000000"/>
                <w:sz w:val="20"/>
              </w:rPr>
              <w:t>Kecamatan</w:t>
            </w:r>
          </w:p>
        </w:tc>
        <w:tc>
          <w:tcPr>
            <w:tcW w:w="20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6F37E5BB" w14:textId="77777777" w:rsidR="00404735" w:rsidRDefault="00000000">
            <w:pPr>
              <w:spacing w:before="40" w:after="40" w:line="240" w:lineRule="auto"/>
              <w:jc w:val="center"/>
            </w:pPr>
            <w:r>
              <w:rPr>
                <w:rFonts w:ascii="Times New Roman" w:hAnsi="Times New Roman"/>
                <w:b/>
                <w:bCs/>
                <w:color w:val="000000"/>
                <w:sz w:val="20"/>
              </w:rPr>
              <w:t>Jumlah Objek Pajak 2025</w:t>
            </w:r>
          </w:p>
        </w:tc>
        <w:tc>
          <w:tcPr>
            <w:tcW w:w="1337"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4E752933" w14:textId="77777777" w:rsidR="00404735" w:rsidRDefault="00000000">
            <w:pPr>
              <w:spacing w:before="40" w:after="40" w:line="240" w:lineRule="auto"/>
              <w:jc w:val="center"/>
            </w:pPr>
            <w:r>
              <w:rPr>
                <w:rFonts w:ascii="Times New Roman" w:hAnsi="Times New Roman"/>
                <w:b/>
                <w:bCs/>
                <w:color w:val="000000"/>
                <w:sz w:val="20"/>
              </w:rPr>
              <w:t>Proporsi (%)</w:t>
            </w:r>
          </w:p>
        </w:tc>
        <w:tc>
          <w:tcPr>
            <w:tcW w:w="1500" w:type="dxa"/>
            <w:tcMar>
              <w:top w:w="40" w:type="dxa"/>
              <w:left w:w="80" w:type="dxa"/>
              <w:bottom w:w="40" w:type="dxa"/>
              <w:right w:w="80" w:type="dxa"/>
            </w:tcMar>
            <w:vAlign w:val="center"/>
            <w:shd w:val="clear" w:color="auto" w:fill="D9D9D9"/>
            <w:tcBorders>
              <w:top w:val="single" w:sz="8" w:space="0" w:color="000000"/>
              <w:bottom w:val="single" w:sz="8" w:space="0" w:color="000000"/>
              <w:left w:val="none"/>
              <w:right w:val="none"/>
            </w:tcBorders>
          </w:tcPr>
          <w:p w14:paraId="7FBA6383" w14:textId="77777777" w:rsidR="00404735" w:rsidRDefault="00000000">
            <w:pPr>
              <w:spacing w:before="40" w:after="40" w:line="240" w:lineRule="auto"/>
              <w:jc w:val="center"/>
            </w:pPr>
            <w:r>
              <w:rPr>
                <w:rFonts w:ascii="Times New Roman" w:hAnsi="Times New Roman"/>
                <w:b/>
                <w:bCs/>
                <w:color w:val="000000"/>
                <w:sz w:val="20"/>
              </w:rPr>
              <w:t>Jumlah Sampel</w:t>
            </w:r>
          </w:p>
        </w:tc>
      </w:tr>
      <w:tr w:rsidR="00404735" w14:paraId="2C03B00A" w14:textId="77777777">
        <w:tblPrEx>
          <w:tblCellMar>
            <w:top w:w="0" w:type="dxa"/>
            <w:bottom w:w="0" w:type="dxa"/>
          </w:tblCellMar>
        </w:tblPrEx>
        <w:trPr>
          <w:jc w:val="center"/>
          <w:cantSplit/>
        </w:trPr>
        <w:tc>
          <w:tcPr>
            <w:tcW w:w="700" w:type="dxa"/>
            <w:tcMar>
              <w:top w:w="40" w:type="dxa"/>
              <w:left w:w="80" w:type="dxa"/>
              <w:bottom w:w="40" w:type="dxa"/>
              <w:right w:w="80" w:type="dxa"/>
            </w:tcMar>
            <w:vAlign w:val="center"/>
            <w:tcBorders>
              <w:top w:val="none"/>
              <w:left w:val="none"/>
              <w:right w:val="none"/>
              <w:bottom w:val="single" w:sz="4" w:space="0" w:color="000000"/>
            </w:tcBorders>
          </w:tcPr>
          <w:p w14:paraId="1037CB77" w14:textId="77777777" w:rsidR="00404735" w:rsidRDefault="00000000">
            <w:pPr>
              <w:spacing w:before="40" w:after="40" w:line="240" w:lineRule="auto"/>
              <w:jc w:val="center"/>
            </w:pPr>
            <w:r>
              <w:rPr>
                <w:rFonts w:ascii="Times New Roman" w:hAnsi="Times New Roman"/>
                <w:color w:val="000000"/>
                <w:sz w:val="20"/>
              </w:rPr>
              <w:t>1</w:t>
            </w:r>
          </w:p>
        </w:tc>
        <w:tc>
          <w:tcPr>
            <w:tcW w:w="2400" w:type="dxa"/>
            <w:tcMar>
              <w:top w:w="40" w:type="dxa"/>
              <w:left w:w="80" w:type="dxa"/>
              <w:bottom w:w="40" w:type="dxa"/>
              <w:right w:w="80" w:type="dxa"/>
            </w:tcMar>
            <w:vAlign w:val="center"/>
            <w:tcBorders>
              <w:top w:val="none"/>
              <w:left w:val="none"/>
              <w:right w:val="none"/>
              <w:bottom w:val="single" w:sz="4" w:space="0" w:color="000000"/>
            </w:tcBorders>
          </w:tcPr>
          <w:p w14:paraId="47853CD7" w14:textId="77777777" w:rsidR="00404735" w:rsidRDefault="00000000">
            <w:pPr>
              <w:spacing w:before="40" w:after="40" w:line="240" w:lineRule="auto"/>
            </w:pPr>
            <w:r>
              <w:rPr>
                <w:rFonts w:ascii="Times New Roman" w:hAnsi="Times New Roman"/>
                <w:color w:val="000000"/>
                <w:sz w:val="20"/>
              </w:rPr>
              <w:t>Cengkareng</w:t>
            </w:r>
          </w:p>
        </w:tc>
        <w:tc>
          <w:tcPr>
            <w:tcW w:w="2000" w:type="dxa"/>
            <w:tcMar>
              <w:top w:w="40" w:type="dxa"/>
              <w:left w:w="80" w:type="dxa"/>
              <w:bottom w:w="40" w:type="dxa"/>
              <w:right w:w="80" w:type="dxa"/>
            </w:tcMar>
            <w:vAlign w:val="center"/>
            <w:tcBorders>
              <w:top w:val="none"/>
              <w:left w:val="none"/>
              <w:right w:val="none"/>
              <w:bottom w:val="single" w:sz="4" w:space="0" w:color="000000"/>
            </w:tcBorders>
          </w:tcPr>
          <w:p w14:paraId="5D7BEF2D" w14:textId="77777777" w:rsidR="00404735" w:rsidRDefault="00000000">
            <w:pPr>
              <w:spacing w:before="40" w:after="40" w:line="240" w:lineRule="auto"/>
              <w:jc w:val="center"/>
            </w:pPr>
            <w:r>
              <w:rPr>
                <w:rFonts w:ascii="Times New Roman" w:hAnsi="Times New Roman"/>
                <w:color w:val="000000"/>
                <w:sz w:val="20"/>
              </w:rPr>
              <w:t>110.342</w:t>
            </w:r>
          </w:p>
        </w:tc>
        <w:tc>
          <w:tcPr>
            <w:tcW w:w="1337" w:type="dxa"/>
            <w:tcMar>
              <w:top w:w="40" w:type="dxa"/>
              <w:left w:w="80" w:type="dxa"/>
              <w:bottom w:w="40" w:type="dxa"/>
              <w:right w:w="80" w:type="dxa"/>
            </w:tcMar>
            <w:vAlign w:val="center"/>
            <w:tcBorders>
              <w:top w:val="none"/>
              <w:left w:val="none"/>
              <w:right w:val="none"/>
              <w:bottom w:val="single" w:sz="4" w:space="0" w:color="000000"/>
            </w:tcBorders>
          </w:tcPr>
          <w:p w14:paraId="769380D7" w14:textId="77777777" w:rsidR="00404735" w:rsidRDefault="00000000">
            <w:pPr>
              <w:spacing w:before="40" w:after="40" w:line="240" w:lineRule="auto"/>
              <w:jc w:val="center"/>
            </w:pPr>
            <w:r>
              <w:rPr>
                <w:rFonts w:ascii="Times New Roman" w:hAnsi="Times New Roman"/>
                <w:color w:val="000000"/>
                <w:sz w:val="20"/>
              </w:rPr>
              <w:t>20,9%</w:t>
            </w:r>
          </w:p>
        </w:tc>
        <w:tc>
          <w:tcPr>
            <w:tcW w:w="1500" w:type="dxa"/>
            <w:tcMar>
              <w:top w:w="40" w:type="dxa"/>
              <w:left w:w="80" w:type="dxa"/>
              <w:bottom w:w="40" w:type="dxa"/>
              <w:right w:w="80" w:type="dxa"/>
            </w:tcMar>
            <w:vAlign w:val="center"/>
            <w:tcBorders>
              <w:top w:val="none"/>
              <w:left w:val="none"/>
              <w:right w:val="none"/>
              <w:bottom w:val="single" w:sz="4" w:space="0" w:color="000000"/>
            </w:tcBorders>
          </w:tcPr>
          <w:p w14:paraId="13C29CBD" w14:textId="77777777" w:rsidR="00404735" w:rsidRDefault="00000000">
            <w:pPr>
              <w:spacing w:before="40" w:after="40" w:line="240" w:lineRule="auto"/>
              <w:jc w:val="center"/>
            </w:pPr>
            <w:r>
              <w:rPr>
                <w:rFonts w:ascii="Times New Roman" w:hAnsi="Times New Roman"/>
                <w:color w:val="000000"/>
                <w:sz w:val="20"/>
              </w:rPr>
              <w:t>21</w:t>
            </w:r>
          </w:p>
        </w:tc>
      </w:tr>
      <w:tr w:rsidR="00404735" w14:paraId="72D5D97C" w14:textId="77777777">
        <w:tblPrEx>
          <w:tblCellMar>
            <w:top w:w="0" w:type="dxa"/>
            <w:bottom w:w="0" w:type="dxa"/>
          </w:tblCellMar>
        </w:tblPrEx>
        <w:trPr>
          <w:jc w:val="center"/>
          <w:cantSplit/>
        </w:trPr>
        <w:tc>
          <w:tcPr>
            <w:tcW w:w="700" w:type="dxa"/>
            <w:tcMar>
              <w:top w:w="40" w:type="dxa"/>
              <w:left w:w="80" w:type="dxa"/>
              <w:bottom w:w="40" w:type="dxa"/>
              <w:right w:w="80" w:type="dxa"/>
            </w:tcMar>
            <w:vAlign w:val="center"/>
            <w:tcBorders>
              <w:top w:val="none"/>
              <w:left w:val="none"/>
              <w:right w:val="none"/>
              <w:bottom w:val="single" w:sz="4" w:space="0" w:color="000000"/>
            </w:tcBorders>
          </w:tcPr>
          <w:p w14:paraId="24853E03" w14:textId="77777777" w:rsidR="00404735" w:rsidRDefault="00000000">
            <w:pPr>
              <w:spacing w:before="40" w:after="40" w:line="240" w:lineRule="auto"/>
              <w:jc w:val="center"/>
            </w:pPr>
            <w:r>
              <w:rPr>
                <w:rFonts w:ascii="Times New Roman" w:hAnsi="Times New Roman"/>
                <w:color w:val="000000"/>
                <w:sz w:val="20"/>
              </w:rPr>
              <w:t>2</w:t>
            </w:r>
          </w:p>
        </w:tc>
        <w:tc>
          <w:tcPr>
            <w:tcW w:w="2400" w:type="dxa"/>
            <w:tcMar>
              <w:top w:w="40" w:type="dxa"/>
              <w:left w:w="80" w:type="dxa"/>
              <w:bottom w:w="40" w:type="dxa"/>
              <w:right w:w="80" w:type="dxa"/>
            </w:tcMar>
            <w:vAlign w:val="center"/>
            <w:tcBorders>
              <w:top w:val="none"/>
              <w:left w:val="none"/>
              <w:right w:val="none"/>
              <w:bottom w:val="single" w:sz="4" w:space="0" w:color="000000"/>
            </w:tcBorders>
          </w:tcPr>
          <w:p w14:paraId="26A8AC6B" w14:textId="77777777" w:rsidR="00404735" w:rsidRDefault="00000000">
            <w:pPr>
              <w:spacing w:before="40" w:after="40" w:line="240" w:lineRule="auto"/>
            </w:pPr>
            <w:r>
              <w:rPr>
                <w:rFonts w:ascii="Times New Roman" w:hAnsi="Times New Roman"/>
                <w:color w:val="000000"/>
                <w:sz w:val="20"/>
              </w:rPr>
              <w:t>Kalideres</w:t>
            </w:r>
          </w:p>
        </w:tc>
        <w:tc>
          <w:tcPr>
            <w:tcW w:w="2000" w:type="dxa"/>
            <w:tcMar>
              <w:top w:w="40" w:type="dxa"/>
              <w:left w:w="80" w:type="dxa"/>
              <w:bottom w:w="40" w:type="dxa"/>
              <w:right w:w="80" w:type="dxa"/>
            </w:tcMar>
            <w:vAlign w:val="center"/>
            <w:tcBorders>
              <w:top w:val="none"/>
              <w:left w:val="none"/>
              <w:right w:val="none"/>
              <w:bottom w:val="single" w:sz="4" w:space="0" w:color="000000"/>
            </w:tcBorders>
          </w:tcPr>
          <w:p w14:paraId="2FEB489C" w14:textId="77777777" w:rsidR="00404735" w:rsidRDefault="00000000">
            <w:pPr>
              <w:spacing w:before="40" w:after="40" w:line="240" w:lineRule="auto"/>
              <w:jc w:val="center"/>
            </w:pPr>
            <w:r>
              <w:rPr>
                <w:rFonts w:ascii="Times New Roman" w:hAnsi="Times New Roman"/>
                <w:color w:val="000000"/>
                <w:sz w:val="20"/>
              </w:rPr>
              <w:t>85.710</w:t>
            </w:r>
          </w:p>
        </w:tc>
        <w:tc>
          <w:tcPr>
            <w:tcW w:w="1337" w:type="dxa"/>
            <w:tcMar>
              <w:top w:w="40" w:type="dxa"/>
              <w:left w:w="80" w:type="dxa"/>
              <w:bottom w:w="40" w:type="dxa"/>
              <w:right w:w="80" w:type="dxa"/>
            </w:tcMar>
            <w:vAlign w:val="center"/>
            <w:tcBorders>
              <w:top w:val="none"/>
              <w:left w:val="none"/>
              <w:right w:val="none"/>
              <w:bottom w:val="single" w:sz="4" w:space="0" w:color="000000"/>
            </w:tcBorders>
          </w:tcPr>
          <w:p w14:paraId="704D43F0" w14:textId="77777777" w:rsidR="00404735" w:rsidRDefault="00000000">
            <w:pPr>
              <w:spacing w:before="40" w:after="40" w:line="240" w:lineRule="auto"/>
              <w:jc w:val="center"/>
            </w:pPr>
            <w:r>
              <w:rPr>
                <w:rFonts w:ascii="Times New Roman" w:hAnsi="Times New Roman"/>
                <w:color w:val="000000"/>
                <w:sz w:val="20"/>
              </w:rPr>
              <w:t>16,2%</w:t>
            </w:r>
          </w:p>
        </w:tc>
        <w:tc>
          <w:tcPr>
            <w:tcW w:w="1500" w:type="dxa"/>
            <w:tcMar>
              <w:top w:w="40" w:type="dxa"/>
              <w:left w:w="80" w:type="dxa"/>
              <w:bottom w:w="40" w:type="dxa"/>
              <w:right w:w="80" w:type="dxa"/>
            </w:tcMar>
            <w:vAlign w:val="center"/>
            <w:tcBorders>
              <w:top w:val="none"/>
              <w:left w:val="none"/>
              <w:right w:val="none"/>
              <w:bottom w:val="single" w:sz="4" w:space="0" w:color="000000"/>
            </w:tcBorders>
          </w:tcPr>
          <w:p w14:paraId="5F344206" w14:textId="77777777" w:rsidR="00404735" w:rsidRDefault="00000000">
            <w:pPr>
              <w:spacing w:before="40" w:after="40" w:line="240" w:lineRule="auto"/>
              <w:jc w:val="center"/>
            </w:pPr>
            <w:r>
              <w:rPr>
                <w:rFonts w:ascii="Times New Roman" w:hAnsi="Times New Roman"/>
                <w:color w:val="000000"/>
                <w:sz w:val="20"/>
              </w:rPr>
              <w:t>16</w:t>
            </w:r>
          </w:p>
        </w:tc>
      </w:tr>
      <w:tr w:rsidR="00404735" w14:paraId="25BC3259" w14:textId="77777777">
        <w:tblPrEx>
          <w:tblCellMar>
            <w:top w:w="0" w:type="dxa"/>
            <w:bottom w:w="0" w:type="dxa"/>
          </w:tblCellMar>
        </w:tblPrEx>
        <w:trPr>
          <w:jc w:val="center"/>
          <w:cantSplit/>
        </w:trPr>
        <w:tc>
          <w:tcPr>
            <w:tcW w:w="700" w:type="dxa"/>
            <w:tcMar>
              <w:top w:w="40" w:type="dxa"/>
              <w:left w:w="80" w:type="dxa"/>
              <w:bottom w:w="40" w:type="dxa"/>
              <w:right w:w="80" w:type="dxa"/>
            </w:tcMar>
            <w:vAlign w:val="center"/>
            <w:tcBorders>
              <w:top w:val="none"/>
              <w:left w:val="none"/>
              <w:right w:val="none"/>
              <w:bottom w:val="single" w:sz="4" w:space="0" w:color="000000"/>
            </w:tcBorders>
          </w:tcPr>
          <w:p w14:paraId="11056D2D" w14:textId="77777777" w:rsidR="00404735" w:rsidRDefault="00000000">
            <w:pPr>
              <w:spacing w:before="40" w:after="40" w:line="240" w:lineRule="auto"/>
              <w:jc w:val="center"/>
            </w:pPr>
            <w:r>
              <w:rPr>
                <w:rFonts w:ascii="Times New Roman" w:hAnsi="Times New Roman"/>
                <w:color w:val="000000"/>
                <w:sz w:val="20"/>
              </w:rPr>
              <w:t>3</w:t>
            </w:r>
          </w:p>
        </w:tc>
        <w:tc>
          <w:tcPr>
            <w:tcW w:w="2400" w:type="dxa"/>
            <w:tcMar>
              <w:top w:w="40" w:type="dxa"/>
              <w:left w:w="80" w:type="dxa"/>
              <w:bottom w:w="40" w:type="dxa"/>
              <w:right w:w="80" w:type="dxa"/>
            </w:tcMar>
            <w:vAlign w:val="center"/>
            <w:tcBorders>
              <w:top w:val="none"/>
              <w:left w:val="none"/>
              <w:right w:val="none"/>
              <w:bottom w:val="single" w:sz="4" w:space="0" w:color="000000"/>
            </w:tcBorders>
          </w:tcPr>
          <w:p w14:paraId="183A0608" w14:textId="77777777" w:rsidR="00404735" w:rsidRDefault="00000000">
            <w:pPr>
              <w:spacing w:before="40" w:after="40" w:line="240" w:lineRule="auto"/>
            </w:pPr>
            <w:r>
              <w:rPr>
                <w:rFonts w:ascii="Times New Roman" w:hAnsi="Times New Roman"/>
                <w:color w:val="000000"/>
                <w:sz w:val="20"/>
              </w:rPr>
              <w:t>Kembangan</w:t>
            </w:r>
          </w:p>
        </w:tc>
        <w:tc>
          <w:tcPr>
            <w:tcW w:w="2000" w:type="dxa"/>
            <w:tcMar>
              <w:top w:w="40" w:type="dxa"/>
              <w:left w:w="80" w:type="dxa"/>
              <w:bottom w:w="40" w:type="dxa"/>
              <w:right w:w="80" w:type="dxa"/>
            </w:tcMar>
            <w:vAlign w:val="center"/>
            <w:tcBorders>
              <w:top w:val="none"/>
              <w:left w:val="none"/>
              <w:right w:val="none"/>
              <w:bottom w:val="single" w:sz="4" w:space="0" w:color="000000"/>
            </w:tcBorders>
          </w:tcPr>
          <w:p w14:paraId="05061A9B" w14:textId="77777777" w:rsidR="00404735" w:rsidRDefault="00000000">
            <w:pPr>
              <w:spacing w:before="40" w:after="40" w:line="240" w:lineRule="auto"/>
              <w:jc w:val="center"/>
            </w:pPr>
            <w:r>
              <w:rPr>
                <w:rFonts w:ascii="Times New Roman" w:hAnsi="Times New Roman"/>
                <w:color w:val="000000"/>
                <w:sz w:val="20"/>
              </w:rPr>
              <w:t>71.592</w:t>
            </w:r>
          </w:p>
        </w:tc>
        <w:tc>
          <w:tcPr>
            <w:tcW w:w="1337" w:type="dxa"/>
            <w:tcMar>
              <w:top w:w="40" w:type="dxa"/>
              <w:left w:w="80" w:type="dxa"/>
              <w:bottom w:w="40" w:type="dxa"/>
              <w:right w:w="80" w:type="dxa"/>
            </w:tcMar>
            <w:vAlign w:val="center"/>
            <w:tcBorders>
              <w:top w:val="none"/>
              <w:left w:val="none"/>
              <w:right w:val="none"/>
              <w:bottom w:val="single" w:sz="4" w:space="0" w:color="000000"/>
            </w:tcBorders>
          </w:tcPr>
          <w:p w14:paraId="56375A8A" w14:textId="77777777" w:rsidR="00404735" w:rsidRDefault="00000000">
            <w:pPr>
              <w:spacing w:before="40" w:after="40" w:line="240" w:lineRule="auto"/>
              <w:jc w:val="center"/>
            </w:pPr>
            <w:r>
              <w:rPr>
                <w:rFonts w:ascii="Times New Roman" w:hAnsi="Times New Roman"/>
                <w:color w:val="000000"/>
                <w:sz w:val="20"/>
              </w:rPr>
              <w:t>13,6%</w:t>
            </w:r>
          </w:p>
        </w:tc>
        <w:tc>
          <w:tcPr>
            <w:tcW w:w="1500" w:type="dxa"/>
            <w:tcMar>
              <w:top w:w="40" w:type="dxa"/>
              <w:left w:w="80" w:type="dxa"/>
              <w:bottom w:w="40" w:type="dxa"/>
              <w:right w:w="80" w:type="dxa"/>
            </w:tcMar>
            <w:vAlign w:val="center"/>
            <w:tcBorders>
              <w:top w:val="none"/>
              <w:left w:val="none"/>
              <w:right w:val="none"/>
              <w:bottom w:val="single" w:sz="4" w:space="0" w:color="000000"/>
            </w:tcBorders>
          </w:tcPr>
          <w:p w14:paraId="24993CBF" w14:textId="77777777" w:rsidR="00404735" w:rsidRDefault="00000000">
            <w:pPr>
              <w:spacing w:before="40" w:after="40" w:line="240" w:lineRule="auto"/>
              <w:jc w:val="center"/>
            </w:pPr>
            <w:r>
              <w:rPr>
                <w:rFonts w:ascii="Times New Roman" w:hAnsi="Times New Roman"/>
                <w:color w:val="000000"/>
                <w:sz w:val="20"/>
              </w:rPr>
              <w:t>14</w:t>
            </w:r>
          </w:p>
        </w:tc>
      </w:tr>
      <w:tr w:rsidR="00404735" w14:paraId="5A29C3FC" w14:textId="77777777">
        <w:tblPrEx>
          <w:tblCellMar>
            <w:top w:w="0" w:type="dxa"/>
            <w:bottom w:w="0" w:type="dxa"/>
          </w:tblCellMar>
        </w:tblPrEx>
        <w:trPr>
          <w:jc w:val="center"/>
          <w:cantSplit/>
        </w:trPr>
        <w:tc>
          <w:tcPr>
            <w:tcW w:w="700" w:type="dxa"/>
            <w:tcMar>
              <w:top w:w="40" w:type="dxa"/>
              <w:left w:w="80" w:type="dxa"/>
              <w:bottom w:w="40" w:type="dxa"/>
              <w:right w:w="80" w:type="dxa"/>
            </w:tcMar>
            <w:vAlign w:val="center"/>
            <w:tcBorders>
              <w:top w:val="none"/>
              <w:left w:val="none"/>
              <w:right w:val="none"/>
              <w:bottom w:val="single" w:sz="4" w:space="0" w:color="000000"/>
            </w:tcBorders>
          </w:tcPr>
          <w:p w14:paraId="3FE43455" w14:textId="77777777" w:rsidR="00404735" w:rsidRDefault="00000000">
            <w:pPr>
              <w:spacing w:before="40" w:after="40" w:line="240" w:lineRule="auto"/>
              <w:jc w:val="center"/>
            </w:pPr>
            <w:r>
              <w:rPr>
                <w:rFonts w:ascii="Times New Roman" w:hAnsi="Times New Roman"/>
                <w:color w:val="000000"/>
                <w:sz w:val="20"/>
              </w:rPr>
              <w:t>4</w:t>
            </w:r>
          </w:p>
        </w:tc>
        <w:tc>
          <w:tcPr>
            <w:tcW w:w="2400" w:type="dxa"/>
            <w:tcMar>
              <w:top w:w="40" w:type="dxa"/>
              <w:left w:w="80" w:type="dxa"/>
              <w:bottom w:w="40" w:type="dxa"/>
              <w:right w:w="80" w:type="dxa"/>
            </w:tcMar>
            <w:vAlign w:val="center"/>
            <w:tcBorders>
              <w:top w:val="none"/>
              <w:left w:val="none"/>
              <w:right w:val="none"/>
              <w:bottom w:val="single" w:sz="4" w:space="0" w:color="000000"/>
            </w:tcBorders>
          </w:tcPr>
          <w:p w14:paraId="30B87CF8" w14:textId="77777777" w:rsidR="00404735" w:rsidRDefault="00000000">
            <w:pPr>
              <w:spacing w:before="40" w:after="40" w:line="240" w:lineRule="auto"/>
            </w:pPr>
            <w:r>
              <w:rPr>
                <w:rFonts w:ascii="Times New Roman" w:hAnsi="Times New Roman"/>
                <w:color w:val="000000"/>
                <w:sz w:val="20"/>
              </w:rPr>
              <w:t>Kebon Jeruk</w:t>
            </w:r>
          </w:p>
        </w:tc>
        <w:tc>
          <w:tcPr>
            <w:tcW w:w="2000" w:type="dxa"/>
            <w:tcMar>
              <w:top w:w="40" w:type="dxa"/>
              <w:left w:w="80" w:type="dxa"/>
              <w:bottom w:w="40" w:type="dxa"/>
              <w:right w:w="80" w:type="dxa"/>
            </w:tcMar>
            <w:vAlign w:val="center"/>
            <w:tcBorders>
              <w:top w:val="none"/>
              <w:left w:val="none"/>
              <w:right w:val="none"/>
              <w:bottom w:val="single" w:sz="4" w:space="0" w:color="000000"/>
            </w:tcBorders>
          </w:tcPr>
          <w:p w14:paraId="309EF2A3" w14:textId="77777777" w:rsidR="00404735" w:rsidRDefault="00000000">
            <w:pPr>
              <w:spacing w:before="40" w:after="40" w:line="240" w:lineRule="auto"/>
              <w:jc w:val="center"/>
            </w:pPr>
            <w:r>
              <w:rPr>
                <w:rFonts w:ascii="Times New Roman" w:hAnsi="Times New Roman"/>
                <w:color w:val="000000"/>
                <w:sz w:val="20"/>
              </w:rPr>
              <w:t>65.077</w:t>
            </w:r>
          </w:p>
        </w:tc>
        <w:tc>
          <w:tcPr>
            <w:tcW w:w="1337" w:type="dxa"/>
            <w:tcMar>
              <w:top w:w="40" w:type="dxa"/>
              <w:left w:w="80" w:type="dxa"/>
              <w:bottom w:w="40" w:type="dxa"/>
              <w:right w:w="80" w:type="dxa"/>
            </w:tcMar>
            <w:vAlign w:val="center"/>
            <w:tcBorders>
              <w:top w:val="none"/>
              <w:left w:val="none"/>
              <w:right w:val="none"/>
              <w:bottom w:val="single" w:sz="4" w:space="0" w:color="000000"/>
            </w:tcBorders>
          </w:tcPr>
          <w:p w14:paraId="5CCF2810" w14:textId="77777777" w:rsidR="00404735" w:rsidRDefault="00000000">
            <w:pPr>
              <w:spacing w:before="40" w:after="40" w:line="240" w:lineRule="auto"/>
              <w:jc w:val="center"/>
            </w:pPr>
            <w:r>
              <w:rPr>
                <w:rFonts w:ascii="Times New Roman" w:hAnsi="Times New Roman"/>
                <w:color w:val="000000"/>
                <w:sz w:val="20"/>
              </w:rPr>
              <w:t>12,3%</w:t>
            </w:r>
          </w:p>
        </w:tc>
        <w:tc>
          <w:tcPr>
            <w:tcW w:w="1500" w:type="dxa"/>
            <w:tcMar>
              <w:top w:w="40" w:type="dxa"/>
              <w:left w:w="80" w:type="dxa"/>
              <w:bottom w:w="40" w:type="dxa"/>
              <w:right w:w="80" w:type="dxa"/>
            </w:tcMar>
            <w:vAlign w:val="center"/>
            <w:tcBorders>
              <w:top w:val="none"/>
              <w:left w:val="none"/>
              <w:right w:val="none"/>
              <w:bottom w:val="single" w:sz="4" w:space="0" w:color="000000"/>
            </w:tcBorders>
          </w:tcPr>
          <w:p w14:paraId="1240C748" w14:textId="77777777" w:rsidR="00404735" w:rsidRDefault="00000000">
            <w:pPr>
              <w:spacing w:before="40" w:after="40" w:line="240" w:lineRule="auto"/>
              <w:jc w:val="center"/>
            </w:pPr>
            <w:r>
              <w:rPr>
                <w:rFonts w:ascii="Times New Roman" w:hAnsi="Times New Roman"/>
                <w:color w:val="000000"/>
                <w:sz w:val="20"/>
              </w:rPr>
              <w:t>12</w:t>
            </w:r>
          </w:p>
        </w:tc>
      </w:tr>
      <w:tr w:rsidR="00404735" w14:paraId="720EB67D" w14:textId="77777777">
        <w:tblPrEx>
          <w:tblCellMar>
            <w:top w:w="0" w:type="dxa"/>
            <w:bottom w:w="0" w:type="dxa"/>
          </w:tblCellMar>
        </w:tblPrEx>
        <w:trPr>
          <w:jc w:val="center"/>
          <w:cantSplit/>
        </w:trPr>
        <w:tc>
          <w:tcPr>
            <w:tcW w:w="700" w:type="dxa"/>
            <w:tcMar>
              <w:top w:w="40" w:type="dxa"/>
              <w:left w:w="80" w:type="dxa"/>
              <w:bottom w:w="40" w:type="dxa"/>
              <w:right w:w="80" w:type="dxa"/>
            </w:tcMar>
            <w:vAlign w:val="center"/>
            <w:tcBorders>
              <w:top w:val="none"/>
              <w:left w:val="none"/>
              <w:right w:val="none"/>
              <w:bottom w:val="single" w:sz="4" w:space="0" w:color="000000"/>
            </w:tcBorders>
          </w:tcPr>
          <w:p w14:paraId="0F50888B" w14:textId="77777777" w:rsidR="00404735" w:rsidRDefault="00000000">
            <w:pPr>
              <w:spacing w:before="40" w:after="40" w:line="240" w:lineRule="auto"/>
              <w:jc w:val="center"/>
            </w:pPr>
            <w:r>
              <w:rPr>
                <w:rFonts w:ascii="Times New Roman" w:hAnsi="Times New Roman"/>
                <w:color w:val="000000"/>
                <w:sz w:val="20"/>
              </w:rPr>
              <w:t>5</w:t>
            </w:r>
          </w:p>
        </w:tc>
        <w:tc>
          <w:tcPr>
            <w:tcW w:w="2400" w:type="dxa"/>
            <w:tcMar>
              <w:top w:w="40" w:type="dxa"/>
              <w:left w:w="80" w:type="dxa"/>
              <w:bottom w:w="40" w:type="dxa"/>
              <w:right w:w="80" w:type="dxa"/>
            </w:tcMar>
            <w:vAlign w:val="center"/>
            <w:tcBorders>
              <w:top w:val="none"/>
              <w:left w:val="none"/>
              <w:right w:val="none"/>
              <w:bottom w:val="single" w:sz="4" w:space="0" w:color="000000"/>
            </w:tcBorders>
          </w:tcPr>
          <w:p w14:paraId="1F9308DA" w14:textId="77777777" w:rsidR="00404735" w:rsidRDefault="00000000">
            <w:pPr>
              <w:spacing w:before="40" w:after="40" w:line="240" w:lineRule="auto"/>
            </w:pPr>
            <w:r>
              <w:rPr>
                <w:rFonts w:ascii="Times New Roman" w:hAnsi="Times New Roman"/>
                <w:color w:val="000000"/>
                <w:sz w:val="20"/>
              </w:rPr>
              <w:t>Grogol Petamburan</w:t>
            </w:r>
          </w:p>
        </w:tc>
        <w:tc>
          <w:tcPr>
            <w:tcW w:w="2000" w:type="dxa"/>
            <w:tcMar>
              <w:top w:w="40" w:type="dxa"/>
              <w:left w:w="80" w:type="dxa"/>
              <w:bottom w:w="40" w:type="dxa"/>
              <w:right w:w="80" w:type="dxa"/>
            </w:tcMar>
            <w:vAlign w:val="center"/>
            <w:tcBorders>
              <w:top w:val="none"/>
              <w:left w:val="none"/>
              <w:right w:val="none"/>
              <w:bottom w:val="single" w:sz="4" w:space="0" w:color="000000"/>
            </w:tcBorders>
          </w:tcPr>
          <w:p w14:paraId="66C74A31" w14:textId="77777777" w:rsidR="00404735" w:rsidRDefault="00000000">
            <w:pPr>
              <w:spacing w:before="40" w:after="40" w:line="240" w:lineRule="auto"/>
              <w:jc w:val="center"/>
            </w:pPr>
            <w:r>
              <w:rPr>
                <w:rFonts w:ascii="Times New Roman" w:hAnsi="Times New Roman"/>
                <w:color w:val="000000"/>
                <w:sz w:val="20"/>
              </w:rPr>
              <w:t>70.584</w:t>
            </w:r>
          </w:p>
        </w:tc>
        <w:tc>
          <w:tcPr>
            <w:tcW w:w="1337" w:type="dxa"/>
            <w:tcMar>
              <w:top w:w="40" w:type="dxa"/>
              <w:left w:w="80" w:type="dxa"/>
              <w:bottom w:w="40" w:type="dxa"/>
              <w:right w:w="80" w:type="dxa"/>
            </w:tcMar>
            <w:vAlign w:val="center"/>
            <w:tcBorders>
              <w:top w:val="none"/>
              <w:left w:val="none"/>
              <w:right w:val="none"/>
              <w:bottom w:val="single" w:sz="4" w:space="0" w:color="000000"/>
            </w:tcBorders>
          </w:tcPr>
          <w:p w14:paraId="06762015" w14:textId="77777777" w:rsidR="00404735" w:rsidRDefault="00000000">
            <w:pPr>
              <w:spacing w:before="40" w:after="40" w:line="240" w:lineRule="auto"/>
              <w:jc w:val="center"/>
            </w:pPr>
            <w:r>
              <w:rPr>
                <w:rFonts w:ascii="Times New Roman" w:hAnsi="Times New Roman"/>
                <w:color w:val="000000"/>
                <w:sz w:val="20"/>
              </w:rPr>
              <w:t>13,4%</w:t>
            </w:r>
          </w:p>
        </w:tc>
        <w:tc>
          <w:tcPr>
            <w:tcW w:w="1500" w:type="dxa"/>
            <w:tcMar>
              <w:top w:w="40" w:type="dxa"/>
              <w:left w:w="80" w:type="dxa"/>
              <w:bottom w:w="40" w:type="dxa"/>
              <w:right w:w="80" w:type="dxa"/>
            </w:tcMar>
            <w:vAlign w:val="center"/>
            <w:tcBorders>
              <w:top w:val="none"/>
              <w:left w:val="none"/>
              <w:right w:val="none"/>
              <w:bottom w:val="single" w:sz="4" w:space="0" w:color="000000"/>
            </w:tcBorders>
          </w:tcPr>
          <w:p w14:paraId="7CB976C7" w14:textId="77777777" w:rsidR="00404735" w:rsidRDefault="00000000">
            <w:pPr>
              <w:spacing w:before="40" w:after="40" w:line="240" w:lineRule="auto"/>
              <w:jc w:val="center"/>
            </w:pPr>
            <w:r>
              <w:rPr>
                <w:rFonts w:ascii="Times New Roman" w:hAnsi="Times New Roman"/>
                <w:color w:val="000000"/>
                <w:sz w:val="20"/>
              </w:rPr>
              <w:t>13</w:t>
            </w:r>
          </w:p>
        </w:tc>
      </w:tr>
      <w:tr w:rsidR="00404735" w14:paraId="6A2A7B26" w14:textId="77777777">
        <w:tblPrEx>
          <w:tblCellMar>
            <w:top w:w="0" w:type="dxa"/>
            <w:bottom w:w="0" w:type="dxa"/>
          </w:tblCellMar>
        </w:tblPrEx>
        <w:trPr>
          <w:jc w:val="center"/>
          <w:cantSplit/>
        </w:trPr>
        <w:tc>
          <w:tcPr>
            <w:tcW w:w="700" w:type="dxa"/>
            <w:tcMar>
              <w:top w:w="40" w:type="dxa"/>
              <w:left w:w="80" w:type="dxa"/>
              <w:bottom w:w="40" w:type="dxa"/>
              <w:right w:w="80" w:type="dxa"/>
            </w:tcMar>
            <w:vAlign w:val="center"/>
            <w:tcBorders>
              <w:top w:val="none"/>
              <w:left w:val="none"/>
              <w:right w:val="none"/>
              <w:bottom w:val="single" w:sz="4" w:space="0" w:color="000000"/>
            </w:tcBorders>
          </w:tcPr>
          <w:p w14:paraId="397BBF8A" w14:textId="77777777" w:rsidR="00404735" w:rsidRDefault="00000000">
            <w:pPr>
              <w:spacing w:before="40" w:after="40" w:line="240" w:lineRule="auto"/>
              <w:jc w:val="center"/>
            </w:pPr>
            <w:r>
              <w:rPr>
                <w:rFonts w:ascii="Times New Roman" w:hAnsi="Times New Roman"/>
                <w:color w:val="000000"/>
                <w:sz w:val="20"/>
              </w:rPr>
              <w:t>6</w:t>
            </w:r>
          </w:p>
        </w:tc>
        <w:tc>
          <w:tcPr>
            <w:tcW w:w="2400" w:type="dxa"/>
            <w:tcMar>
              <w:top w:w="40" w:type="dxa"/>
              <w:left w:w="80" w:type="dxa"/>
              <w:bottom w:w="40" w:type="dxa"/>
              <w:right w:w="80" w:type="dxa"/>
            </w:tcMar>
            <w:vAlign w:val="center"/>
            <w:tcBorders>
              <w:top w:val="none"/>
              <w:left w:val="none"/>
              <w:right w:val="none"/>
              <w:bottom w:val="single" w:sz="4" w:space="0" w:color="000000"/>
            </w:tcBorders>
          </w:tcPr>
          <w:p w14:paraId="5B6FDAC9" w14:textId="77777777" w:rsidR="00404735" w:rsidRDefault="00000000">
            <w:pPr>
              <w:spacing w:before="40" w:after="40" w:line="240" w:lineRule="auto"/>
            </w:pPr>
            <w:r>
              <w:rPr>
                <w:rFonts w:ascii="Times New Roman" w:hAnsi="Times New Roman"/>
                <w:color w:val="000000"/>
                <w:sz w:val="20"/>
              </w:rPr>
              <w:t>Palmerah</w:t>
            </w:r>
          </w:p>
        </w:tc>
        <w:tc>
          <w:tcPr>
            <w:tcW w:w="2000" w:type="dxa"/>
            <w:tcMar>
              <w:top w:w="40" w:type="dxa"/>
              <w:left w:w="80" w:type="dxa"/>
              <w:bottom w:w="40" w:type="dxa"/>
              <w:right w:w="80" w:type="dxa"/>
            </w:tcMar>
            <w:vAlign w:val="center"/>
            <w:tcBorders>
              <w:top w:val="none"/>
              <w:left w:val="none"/>
              <w:right w:val="none"/>
              <w:bottom w:val="single" w:sz="4" w:space="0" w:color="000000"/>
            </w:tcBorders>
          </w:tcPr>
          <w:p w14:paraId="6D294010" w14:textId="77777777" w:rsidR="00404735" w:rsidRDefault="00000000">
            <w:pPr>
              <w:spacing w:before="40" w:after="40" w:line="240" w:lineRule="auto"/>
              <w:jc w:val="center"/>
            </w:pPr>
            <w:r>
              <w:rPr>
                <w:rFonts w:ascii="Times New Roman" w:hAnsi="Times New Roman"/>
                <w:color w:val="000000"/>
                <w:sz w:val="20"/>
              </w:rPr>
              <w:t>35.021</w:t>
            </w:r>
          </w:p>
        </w:tc>
        <w:tc>
          <w:tcPr>
            <w:tcW w:w="1337" w:type="dxa"/>
            <w:tcMar>
              <w:top w:w="40" w:type="dxa"/>
              <w:left w:w="80" w:type="dxa"/>
              <w:bottom w:w="40" w:type="dxa"/>
              <w:right w:w="80" w:type="dxa"/>
            </w:tcMar>
            <w:vAlign w:val="center"/>
            <w:tcBorders>
              <w:top w:val="none"/>
              <w:left w:val="none"/>
              <w:right w:val="none"/>
              <w:bottom w:val="single" w:sz="4" w:space="0" w:color="000000"/>
            </w:tcBorders>
          </w:tcPr>
          <w:p w14:paraId="628B86FE" w14:textId="77777777" w:rsidR="00404735" w:rsidRDefault="00000000">
            <w:pPr>
              <w:spacing w:before="40" w:after="40" w:line="240" w:lineRule="auto"/>
              <w:jc w:val="center"/>
            </w:pPr>
            <w:r>
              <w:rPr>
                <w:rFonts w:ascii="Times New Roman" w:hAnsi="Times New Roman"/>
                <w:color w:val="000000"/>
                <w:sz w:val="20"/>
              </w:rPr>
              <w:t>6,6%</w:t>
            </w:r>
          </w:p>
        </w:tc>
        <w:tc>
          <w:tcPr>
            <w:tcW w:w="1500" w:type="dxa"/>
            <w:tcMar>
              <w:top w:w="40" w:type="dxa"/>
              <w:left w:w="80" w:type="dxa"/>
              <w:bottom w:w="40" w:type="dxa"/>
              <w:right w:w="80" w:type="dxa"/>
            </w:tcMar>
            <w:vAlign w:val="center"/>
            <w:tcBorders>
              <w:top w:val="none"/>
              <w:left w:val="none"/>
              <w:right w:val="none"/>
              <w:bottom w:val="single" w:sz="4" w:space="0" w:color="000000"/>
            </w:tcBorders>
          </w:tcPr>
          <w:p w14:paraId="1DC6AEBE" w14:textId="77777777" w:rsidR="00404735" w:rsidRDefault="00000000">
            <w:pPr>
              <w:spacing w:before="40" w:after="40" w:line="240" w:lineRule="auto"/>
              <w:jc w:val="center"/>
            </w:pPr>
            <w:r>
              <w:rPr>
                <w:rFonts w:ascii="Times New Roman" w:hAnsi="Times New Roman"/>
                <w:color w:val="000000"/>
                <w:sz w:val="20"/>
              </w:rPr>
              <w:t>7</w:t>
            </w:r>
          </w:p>
        </w:tc>
      </w:tr>
      <w:tr w:rsidR="00404735" w14:paraId="5AC7F9C8" w14:textId="77777777">
        <w:tblPrEx>
          <w:tblCellMar>
            <w:top w:w="0" w:type="dxa"/>
            <w:bottom w:w="0" w:type="dxa"/>
          </w:tblCellMar>
        </w:tblPrEx>
        <w:trPr>
          <w:jc w:val="center"/>
          <w:cantSplit/>
        </w:trPr>
        <w:tc>
          <w:tcPr>
            <w:tcW w:w="700" w:type="dxa"/>
            <w:tcMar>
              <w:top w:w="40" w:type="dxa"/>
              <w:left w:w="80" w:type="dxa"/>
              <w:bottom w:w="40" w:type="dxa"/>
              <w:right w:w="80" w:type="dxa"/>
            </w:tcMar>
            <w:vAlign w:val="center"/>
            <w:tcBorders>
              <w:top w:val="none"/>
              <w:left w:val="none"/>
              <w:right w:val="none"/>
              <w:bottom w:val="single" w:sz="4" w:space="0" w:color="000000"/>
            </w:tcBorders>
          </w:tcPr>
          <w:p w14:paraId="7AC34F9F" w14:textId="77777777" w:rsidR="00404735" w:rsidRDefault="00000000">
            <w:pPr>
              <w:spacing w:before="40" w:after="40" w:line="240" w:lineRule="auto"/>
              <w:jc w:val="center"/>
            </w:pPr>
            <w:r>
              <w:rPr>
                <w:rFonts w:ascii="Times New Roman" w:hAnsi="Times New Roman"/>
                <w:color w:val="000000"/>
                <w:sz w:val="20"/>
              </w:rPr>
              <w:t>7</w:t>
            </w:r>
          </w:p>
        </w:tc>
        <w:tc>
          <w:tcPr>
            <w:tcW w:w="2400" w:type="dxa"/>
            <w:tcMar>
              <w:top w:w="40" w:type="dxa"/>
              <w:left w:w="80" w:type="dxa"/>
              <w:bottom w:w="40" w:type="dxa"/>
              <w:right w:w="80" w:type="dxa"/>
            </w:tcMar>
            <w:vAlign w:val="center"/>
            <w:tcBorders>
              <w:top w:val="none"/>
              <w:left w:val="none"/>
              <w:right w:val="none"/>
              <w:bottom w:val="single" w:sz="4" w:space="0" w:color="000000"/>
            </w:tcBorders>
          </w:tcPr>
          <w:p w14:paraId="31D27967" w14:textId="77777777" w:rsidR="00404735" w:rsidRDefault="00000000">
            <w:pPr>
              <w:spacing w:before="40" w:after="40" w:line="240" w:lineRule="auto"/>
            </w:pPr>
            <w:r>
              <w:rPr>
                <w:rFonts w:ascii="Times New Roman" w:hAnsi="Times New Roman"/>
                <w:color w:val="000000"/>
                <w:sz w:val="20"/>
              </w:rPr>
              <w:t>Tambora</w:t>
            </w:r>
          </w:p>
        </w:tc>
        <w:tc>
          <w:tcPr>
            <w:tcW w:w="2000" w:type="dxa"/>
            <w:tcMar>
              <w:top w:w="40" w:type="dxa"/>
              <w:left w:w="80" w:type="dxa"/>
              <w:bottom w:w="40" w:type="dxa"/>
              <w:right w:w="80" w:type="dxa"/>
            </w:tcMar>
            <w:vAlign w:val="center"/>
            <w:tcBorders>
              <w:top w:val="none"/>
              <w:left w:val="none"/>
              <w:right w:val="none"/>
              <w:bottom w:val="single" w:sz="4" w:space="0" w:color="000000"/>
            </w:tcBorders>
          </w:tcPr>
          <w:p w14:paraId="72883AF5" w14:textId="77777777" w:rsidR="00404735" w:rsidRDefault="00000000">
            <w:pPr>
              <w:spacing w:before="40" w:after="40" w:line="240" w:lineRule="auto"/>
              <w:jc w:val="center"/>
            </w:pPr>
            <w:r>
              <w:rPr>
                <w:rFonts w:ascii="Times New Roman" w:hAnsi="Times New Roman"/>
                <w:color w:val="000000"/>
                <w:sz w:val="20"/>
              </w:rPr>
              <w:t>51.473</w:t>
            </w:r>
          </w:p>
        </w:tc>
        <w:tc>
          <w:tcPr>
            <w:tcW w:w="1337" w:type="dxa"/>
            <w:tcMar>
              <w:top w:w="40" w:type="dxa"/>
              <w:left w:w="80" w:type="dxa"/>
              <w:bottom w:w="40" w:type="dxa"/>
              <w:right w:w="80" w:type="dxa"/>
            </w:tcMar>
            <w:vAlign w:val="center"/>
            <w:tcBorders>
              <w:top w:val="none"/>
              <w:left w:val="none"/>
              <w:right w:val="none"/>
              <w:bottom w:val="single" w:sz="4" w:space="0" w:color="000000"/>
            </w:tcBorders>
          </w:tcPr>
          <w:p w14:paraId="6F4AC156" w14:textId="77777777" w:rsidR="00404735" w:rsidRDefault="00000000">
            <w:pPr>
              <w:spacing w:before="40" w:after="40" w:line="240" w:lineRule="auto"/>
              <w:jc w:val="center"/>
            </w:pPr>
            <w:r>
              <w:rPr>
                <w:rFonts w:ascii="Times New Roman" w:hAnsi="Times New Roman"/>
                <w:color w:val="000000"/>
                <w:sz w:val="20"/>
              </w:rPr>
              <w:t>9,7%</w:t>
            </w:r>
          </w:p>
        </w:tc>
        <w:tc>
          <w:tcPr>
            <w:tcW w:w="1500" w:type="dxa"/>
            <w:tcMar>
              <w:top w:w="40" w:type="dxa"/>
              <w:left w:w="80" w:type="dxa"/>
              <w:bottom w:w="40" w:type="dxa"/>
              <w:right w:w="80" w:type="dxa"/>
            </w:tcMar>
            <w:vAlign w:val="center"/>
            <w:tcBorders>
              <w:top w:val="none"/>
              <w:left w:val="none"/>
              <w:right w:val="none"/>
              <w:bottom w:val="single" w:sz="4" w:space="0" w:color="000000"/>
            </w:tcBorders>
          </w:tcPr>
          <w:p w14:paraId="21E7F5A8" w14:textId="77777777" w:rsidR="00404735" w:rsidRDefault="00000000">
            <w:pPr>
              <w:spacing w:before="40" w:after="40" w:line="240" w:lineRule="auto"/>
              <w:jc w:val="center"/>
            </w:pPr>
            <w:r>
              <w:rPr>
                <w:rFonts w:ascii="Times New Roman" w:hAnsi="Times New Roman"/>
                <w:color w:val="000000"/>
                <w:sz w:val="20"/>
              </w:rPr>
              <w:t>10</w:t>
            </w:r>
          </w:p>
        </w:tc>
      </w:tr>
      <w:tr w:rsidR="00404735" w14:paraId="775EDFFB" w14:textId="77777777">
        <w:tblPrEx>
          <w:tblCellMar>
            <w:top w:w="0" w:type="dxa"/>
            <w:bottom w:w="0" w:type="dxa"/>
          </w:tblCellMar>
        </w:tblPrEx>
        <w:trPr>
          <w:jc w:val="center"/>
          <w:cantSplit/>
        </w:trPr>
        <w:tc>
          <w:tcPr>
            <w:tcW w:w="700" w:type="dxa"/>
            <w:tcMar>
              <w:top w:w="40" w:type="dxa"/>
              <w:left w:w="80" w:type="dxa"/>
              <w:bottom w:w="40" w:type="dxa"/>
              <w:right w:w="80" w:type="dxa"/>
            </w:tcMar>
            <w:vAlign w:val="center"/>
            <w:tcBorders>
              <w:top w:val="none"/>
              <w:left w:val="none"/>
              <w:right w:val="none"/>
              <w:bottom w:val="single" w:sz="4" w:space="0" w:color="000000"/>
            </w:tcBorders>
          </w:tcPr>
          <w:p w14:paraId="44C65FFF" w14:textId="77777777" w:rsidR="00404735" w:rsidRDefault="00000000">
            <w:pPr>
              <w:spacing w:before="40" w:after="40" w:line="240" w:lineRule="auto"/>
              <w:jc w:val="center"/>
            </w:pPr>
            <w:r>
              <w:rPr>
                <w:rFonts w:ascii="Times New Roman" w:hAnsi="Times New Roman"/>
                <w:color w:val="000000"/>
                <w:sz w:val="20"/>
              </w:rPr>
              <w:t>8</w:t>
            </w:r>
          </w:p>
        </w:tc>
        <w:tc>
          <w:tcPr>
            <w:tcW w:w="2400" w:type="dxa"/>
            <w:tcMar>
              <w:top w:w="40" w:type="dxa"/>
              <w:left w:w="80" w:type="dxa"/>
              <w:bottom w:w="40" w:type="dxa"/>
              <w:right w:w="80" w:type="dxa"/>
            </w:tcMar>
            <w:vAlign w:val="center"/>
            <w:tcBorders>
              <w:top w:val="none"/>
              <w:left w:val="none"/>
              <w:right w:val="none"/>
              <w:bottom w:val="single" w:sz="4" w:space="0" w:color="000000"/>
            </w:tcBorders>
          </w:tcPr>
          <w:p w14:paraId="095D9A86" w14:textId="77777777" w:rsidR="00404735" w:rsidRDefault="00000000">
            <w:pPr>
              <w:spacing w:before="40" w:after="40" w:line="240" w:lineRule="auto"/>
            </w:pPr>
            <w:r>
              <w:rPr>
                <w:rFonts w:ascii="Times New Roman" w:hAnsi="Times New Roman"/>
                <w:color w:val="000000"/>
                <w:sz w:val="20"/>
              </w:rPr>
              <w:t>Taman Sari</w:t>
            </w:r>
          </w:p>
        </w:tc>
        <w:tc>
          <w:tcPr>
            <w:tcW w:w="2000" w:type="dxa"/>
            <w:tcMar>
              <w:top w:w="40" w:type="dxa"/>
              <w:left w:w="80" w:type="dxa"/>
              <w:bottom w:w="40" w:type="dxa"/>
              <w:right w:w="80" w:type="dxa"/>
            </w:tcMar>
            <w:vAlign w:val="center"/>
            <w:tcBorders>
              <w:top w:val="none"/>
              <w:left w:val="none"/>
              <w:right w:val="none"/>
              <w:bottom w:val="single" w:sz="4" w:space="0" w:color="000000"/>
            </w:tcBorders>
          </w:tcPr>
          <w:p w14:paraId="66FDB4D5" w14:textId="77777777" w:rsidR="00404735" w:rsidRDefault="00000000">
            <w:pPr>
              <w:spacing w:before="40" w:after="40" w:line="240" w:lineRule="auto"/>
              <w:jc w:val="center"/>
            </w:pPr>
            <w:r>
              <w:rPr>
                <w:rFonts w:ascii="Times New Roman" w:hAnsi="Times New Roman"/>
                <w:color w:val="000000"/>
                <w:sz w:val="20"/>
              </w:rPr>
              <w:t>38.281</w:t>
            </w:r>
          </w:p>
        </w:tc>
        <w:tc>
          <w:tcPr>
            <w:tcW w:w="1337" w:type="dxa"/>
            <w:tcMar>
              <w:top w:w="40" w:type="dxa"/>
              <w:left w:w="80" w:type="dxa"/>
              <w:bottom w:w="40" w:type="dxa"/>
              <w:right w:w="80" w:type="dxa"/>
            </w:tcMar>
            <w:vAlign w:val="center"/>
            <w:tcBorders>
              <w:top w:val="none"/>
              <w:left w:val="none"/>
              <w:right w:val="none"/>
              <w:bottom w:val="single" w:sz="4" w:space="0" w:color="000000"/>
            </w:tcBorders>
          </w:tcPr>
          <w:p w14:paraId="2E0F4B63" w14:textId="77777777" w:rsidR="00404735" w:rsidRDefault="00000000">
            <w:pPr>
              <w:spacing w:before="40" w:after="40" w:line="240" w:lineRule="auto"/>
              <w:jc w:val="center"/>
            </w:pPr>
            <w:r>
              <w:rPr>
                <w:rFonts w:ascii="Times New Roman" w:hAnsi="Times New Roman"/>
                <w:color w:val="000000"/>
                <w:sz w:val="20"/>
              </w:rPr>
              <w:t>7,3%</w:t>
            </w:r>
          </w:p>
        </w:tc>
        <w:tc>
          <w:tcPr>
            <w:tcW w:w="1500" w:type="dxa"/>
            <w:tcMar>
              <w:top w:w="40" w:type="dxa"/>
              <w:left w:w="80" w:type="dxa"/>
              <w:bottom w:w="40" w:type="dxa"/>
              <w:right w:w="80" w:type="dxa"/>
            </w:tcMar>
            <w:vAlign w:val="center"/>
            <w:tcBorders>
              <w:top w:val="none"/>
              <w:left w:val="none"/>
              <w:right w:val="none"/>
              <w:bottom w:val="single" w:sz="4" w:space="0" w:color="000000"/>
            </w:tcBorders>
          </w:tcPr>
          <w:p w14:paraId="1BCBE00C" w14:textId="77777777" w:rsidR="00404735" w:rsidRDefault="00000000">
            <w:pPr>
              <w:spacing w:before="40" w:after="40" w:line="240" w:lineRule="auto"/>
              <w:jc w:val="center"/>
            </w:pPr>
            <w:r>
              <w:rPr>
                <w:rFonts w:ascii="Times New Roman" w:hAnsi="Times New Roman"/>
                <w:color w:val="000000"/>
                <w:sz w:val="20"/>
              </w:rPr>
              <w:t>7</w:t>
            </w:r>
          </w:p>
        </w:tc>
      </w:tr>
      <w:tr w:rsidR="00404735" w14:paraId="324C4474" w14:textId="77777777">
        <w:tblPrEx>
          <w:tblCellMar>
            <w:top w:w="0" w:type="dxa"/>
            <w:bottom w:w="0" w:type="dxa"/>
          </w:tblCellMar>
        </w:tblPrEx>
        <w:trPr>
          <w:jc w:val="center"/>
          <w:cantSplit/>
        </w:trPr>
        <w:tc>
          <w:tcPr>
            <w:tcW w:w="700" w:type="dxa"/>
            <w:shd w:val="clear" w:color="auto" w:fill="D9D9D9"/>
            <w:tcMar>
              <w:top w:w="40" w:type="dxa"/>
              <w:left w:w="80" w:type="dxa"/>
              <w:bottom w:w="40" w:type="dxa"/>
              <w:right w:w="80" w:type="dxa"/>
            </w:tcMar>
            <w:vAlign w:val="center"/>
            <w:tcBorders>
              <w:top w:val="none"/>
              <w:left w:val="none"/>
              <w:right w:val="none"/>
              <w:bottom w:val="single" w:sz="8" w:space="0" w:color="000000"/>
            </w:tcBorders>
          </w:tcPr>
          <w:p w14:paraId="0DC3A629" w14:textId="77777777" w:rsidR="00404735" w:rsidRDefault="00404735">
            <w:pPr>
              <w:spacing w:before="40" w:after="40" w:line="240" w:lineRule="auto"/>
              <w:jc w:val="center"/>
            </w:pPr>
          </w:p>
        </w:tc>
        <w:tc>
          <w:tcPr>
            <w:tcW w:w="2400" w:type="dxa"/>
            <w:shd w:val="clear" w:color="auto" w:fill="D9D9D9"/>
            <w:tcMar>
              <w:top w:w="40" w:type="dxa"/>
              <w:left w:w="80" w:type="dxa"/>
              <w:bottom w:w="40" w:type="dxa"/>
              <w:right w:w="80" w:type="dxa"/>
            </w:tcMar>
            <w:vAlign w:val="center"/>
            <w:tcBorders>
              <w:top w:val="none"/>
              <w:left w:val="none"/>
              <w:right w:val="none"/>
              <w:bottom w:val="single" w:sz="8" w:space="0" w:color="000000"/>
            </w:tcBorders>
          </w:tcPr>
          <w:p w14:paraId="25CA1DAE" w14:textId="77777777" w:rsidR="00404735" w:rsidRDefault="00000000">
            <w:pPr>
              <w:spacing w:before="40" w:after="40" w:line="240" w:lineRule="auto"/>
              <w:jc w:val="center"/>
            </w:pPr>
            <w:r>
              <w:rPr>
                <w:rFonts w:ascii="Times New Roman" w:hAnsi="Times New Roman"/>
                <w:b/>
                <w:bCs/>
                <w:color w:val="000000"/>
                <w:sz w:val="20"/>
              </w:rPr>
              <w:t>Total</w:t>
            </w:r>
          </w:p>
        </w:tc>
        <w:tc>
          <w:tcPr>
            <w:tcW w:w="2000" w:type="dxa"/>
            <w:shd w:val="clear" w:color="auto" w:fill="D9D9D9"/>
            <w:tcMar>
              <w:top w:w="40" w:type="dxa"/>
              <w:left w:w="80" w:type="dxa"/>
              <w:bottom w:w="40" w:type="dxa"/>
              <w:right w:w="80" w:type="dxa"/>
            </w:tcMar>
            <w:vAlign w:val="center"/>
            <w:tcBorders>
              <w:top w:val="none"/>
              <w:left w:val="none"/>
              <w:right w:val="none"/>
              <w:bottom w:val="single" w:sz="8" w:space="0" w:color="000000"/>
            </w:tcBorders>
          </w:tcPr>
          <w:p w14:paraId="55E16B2F" w14:textId="77777777" w:rsidR="00404735" w:rsidRDefault="00000000">
            <w:pPr>
              <w:spacing w:before="40" w:after="40" w:line="240" w:lineRule="auto"/>
              <w:jc w:val="center"/>
            </w:pPr>
            <w:r>
              <w:rPr>
                <w:rFonts w:ascii="Times New Roman" w:hAnsi="Times New Roman"/>
                <w:b/>
                <w:bCs/>
                <w:color w:val="000000"/>
                <w:sz w:val="20"/>
              </w:rPr>
              <w:t>528.080</w:t>
            </w:r>
          </w:p>
        </w:tc>
        <w:tc>
          <w:tcPr>
            <w:tcW w:w="1337" w:type="dxa"/>
            <w:shd w:val="clear" w:color="auto" w:fill="D9D9D9"/>
            <w:tcMar>
              <w:top w:w="40" w:type="dxa"/>
              <w:left w:w="80" w:type="dxa"/>
              <w:bottom w:w="40" w:type="dxa"/>
              <w:right w:w="80" w:type="dxa"/>
            </w:tcMar>
            <w:vAlign w:val="center"/>
            <w:tcBorders>
              <w:top w:val="none"/>
              <w:left w:val="none"/>
              <w:right w:val="none"/>
              <w:bottom w:val="single" w:sz="8" w:space="0" w:color="000000"/>
            </w:tcBorders>
          </w:tcPr>
          <w:p w14:paraId="43D9D526" w14:textId="77777777" w:rsidR="00404735" w:rsidRDefault="00000000">
            <w:pPr>
              <w:spacing w:before="40" w:after="40" w:line="240" w:lineRule="auto"/>
              <w:jc w:val="center"/>
            </w:pPr>
            <w:r>
              <w:rPr>
                <w:rFonts w:ascii="Times New Roman" w:hAnsi="Times New Roman"/>
                <w:b/>
                <w:bCs/>
                <w:color w:val="000000"/>
                <w:sz w:val="20"/>
              </w:rPr>
              <w:t>100%</w:t>
            </w:r>
          </w:p>
        </w:tc>
        <w:tc>
          <w:tcPr>
            <w:tcW w:w="1500" w:type="dxa"/>
            <w:shd w:val="clear" w:color="auto" w:fill="D9D9D9"/>
            <w:tcMar>
              <w:top w:w="40" w:type="dxa"/>
              <w:left w:w="80" w:type="dxa"/>
              <w:bottom w:w="40" w:type="dxa"/>
              <w:right w:w="80" w:type="dxa"/>
            </w:tcMar>
            <w:vAlign w:val="center"/>
            <w:tcBorders>
              <w:top w:val="none"/>
              <w:left w:val="none"/>
              <w:right w:val="none"/>
              <w:bottom w:val="single" w:sz="8" w:space="0" w:color="000000"/>
            </w:tcBorders>
          </w:tcPr>
          <w:p w14:paraId="16D2DBF0" w14:textId="77777777" w:rsidR="00404735" w:rsidRDefault="00000000">
            <w:pPr>
              <w:spacing w:before="40" w:after="40" w:line="240" w:lineRule="auto"/>
              <w:jc w:val="center"/>
            </w:pPr>
            <w:r>
              <w:rPr>
                <w:rFonts w:ascii="Times New Roman" w:hAnsi="Times New Roman"/>
                <w:b/>
                <w:bCs/>
                <w:color w:val="000000"/>
                <w:sz w:val="20"/>
              </w:rPr>
              <w:t>100</w:t>
            </w:r>
          </w:p>
        </w:tc>
      </w:tr>
    </w:tbl>
    <w:p w14:paraId="32EAEDCF" w14:textId="77777777" w:rsidR="00404735" w:rsidRDefault="00000000" is_subsub="false" is_formula="false" orig_style="Normal">
      <w:pPr>
        <w:spacing w:before="60" w:after="120" w:line="240" w:lineRule="auto"/>
        <w:ind w:left="0" w:right="0" w:firstLine="0"/>
        <w:jc w:val="left"/>
      </w:pPr>
      <w:r>
        <w:rPr>
          <w:rFonts w:ascii="Times New Roman" w:hAnsi="Times New Roman"/>
          <w:b w:val="0"/>
          <w:i w:val="0"/>
          <w:iCs/>
          <w:color w:val="000000"/>
          <w:sz w:val="20"/>
          <w:szCs w:val="22"/>
        </w:rPr>
        <w:t>Sumber: Diolah oleh peneliti berdasarkan data Badan Pendapatan Daerah Provinsi DKI Jakarta (2026).</w:t>
      </w:r>
    </w:p>
    <w:p w14:paraId="79B1E59A" w14:textId="77777777" w:rsidR="00404735" w:rsidRDefault="00000000" is_subsub="false" is_formula="false" orig_style="Heading 2">
      <w:bookmarkStart w:id="139" w:name="_Toc138"/>
      <w:pPr>
        <w:pStyle w:val="Heading2"/>
        <w:keepNext/>
        <w:jc w:val="left"/>
        <w:numPr>
          <w:ilvl w:val="1"/>
          <w:numId w:val="2"/>
        </w:numPr>
        <w:ind w:left="567" w:hanging="567"/>
        <w:outlineLvl w:val="1"/>
        <w:spacing w:before="240" w:after="120" w:line="276" w:lineRule="auto" w:beforeAutospacing="0" w:afterAutospacing="0"/>
      </w:pPr>
      <w:r>
        <w:rPr>
          <w:rFonts w:ascii="Times New Roman" w:hAnsi="Times New Roman"/>
          <w:b/>
          <w:i w:val="0"/>
          <w:color w:val="000000"/>
          <w:sz w:val="24"/>
        </w:rPr>
        <w:t>Teknik Pengumpulan Data</w:t>
      </w:r>
      <w:bookmarkEnd w:id="139"/>
    </w:p>
    <w:p w14:paraId="38C2491F" w14:textId="77777777" w:rsidR="00404735" w:rsidRDefault="00000000" is_subsub="false" is_formula="false" orig_style="Normal">
      <w:pPr>
        <w:spacing w:before="0" w:after="120" w:line="276" w:lineRule="auto" w:beforeAutospacing="0" w:afterAutospacing="0"/>
        <w:ind w:left="0" w:right="0" w:firstLine="567"/>
        <w:jc w:val="both"/>
      </w:pPr>
      <w:r>
        <w:rPr>
          <w:rFonts w:ascii="Times New Roman" w:hAnsi="Times New Roman"/>
          <w:b w:val="0"/>
          <w:i w:val="0"/>
          <w:color w:val="000000"/>
          <w:sz w:val="24"/>
        </w:rPr>
        <w:lastRenderedPageBreak/>
        <w:t>Teknik pengumpulan data merupakan langkah paling strategis dalam penelitian karena tujuan utamanya adalah memperoleh data (Sugiyono, 2023). Pengumpulan data primer dilakukan dengan teknik survei melalui penyebaran kuesioner, yaitu teknik pengumpulan data yang dilakukan dengan memberi seperangkat pernyataan tertulis kepada responden untuk dijawab (Sugiyono, 2023). Kuesioner memuat pernyataan terstruktur yang disusun berdasarkan indikator setiap variabel dan diukur dengan skala Likert lima poin. Data sekunder dikumpulkan melalui teknik dokumentasi terhadap data Badan Pendapatan Daerah Provinsi DKI Jakarta, seperti rekapitulasi SPPT, realisasi penerimaan PBB-P2, dan jumlah objek pajak, serta peraturan perundang-undangan terkait sebagai pendukung.</w:t>
      </w:r>
    </w:p>
    <w:p w14:paraId="107BEDA0" w14:textId="77777777" w:rsidR="00404735" w:rsidRDefault="00000000" is_subsub="false" is_formula="false" orig_style="Heading 2">
      <w:bookmarkStart w:id="140" w:name="_Toc139"/>
      <w:pPr>
        <w:pStyle w:val="Heading2"/>
        <w:keepNext/>
        <w:jc w:val="left"/>
        <w:numPr>
          <w:ilvl w:val="1"/>
          <w:numId w:val="2"/>
        </w:numPr>
        <w:ind w:left="567" w:hanging="567"/>
        <w:outlineLvl w:val="1"/>
        <w:spacing w:before="240" w:after="120" w:line="276" w:lineRule="auto" w:beforeAutospacing="0" w:afterAutospacing="0"/>
      </w:pPr>
      <w:r>
        <w:rPr>
          <w:rFonts w:ascii="Times New Roman" w:hAnsi="Times New Roman"/>
          <w:b/>
          <w:i w:val="0"/>
          <w:color w:val="000000"/>
          <w:sz w:val="24"/>
        </w:rPr>
        <w:t>Metode Analisis Data</w:t>
      </w:r>
      <w:bookmarkEnd w:id="140"/>
    </w:p>
    <w:p w14:paraId="7D57D1E9" w14:textId="77777777" w:rsidR="00404735" w:rsidRDefault="00000000" is_subsub="false" is_formula="false" orig_style="Normal">
      <w:pPr>
        <w:spacing w:before="0" w:after="120" w:line="276" w:lineRule="auto" w:beforeAutospacing="0" w:afterAutospacing="0"/>
        <w:ind w:left="0" w:right="0" w:firstLine="567"/>
        <w:jc w:val="both"/>
      </w:pPr>
      <w:r/>
      <w:r>
        <w:rPr>
          <w:rFonts w:ascii="Times New Roman" w:hAnsi="Times New Roman"/>
          <w:b w:val="0"/>
          <w:i w:val="0"/>
          <w:color w:val="000000"/>
          <w:sz w:val="24"/>
        </w:rPr>
        <w:t xml:space="preserve">Data dianalisis menggunakan metode Partial Least Squares Structural Equation Modeling (PLS-SEM) dengan bantuan program SmartPLS. Metode PLS-SEM dipilih karena mampu menguji hubungan kausal antarvariabel laten secara simultan, tidak mensyaratkan asumsi distribusi normal, dan dapat bekerja dengan baik pada ukuran sampel yang relatif kecil (Hair </w:t>
      </w:r>
      <w:r>
        <w:rPr>
          <w:rFonts w:ascii="Times New Roman" w:hAnsi="Times New Roman"/>
          <w:b w:val="0"/>
          <w:i/>
          <w:color w:val="000000"/>
          <w:sz w:val="24"/>
        </w:rPr>
        <w:t>et al</w:t>
      </w:r>
      <w:r>
        <w:rPr>
          <w:rFonts w:ascii="Times New Roman" w:hAnsi="Times New Roman"/>
          <w:b w:val="0"/>
          <w:i w:val="0"/>
          <w:color w:val="000000"/>
          <w:sz w:val="24"/>
        </w:rPr>
        <w:t>., 2022). Evaluasi model PLS-SEM dilakukan melalui dua tahap, yaitu evaluasi model pengukuran (outer model) dan evaluasi model struktural (inner model).</w:t>
      </w:r>
    </w:p>
    <w:p w14:paraId="2D1CE017" w14:textId="77777777" w:rsidR="00404735" w:rsidRDefault="00000000" is_subsub="true" is_formula="false" orig_style="Heading 3">
      <w:bookmarkStart w:id="141" w:name="_Toc140"/>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Statistik Deskriptif</w:t>
      </w:r>
      <w:bookmarkEnd w:id="141"/>
    </w:p>
    <w:p w14:paraId="47CDA35A"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Statistik deskriptif digunakan untuk mendeskripsikan karakteristik responden dan jawaban atas setiap variabel, antara lain melalui nilai minimum, maksimum, rata-rata, dan standar deviasi (Sugiyono, 2023). Analisis ini membantu memahami sebaran data sebelum dilakukan pengujian model.</w:t>
      </w:r>
    </w:p>
    <w:p w14:paraId="37009B19" w14:textId="77777777" w:rsidR="00404735" w:rsidRDefault="00000000" is_subsub="true" is_formula="false" orig_style="Heading 3">
      <w:bookmarkStart w:id="142" w:name="_Toc141"/>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Evaluasi Model Pengukuran (outer Model)</w:t>
      </w:r>
      <w:bookmarkEnd w:id="142"/>
    </w:p>
    <w:p w14:paraId="2D4ADB09"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Evaluasi model pengukuran bertujuan menilai validitas dan reliabilitas indikator dalam mengukur variabel laten (Hair </w:t>
      </w:r>
      <w:r>
        <w:rPr>
          <w:rFonts w:ascii="Times New Roman" w:hAnsi="Times New Roman"/>
          <w:b w:val="0"/>
          <w:i/>
          <w:color w:val="000000"/>
          <w:sz w:val="24"/>
        </w:rPr>
        <w:t>et al</w:t>
      </w:r>
      <w:r>
        <w:rPr>
          <w:rFonts w:ascii="Times New Roman" w:hAnsi="Times New Roman"/>
          <w:b w:val="0"/>
          <w:i w:val="0"/>
          <w:color w:val="000000"/>
          <w:sz w:val="24"/>
        </w:rPr>
        <w:t>., 2022). Pengujian dilakukan melalui validitas konvergen, validitas diskriminan, dan reliabilitas.</w:t>
      </w:r>
    </w:p>
    <w:p w14:paraId="2BC1B0A7"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Validitas konvergen dinilai dari nilai outer loading dan average variance extracted (AVE). Indikator dinyatakan memenuhi validitas konvergen apabila nilai outer loading lebih besar dari 0,70 dan nilai AVE lebih besar dari 0,50 (Hair </w:t>
      </w:r>
      <w:r>
        <w:rPr>
          <w:rFonts w:ascii="Times New Roman" w:hAnsi="Times New Roman"/>
          <w:b w:val="0"/>
          <w:i/>
          <w:color w:val="000000"/>
          <w:sz w:val="24"/>
        </w:rPr>
        <w:t>et al</w:t>
      </w:r>
      <w:r>
        <w:rPr>
          <w:rFonts w:ascii="Times New Roman" w:hAnsi="Times New Roman"/>
          <w:b w:val="0"/>
          <w:i w:val="0"/>
          <w:color w:val="000000"/>
          <w:sz w:val="24"/>
        </w:rPr>
        <w:t>., 2022).</w:t>
      </w:r>
    </w:p>
    <w:p w14:paraId="40A2BBFA"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Validitas diskriminan dinilai melalui kriteria Fornell-Larcker dan heterotrait-monotrait ratio (HTMT). Model memenuhi validitas diskriminan apabila akar AVE setiap variabel lebih besar daripada korelasinya dengan variabel lain dan nilai HTMT lebih kecil dari 0,90 (Hair </w:t>
      </w:r>
      <w:r>
        <w:rPr>
          <w:rFonts w:ascii="Times New Roman" w:hAnsi="Times New Roman"/>
          <w:b w:val="0"/>
          <w:i/>
          <w:color w:val="000000"/>
          <w:sz w:val="24"/>
        </w:rPr>
        <w:t>et al</w:t>
      </w:r>
      <w:r>
        <w:rPr>
          <w:rFonts w:ascii="Times New Roman" w:hAnsi="Times New Roman"/>
          <w:b w:val="0"/>
          <w:i w:val="0"/>
          <w:color w:val="000000"/>
          <w:sz w:val="24"/>
        </w:rPr>
        <w:t>., 2022).</w:t>
      </w:r>
    </w:p>
    <w:p w14:paraId="3E124056"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Reliabilitas diukur melalui nilai Cronbach’s Alpha dan composite reliability. Suatu variabel dinyatakan reliabel apabila kedua nilai tersebut lebih besar dari 0,70 (Hair </w:t>
      </w:r>
      <w:r>
        <w:rPr>
          <w:rFonts w:ascii="Times New Roman" w:hAnsi="Times New Roman"/>
          <w:b w:val="0"/>
          <w:i/>
          <w:color w:val="000000"/>
          <w:sz w:val="24"/>
        </w:rPr>
        <w:t>et al</w:t>
      </w:r>
      <w:r>
        <w:rPr>
          <w:rFonts w:ascii="Times New Roman" w:hAnsi="Times New Roman"/>
          <w:b w:val="0"/>
          <w:i w:val="0"/>
          <w:color w:val="000000"/>
          <w:sz w:val="24"/>
        </w:rPr>
        <w:t>., 2022).</w:t>
      </w:r>
    </w:p>
    <w:p w14:paraId="5D3AE6E7" w14:textId="77777777" w:rsidR="00404735" w:rsidRDefault="00000000" is_subsub="true" is_formula="false" orig_style="Heading 3">
      <w:bookmarkStart w:id="143" w:name="_Toc142"/>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Evaluasi Model Struktural (inner Model)</w:t>
      </w:r>
      <w:bookmarkEnd w:id="143"/>
    </w:p>
    <w:p w14:paraId="37B90695"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Evaluasi model struktural bertujuan menguji hubungan antarvariabel laten serta kemampuan prediksi model (Hair </w:t>
      </w:r>
      <w:r>
        <w:rPr>
          <w:rFonts w:ascii="Times New Roman" w:hAnsi="Times New Roman"/>
          <w:b w:val="0"/>
          <w:i/>
          <w:color w:val="000000"/>
          <w:sz w:val="24"/>
        </w:rPr>
        <w:t>et al</w:t>
      </w:r>
      <w:r>
        <w:rPr>
          <w:rFonts w:ascii="Times New Roman" w:hAnsi="Times New Roman"/>
          <w:b w:val="0"/>
          <w:i w:val="0"/>
          <w:color w:val="000000"/>
          <w:sz w:val="24"/>
        </w:rPr>
        <w:t>., 2022). Evaluasi mencakup uji kolinearitas, koefisien determinasi, ukuran pengaruh, dan relevansi prediktif.</w:t>
      </w:r>
    </w:p>
    <w:p w14:paraId="503E53BA"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Uji kolinearitas dinilai dari nilai variance inflation factor (VIF), dengan ketentuan tidak terjadi kolinearitas antarvariabel apabila nilai VIF lebih kecil dari 5 (Hair </w:t>
      </w:r>
      <w:r>
        <w:rPr>
          <w:rFonts w:ascii="Times New Roman" w:hAnsi="Times New Roman"/>
          <w:b w:val="0"/>
          <w:i/>
          <w:color w:val="000000"/>
          <w:sz w:val="24"/>
        </w:rPr>
        <w:t>et al</w:t>
      </w:r>
      <w:r>
        <w:rPr>
          <w:rFonts w:ascii="Times New Roman" w:hAnsi="Times New Roman"/>
          <w:b w:val="0"/>
          <w:i w:val="0"/>
          <w:color w:val="000000"/>
          <w:sz w:val="24"/>
        </w:rPr>
        <w:t>., 2022).</w:t>
      </w:r>
    </w:p>
    <w:p w14:paraId="021ED8FF"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Koefisien determinasi (R-square) menunjukkan proporsi variasi variabel terikat yang dapat dijelaskan oleh variabel bebas, dengan nilai 0,75; 0,50; dan 0,25 berturut-turut menggambarkan model yang kuat, moderat, dan lemah (Hair </w:t>
      </w:r>
      <w:r>
        <w:rPr>
          <w:rFonts w:ascii="Times New Roman" w:hAnsi="Times New Roman"/>
          <w:b w:val="0"/>
          <w:i/>
          <w:color w:val="000000"/>
          <w:sz w:val="24"/>
        </w:rPr>
        <w:t>et al</w:t>
      </w:r>
      <w:r>
        <w:rPr>
          <w:rFonts w:ascii="Times New Roman" w:hAnsi="Times New Roman"/>
          <w:b w:val="0"/>
          <w:i w:val="0"/>
          <w:color w:val="000000"/>
          <w:sz w:val="24"/>
        </w:rPr>
        <w:t>., 2022).</w:t>
      </w:r>
    </w:p>
    <w:p w14:paraId="74775A9E"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Ukuran pengaruh (f-square) menunjukkan besarnya kontribusi setiap variabel bebas terhadap variabel terikat, dengan nilai 0,02; 0,15; dan 0,35 berturut-turut menunjukkan pengaruh kecil, sedang, dan besar (Hair </w:t>
      </w:r>
      <w:r>
        <w:rPr>
          <w:rFonts w:ascii="Times New Roman" w:hAnsi="Times New Roman"/>
          <w:b w:val="0"/>
          <w:i/>
          <w:color w:val="000000"/>
          <w:sz w:val="24"/>
        </w:rPr>
        <w:t>et al</w:t>
      </w:r>
      <w:r>
        <w:rPr>
          <w:rFonts w:ascii="Times New Roman" w:hAnsi="Times New Roman"/>
          <w:b w:val="0"/>
          <w:i w:val="0"/>
          <w:color w:val="000000"/>
          <w:sz w:val="24"/>
        </w:rPr>
        <w:t>., 2022).</w:t>
      </w:r>
    </w:p>
    <w:p w14:paraId="21DC5125"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Relevansi prediktif (Q-square) yang diperoleh melalui prosedur blindfolding menunjukkan kemampuan prediksi model, dengan nilai lebih besar dari nol menandakan model memiliki relevansi prediktif (Hair </w:t>
      </w:r>
      <w:r>
        <w:rPr>
          <w:rFonts w:ascii="Times New Roman" w:hAnsi="Times New Roman"/>
          <w:b w:val="0"/>
          <w:i/>
          <w:color w:val="000000"/>
          <w:sz w:val="24"/>
        </w:rPr>
        <w:t>et al</w:t>
      </w:r>
      <w:r>
        <w:rPr>
          <w:rFonts w:ascii="Times New Roman" w:hAnsi="Times New Roman"/>
          <w:b w:val="0"/>
          <w:i w:val="0"/>
          <w:color w:val="000000"/>
          <w:sz w:val="24"/>
        </w:rPr>
        <w:t>., 2022).</w:t>
      </w:r>
    </w:p>
    <w:p w14:paraId="1C21B8A8"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Koefisien jalur (path coefficient) menunjukkan arah dan kekuatan pengaruh setiap variabel bebas terhadap variabel terikat. Hubungan antarvariabel laten dalam model struktural penelitian ini dinyatakan dalam persamaan berikut.</w:t>
      </w:r>
    </w:p>
    <w:p w14:paraId="54B5D20E" w14:textId="77777777" w:rsidR="00404735" w:rsidRDefault="00000000" is_subsub="false" is_formula="true" orig_style="Normal">
      <w:pPr>
        <w:spacing w:before="120" w:after="80" w:line="240" w:lineRule="auto"/>
        <w:ind w:left="0" w:right="0" w:firstLine="0"/>
        <w:jc w:val="center"/>
      </w:pPr>
      <w:r>
        <w:lastRenderedPageBreak/>
        <w:tab/>
      </w:r>
      <w:r>
        <w:rPr>
          <w:noProof/>
        </w:rPr>
        <w:drawing>
          <wp:inline distT="0" distB="0" distL="0" distR="0" wp14:anchorId="291EA18D" wp14:editId="1728791D">
            <wp:extent cx="1926000" cy="198000"/>
            <wp:effectExtent l="0" t="0" r="0" b="0"/>
            <wp:docPr id="102" name="Persamaan Struk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ersamaan Struktural"/>
                    <pic:cNvPicPr/>
                  </pic:nvPicPr>
                  <pic:blipFill>
                    <a:blip r:embed="rId10"/>
                    <a:stretch>
                      <a:fillRect/>
                    </a:stretch>
                  </pic:blipFill>
                  <pic:spPr>
                    <a:xfrm>
                      <a:off x="0" y="0"/>
                      <a:ext cx="1926000" cy="198000"/>
                    </a:xfrm>
                    <a:prstGeom prst="rect">
                      <a:avLst/>
                    </a:prstGeom>
                  </pic:spPr>
                </pic:pic>
              </a:graphicData>
            </a:graphic>
          </wp:inline>
        </w:drawing>
      </w:r>
      <w:r>
        <w:tab/>
        <w:t>(3.2)</w:t>
      </w:r>
    </w:p>
    <w:p w14:paraId="5E4858CC" w14:textId="77777777" w:rsidR="00404735" w:rsidRDefault="00000000" is_subsub="false" is_formula="false" orig_style="Normal">
      <w:pPr>
        <w:keepNext/>
        <w:spacing w:after="120" w:line="276" w:lineRule="auto" w:before="0"/>
        <w:ind w:left="0" w:right="0" w:firstLine="0"/>
        <w:jc w:val="left"/>
      </w:pPr>
      <w:r>
        <w:rPr>
          <w:rFonts w:ascii="Times New Roman" w:hAnsi="Times New Roman"/>
          <w:b w:val="0"/>
          <w:i w:val="0"/>
          <w:color w:val="000000"/>
          <w:sz w:val="24"/>
        </w:rPr>
        <w:t>Keterangan: Y = kepatuhan wajib pajak PBB-P2; X₁ = sosialisasi perpajakan; X₂ = sanksi perpajakan; X₃ = kepercayaan pada pemerintah; γ₁, γ₂, γ₃ = koefisien jalur (path coefficient); dan ζ = galat struktural (inner residual).</w:t>
      </w:r>
    </w:p>
    <w:p w14:paraId="188371AA" w14:textId="77777777" w:rsidR="00404735" w:rsidRDefault="00000000" is_subsub="true" is_formula="false" orig_style="Heading 3">
      <w:bookmarkStart w:id="144" w:name="_Toc143"/>
      <w:pPr>
        <w:pStyle w:val="Heading3"/>
        <w:keepNext/>
        <w:jc w:val="left"/>
        <w:numPr>
          <w:ilvl w:val="2"/>
          <w:numId w:val="2"/>
        </w:numPr>
        <w:ind w:left="709" w:hanging="709"/>
        <w:outlineLvl w:val="2"/>
        <w:spacing w:before="160" w:after="120" w:line="276" w:lineRule="auto" w:beforeAutospacing="0" w:afterAutospacing="0"/>
      </w:pPr>
      <w:r>
        <w:rPr>
          <w:rFonts w:ascii="Times New Roman" w:hAnsi="Times New Roman"/>
          <w:b/>
          <w:i w:val="0"/>
          <w:color w:val="000000"/>
          <w:sz w:val="24"/>
        </w:rPr>
        <w:t>Pengujian Hipotesis</w:t>
      </w:r>
      <w:bookmarkEnd w:id="144"/>
    </w:p>
    <w:p w14:paraId="05AC3B49"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Pengujian hipotesis dilakukan dengan prosedur bootstrapping, yaitu teknik penyampelan ulang (resampling) yang menarik subsampel secara berulang dengan pengembalian dari data asli untuk membentuk distribusi empiris parameter. Mengikuti rekomendasi Hair </w:t>
      </w:r>
      <w:r>
        <w:rPr>
          <w:rFonts w:ascii="Times New Roman" w:hAnsi="Times New Roman"/>
          <w:b w:val="0"/>
          <w:i/>
          <w:color w:val="000000"/>
          <w:sz w:val="24"/>
        </w:rPr>
        <w:t>et al</w:t>
      </w:r>
      <w:r>
        <w:rPr>
          <w:rFonts w:ascii="Times New Roman" w:hAnsi="Times New Roman"/>
          <w:b w:val="0"/>
          <w:i w:val="0"/>
          <w:color w:val="000000"/>
          <w:sz w:val="24"/>
        </w:rPr>
        <w:t>. (2022), penelitian ini menggunakan 5.000 subsampel sehingga diperoleh nilai koefisien jalur (path coefficient), t-statistik, dan p-value bagi setiap hubungan antarvariabel.</w:t>
      </w:r>
    </w:p>
    <w:p w14:paraId="3B6B1FA9"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Karena ketiga hipotesis dirumuskan secara berarah, yaitu memprediksi pengaruh positif, pengujian signifikansi menggunakan uji satu sisi (one-tailed test) pada taraf signifikansi 5%. Suatu hipotesis dinyatakan diterima apabila memenuhi tiga kriteria, yaitu arah koefisien jalur positif sesuai prediksi, nilai t-statistik lebih besar dari 1,645, dan nilai p-value lebih kecil dari 0,05 (Hair </w:t>
      </w:r>
      <w:r>
        <w:rPr>
          <w:rFonts w:ascii="Times New Roman" w:hAnsi="Times New Roman"/>
          <w:b w:val="0"/>
          <w:i/>
          <w:color w:val="000000"/>
          <w:sz w:val="24"/>
        </w:rPr>
        <w:t>et al</w:t>
      </w:r>
      <w:r>
        <w:rPr>
          <w:rFonts w:ascii="Times New Roman" w:hAnsi="Times New Roman"/>
          <w:b w:val="0"/>
          <w:i w:val="0"/>
          <w:color w:val="000000"/>
          <w:sz w:val="24"/>
        </w:rPr>
        <w:t>., 2022). Besarnya koefisien jalur sekaligus menunjukkan kekuatan pengaruh setiap variabel bebas terhadap kepatuhan wajib pajak PBB-P2.</w:t>
      </w:r>
    </w:p>
    <w:p w14:paraId="3FDAAD1F" w14:textId="6E04FE3E" w:rsidR="004C7FFC" w:rsidRDefault="004C7FFC"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fldChar w:fldCharType="begin" w:fldLock="1"/>
      </w:r>
      <w:r>
        <w:rPr>
          <w:rFonts w:ascii="Times New Roman" w:hAnsi="Times New Roman"/>
          <w:b w:val="0"/>
          <w:i w:val="0"/>
          <w:color w:val="000000"/>
          <w:sz w:val="24"/>
        </w:rPr>
        <w:instrText>ADDIN CSL_CITATION {"citationItems":[{"id":"ITEM-1","itemData":{"URL":"https://bapenda.jakarta.go.id/artikel/sosialisasi-pajak-daerah-oleh-bapenda-dki-jakarta-meningkatkan-kesadaran-dan-pemahaman-masyarakat","author":[{"dropping-particle":"","family":"Badan Pendapatan Daerah Provinsi DKI Jakarta","given":"","non-dropping-particle":"","parse-names":false,"suffix":""}],"container-title":"Badan Pendapatan Daerah Provinsi DKI Jakarta","id":"ITEM-1","issued":{"date-parts":[["2024"]]},"title":"Sosialisasi Pajak Daerah oleh Bapenda DKI Jakarta: Meningkatkan Kesadaran dan Pemahaman Masyarakat","type":"webpage"},"uris":["http://www.mendeley.com/documents/?uuid=1acef44b-3aa5-4023-89b4-596f5e8227c4"]}],"mendeley":{"formattedCitation":"(Badan Pendapatan Daerah Provinsi DKI Jakarta, 2024)","plainTextFormattedCitation":"(Badan Pendapatan Daerah Provinsi DKI Jakarta, 2024)","previouslyFormattedCitation":"(Badan Pendapatan Daerah Provinsi DKI Jakarta, 2024)"},"properties":{"noteIndex":0},"schema":"https://github.com/citation-style-language/schema/raw/master/csl-citation.json"}</w:instrText>
      </w:r>
      <w:r>
        <w:rPr>
          <w:rFonts w:ascii="Times New Roman" w:hAnsi="Times New Roman"/>
          <w:b w:val="0"/>
          <w:i w:val="0"/>
          <w:color w:val="000000"/>
          <w:sz w:val="24"/>
        </w:rPr>
        <w:fldChar w:fldCharType="separate"/>
      </w:r>
      <w:r w:rsidRPr="004C7FFC">
        <w:rPr>
          <w:rFonts w:ascii="Times New Roman" w:hAnsi="Times New Roman"/>
          <w:b w:val="0"/>
          <w:i w:val="0"/>
          <w:noProof/>
          <w:color w:val="000000"/>
          <w:sz w:val="24"/>
        </w:rPr>
        <w:t>(Badan Pendapatan Daerah Provinsi DKI Jakarta, 2024)</w:t>
      </w:r>
      <w:r>
        <w:rPr>
          <w:rFonts w:ascii="Times New Roman" w:hAnsi="Times New Roman"/>
          <w:b w:val="0"/>
          <w:i w:val="0"/>
          <w:color w:val="000000"/>
          <w:sz w:val="24"/>
        </w:rPr>
        <w:fldChar w:fldCharType="end"/>
      </w:r>
    </w:p>
    <w:p w14:paraId="364EEB6C" w14:textId="577EF45C" w:rsidR="004C7FFC" w:rsidRPr="004C7FFC" w:rsidRDefault="004C7FFC" w:rsidP="004C7FFC" is_subsub="false" is_formula="false" orig_style="Normal">
      <w:pPr>
        <w:widowControl w:val="0"/>
        <w:autoSpaceDE w:val="0"/>
        <w:autoSpaceDN w:val="0"/>
        <w:adjustRightInd w:val="0"/>
        <w:rPr>
          <w:noProof/>
        </w:rPr>
        <w:spacing w:before="0" w:after="120" w:line="276" w:lineRule="auto" w:beforeAutospacing="0" w:afterAutospacing="0"/>
        <w:ind w:left="0" w:right="0" w:firstLine="709"/>
        <w:jc w:val="both"/>
      </w:pPr>
      <w:r>
        <w:rPr>
          <w:rFonts w:ascii="Times New Roman" w:hAnsi="Times New Roman"/>
          <w:b w:val="0"/>
          <w:i w:val="0"/>
          <w:color w:val="000000"/>
          <w:sz w:val="24"/>
        </w:rPr>
        <w:fldChar w:fldCharType="begin" w:fldLock="1"/>
      </w:r>
      <w:r>
        <w:rPr>
          <w:rFonts w:ascii="Times New Roman" w:hAnsi="Times New Roman"/>
          <w:b w:val="0"/>
          <w:i w:val="0"/>
          <w:color w:val="000000"/>
          <w:sz w:val="24"/>
        </w:rPr>
        <w:instrText xml:space="preserve">ADDIN Mendeley Bibliography CSL_BIBLIOGRAPHY </w:instrText>
      </w:r>
      <w:r>
        <w:rPr>
          <w:rFonts w:ascii="Times New Roman" w:hAnsi="Times New Roman"/>
          <w:b w:val="0"/>
          <w:i w:val="0"/>
          <w:color w:val="000000"/>
          <w:sz w:val="24"/>
        </w:rPr>
        <w:fldChar w:fldCharType="separate"/>
      </w:r>
      <w:r w:rsidRPr="004C7FFC">
        <w:rPr>
          <w:rFonts w:ascii="Times New Roman" w:hAnsi="Times New Roman"/>
          <w:b w:val="0"/>
          <w:i w:val="0"/>
          <w:noProof/>
          <w:color w:val="000000"/>
          <w:sz w:val="24"/>
        </w:rPr>
        <w:t xml:space="preserve">Badan Pendapatan Daerah Provinsi DKI Jakarta. (2024). </w:t>
      </w:r>
      <w:r w:rsidRPr="004C7FFC">
        <w:rPr>
          <w:rFonts w:ascii="Times New Roman" w:hAnsi="Times New Roman"/>
          <w:b w:val="0"/>
          <w:i w:val="0"/>
          <w:iCs/>
          <w:noProof/>
          <w:color w:val="000000"/>
          <w:sz w:val="24"/>
        </w:rPr>
        <w:t>Sosialisasi Pajak Daerah oleh Bapenda DKI Jakarta: Meningkatkan Kesadaran dan Pemahaman Masyarakat</w:t>
      </w:r>
      <w:r w:rsidRPr="004C7FFC">
        <w:rPr>
          <w:rFonts w:ascii="Times New Roman" w:hAnsi="Times New Roman"/>
          <w:b w:val="0"/>
          <w:i w:val="0"/>
          <w:noProof/>
          <w:color w:val="000000"/>
          <w:sz w:val="24"/>
        </w:rPr>
        <w:t>. Badan Pendapatan Daerah Provinsi DKI Jakarta. https://bapenda.jakarta.go.id/artikel/sosialisasi-pajak-daerah-oleh-bapenda-dki-jakarta-meningkatkan-kesadaran-dan-pemahaman-masyarakat</w:t>
      </w:r>
    </w:p>
    <w:p w14:paraId="6233D807" w14:textId="0DA2EBC9" w:rsidR="004C7FFC" w:rsidRDefault="004C7FFC" w:rsidP="004C7FFC"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fldChar w:fldCharType="end"/>
      </w:r>
      <w:r w:rsidRPr="004C7FFC">
        <w:rPr>
          <w:rFonts w:ascii="Times New Roman" w:hAnsi="Times New Roman"/>
          <w:b w:val="0"/>
          <w:i w:val="0"/>
          <w:color w:val="000000"/>
          <w:sz w:val="24"/>
        </w:rPr>
        <w:t xml:space="preserve"> </w:t>
      </w:r>
      <w:r>
        <w:rPr>
          <w:rFonts w:ascii="Times New Roman" w:hAnsi="Times New Roman"/>
          <w:b w:val="0"/>
          <w:i w:val="0"/>
          <w:color w:val="000000"/>
          <w:sz w:val="24"/>
        </w:rPr>
        <w:t xml:space="preserve">Badan Pendapatan Daerah Provinsi DKI Jakarta. (2024a). </w:t>
      </w:r>
      <w:r>
        <w:rPr>
          <w:rFonts w:ascii="Times New Roman" w:hAnsi="Times New Roman"/>
          <w:b w:val="0"/>
          <w:i w:val="0"/>
          <w:iCs/>
          <w:color w:val="000000"/>
          <w:sz w:val="24"/>
        </w:rPr>
        <w:t>Sosialisasi pajak daerah oleh Bapenda DKI Jakarta meningkatkan kesadaran dan pemahaman masyarakat</w:t>
      </w:r>
      <w:r>
        <w:rPr>
          <w:rFonts w:ascii="Times New Roman" w:hAnsi="Times New Roman"/>
          <w:b w:val="0"/>
          <w:i w:val="0"/>
          <w:color w:val="000000"/>
          <w:sz w:val="24"/>
        </w:rPr>
        <w:t>. Badan Pendapatan Daerah Provinsi DKI Jakarta. https://bapenda.jakarta.go.id/artikel/sosialisasi-pajak-daerah-oleh-bapenda-dki-jakarta-meningkatkan-kesadaran-dan-pemahaman-masyarakat</w:t>
      </w:r>
    </w:p>
    <w:p w14:paraId="17AA5C75" w14:textId="77777777" w:rsidR="00404735" w:rsidRDefault="00000000" is_subsub="false" is_formula="false" orig_style="Heading 1">
      <w:bookmarkStart w:id="145" w:name="_Toc144"/>
      <w:pPr>
        <w:pStyle w:val="Heading1"/>
        <w:pageBreakBefore/>
        <w:spacing w:after="240" w:line="276" w:lineRule="auto" w:before="480"/>
        <w:ind w:left="0" w:right="0" w:firstLine="0"/>
        <w:jc w:val="center"/>
        <w:outlineLvl w:val="0"/>
      </w:pPr>
      <w:r>
        <w:rPr>
          <w:rFonts w:ascii="Times New Roman" w:hAnsi="Times New Roman"/>
          <w:b/>
          <w:i w:val="0"/>
          <w:color w:val="000000"/>
          <w:sz w:val="28"/>
        </w:rPr>
        <w:t>DAFTAR PUSTAKA</w:t>
      </w:r>
      <w:bookmarkEnd w:id="145"/>
    </w:p>
    <w:p w14:paraId="7DA9A19B"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Ajzen, I. (1991). The theory of planned behavior. </w:t>
      </w:r>
      <w:r>
        <w:rPr>
          <w:rFonts w:ascii="Times New Roman" w:hAnsi="Times New Roman"/>
          <w:b w:val="0"/>
          <w:i w:val="0"/>
          <w:iCs/>
          <w:color w:val="000000"/>
          <w:sz w:val="24"/>
        </w:rPr>
        <w:t>Organizational Behavior and Human Decision Processes, 50</w:t>
      </w:r>
      <w:r>
        <w:rPr>
          <w:rFonts w:ascii="Times New Roman" w:hAnsi="Times New Roman"/>
          <w:b w:val="0"/>
          <w:i w:val="0"/>
          <w:color w:val="000000"/>
          <w:sz w:val="24"/>
        </w:rPr>
        <w:t>(2), 179–211. https://doi.org/10.1016/0749-5978(91)90020-T</w:t>
      </w:r>
    </w:p>
    <w:p w14:paraId="6FA9C4D8"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Allingham, M. G., &amp; Sandmo, A. (1972). Income tax evasion: A theoretical analysis. </w:t>
      </w:r>
      <w:r>
        <w:rPr>
          <w:rFonts w:ascii="Times New Roman" w:hAnsi="Times New Roman"/>
          <w:b w:val="0"/>
          <w:i w:val="0"/>
          <w:iCs/>
          <w:color w:val="000000"/>
          <w:sz w:val="24"/>
        </w:rPr>
        <w:t>Journal of Public Economics, 1</w:t>
      </w:r>
      <w:r>
        <w:rPr>
          <w:rFonts w:ascii="Times New Roman" w:hAnsi="Times New Roman"/>
          <w:b w:val="0"/>
          <w:i w:val="0"/>
          <w:color w:val="000000"/>
          <w:sz w:val="24"/>
        </w:rPr>
        <w:t>(3–4), 323–338. https://doi.org/10.1016/0047-2727(72)90010-2</w:t>
      </w:r>
    </w:p>
    <w:p w14:paraId="5EF19751"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Arrasi, R. D. (2022). Pengaruh pengetahuan perpajakan, sosialisasi perpajakan, dan sanksi pajak terhadap kepatuhan wajib pajak dalam membayar PBB. </w:t>
      </w:r>
      <w:r>
        <w:rPr>
          <w:rFonts w:ascii="Times New Roman" w:hAnsi="Times New Roman"/>
          <w:b w:val="0"/>
          <w:i w:val="0"/>
          <w:iCs/>
          <w:color w:val="000000"/>
          <w:sz w:val="24"/>
        </w:rPr>
        <w:t>Jurnal Ilmiah Akuntansi Kesatuan, 10</w:t>
      </w:r>
      <w:r>
        <w:rPr>
          <w:rFonts w:ascii="Times New Roman" w:hAnsi="Times New Roman"/>
          <w:b w:val="0"/>
          <w:i w:val="0"/>
          <w:color w:val="000000"/>
          <w:sz w:val="24"/>
        </w:rPr>
        <w:t>(1), 91–102. https://doi.org/10.37641/jiakes.v10i1.1206</w:t>
      </w:r>
    </w:p>
    <w:p w14:paraId="7546DA36"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Badan Pendapatan Daerah Provinsi DKI Jakarta. (2024a). </w:t>
      </w:r>
      <w:r>
        <w:rPr>
          <w:rFonts w:ascii="Times New Roman" w:hAnsi="Times New Roman"/>
          <w:b w:val="0"/>
          <w:i w:val="0"/>
          <w:iCs/>
          <w:color w:val="000000"/>
          <w:sz w:val="24"/>
        </w:rPr>
        <w:t>Sosialisasi pajak daerah oleh Bapenda DKI Jakarta meningkatkan kesadaran dan pemahaman masyarakat</w:t>
      </w:r>
      <w:r>
        <w:rPr>
          <w:rFonts w:ascii="Times New Roman" w:hAnsi="Times New Roman"/>
          <w:b w:val="0"/>
          <w:i w:val="0"/>
          <w:color w:val="000000"/>
          <w:sz w:val="24"/>
        </w:rPr>
        <w:t>. Badan Pendapatan Daerah Provinsi DKI Jakarta. https://bapenda.jakarta.go.id/artikel/sosialisasi-pajak-daerah-oleh-bapenda-dki-jakarta-meningkatkan-kesadaran-dan-pemahaman-masyarakat</w:t>
      </w:r>
    </w:p>
    <w:p w14:paraId="3A2E3703"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Badan Pendapatan Daerah Provinsi DKI Jakarta. (2024b). </w:t>
      </w:r>
      <w:r>
        <w:rPr>
          <w:rFonts w:ascii="Times New Roman" w:hAnsi="Times New Roman"/>
          <w:b w:val="0"/>
          <w:i w:val="0"/>
          <w:iCs/>
          <w:color w:val="000000"/>
          <w:sz w:val="24"/>
        </w:rPr>
        <w:t>Pembebasan PBB-P2 Jakarta tahun 2024</w:t>
      </w:r>
      <w:r>
        <w:rPr>
          <w:rFonts w:ascii="Times New Roman" w:hAnsi="Times New Roman"/>
          <w:b w:val="0"/>
          <w:i w:val="0"/>
          <w:color w:val="000000"/>
          <w:sz w:val="24"/>
        </w:rPr>
        <w:t>. Badan Pendapatan Daerah Provinsi DKI Jakarta. https://bapenda.jakarta.go.id/artikel/pembebasan-pbbp2-jakarta-tahun-2024</w:t>
      </w:r>
    </w:p>
    <w:p w14:paraId="1A014F6D"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Badan Pendapatan Daerah Provinsi DKI Jakarta. (2025a). Tutorial cara mengunduh e-SPPT melalui Pajak </w:t>
      </w:r>
      <w:r>
        <w:rPr>
          <w:rFonts w:ascii="Times New Roman" w:hAnsi="Times New Roman"/>
          <w:b w:val="0"/>
          <w:i/>
          <w:color w:val="000000"/>
          <w:sz w:val="24"/>
        </w:rPr>
        <w:t>Online</w:t>
      </w:r>
      <w:r>
        <w:rPr>
          <w:rFonts w:ascii="Times New Roman" w:hAnsi="Times New Roman"/>
          <w:b w:val="0"/>
          <w:i w:val="0"/>
          <w:color w:val="000000"/>
          <w:sz w:val="24"/>
        </w:rPr>
        <w:t>. Badan Pendapatan Daerah Provinsi DKI Jakarta. https://bapenda.jakarta.go.id/artikel/tutorial-cara-mengunduh-esppt-melalui-pajak-</w:t>
      </w:r>
      <w:r>
        <w:rPr>
          <w:rFonts w:ascii="Times New Roman" w:hAnsi="Times New Roman"/>
          <w:b w:val="0"/>
          <w:i/>
          <w:color w:val="000000"/>
          <w:sz w:val="24"/>
        </w:rPr>
        <w:t>online</w:t>
      </w:r>
    </w:p>
    <w:p w14:paraId="3F50BA33"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Badan Pendapatan Daerah Provinsi DKI Jakarta. (2025b). </w:t>
      </w:r>
      <w:r>
        <w:rPr>
          <w:rFonts w:ascii="Times New Roman" w:hAnsi="Times New Roman"/>
          <w:b w:val="0"/>
          <w:i w:val="0"/>
          <w:iCs/>
          <w:color w:val="000000"/>
          <w:sz w:val="24"/>
        </w:rPr>
        <w:t>Bapenda gelar penyuluhan dan penyebarluasan kebijakan PBB-P2 2025 di Jakarta Barat</w:t>
      </w:r>
      <w:r>
        <w:rPr>
          <w:rFonts w:ascii="Times New Roman" w:hAnsi="Times New Roman"/>
          <w:b w:val="0"/>
          <w:i w:val="0"/>
          <w:color w:val="000000"/>
          <w:sz w:val="24"/>
        </w:rPr>
        <w:t>. Badan Pendapatan Daerah Provinsi DKI Jakarta. https://bapenda.jakarta.go.id/berita/bapenda-gelar-penyuluhan-dan-penyebarluasan-kebijakan-pbbp2-2025-di-jakarta-barat</w:t>
      </w:r>
    </w:p>
    <w:p w14:paraId="170419CF"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Gahung, P. C., Warongan, J. D. L., &amp; Mintalangi, S. S. (2024). Pengaruh pengetahuan perpajakan, kesadaran wajib pajak, dan kepercayaan masyarakat pada pemerintah terhadap kepatuhan wajib pajak dalam membayar PBB-P2 di Kecamatan Pasan, Kabupaten Minahasa Tenggara. </w:t>
      </w:r>
      <w:r>
        <w:rPr>
          <w:rFonts w:ascii="Times New Roman" w:hAnsi="Times New Roman"/>
          <w:b w:val="0"/>
          <w:i w:val="0"/>
          <w:iCs/>
          <w:color w:val="000000"/>
          <w:sz w:val="24"/>
        </w:rPr>
        <w:t>Riset Akuntansi dan Portofolio Investasi, 2</w:t>
      </w:r>
      <w:r>
        <w:rPr>
          <w:rFonts w:ascii="Times New Roman" w:hAnsi="Times New Roman"/>
          <w:b w:val="0"/>
          <w:i w:val="0"/>
          <w:color w:val="000000"/>
          <w:sz w:val="24"/>
        </w:rPr>
        <w:t>(2), 143–149. https://doi.org/10.58784/rapi.145</w:t>
      </w:r>
    </w:p>
    <w:p w14:paraId="135EE787"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Hair, J. F., Hult, G. T. M., Ringle, C. M., &amp; Sarstedt, M. (2022). </w:t>
      </w:r>
      <w:r>
        <w:rPr>
          <w:rFonts w:ascii="Times New Roman" w:hAnsi="Times New Roman"/>
          <w:b w:val="0"/>
          <w:i w:val="0"/>
          <w:iCs/>
          <w:color w:val="000000"/>
          <w:sz w:val="24"/>
        </w:rPr>
        <w:t>A primer on partial least squares structural equation modeling (PLS-SEM)</w:t>
      </w:r>
      <w:r>
        <w:rPr>
          <w:rFonts w:ascii="Times New Roman" w:hAnsi="Times New Roman"/>
          <w:b w:val="0"/>
          <w:i w:val="0"/>
          <w:color w:val="000000"/>
          <w:sz w:val="24"/>
        </w:rPr>
        <w:t xml:space="preserve"> (3rd ed.). Sage.</w:t>
      </w:r>
    </w:p>
    <w:p w14:paraId="3AE4EAE7"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Handayani, R., &amp; Rahmawati, S. (2018). Pengaruh penerapan modernisasi administrasi perpajakan dalam struktur organisasi dan e-system terhadap tingkat kepatuhan WPOP (Studi kasus pada Kantor Pelayanan Pajak Pratama Jakarta Kembangan). </w:t>
      </w:r>
      <w:r>
        <w:rPr>
          <w:rFonts w:ascii="Times New Roman" w:hAnsi="Times New Roman"/>
          <w:b w:val="0"/>
          <w:i w:val="0"/>
          <w:iCs/>
          <w:color w:val="000000"/>
          <w:sz w:val="24"/>
        </w:rPr>
        <w:t>Jurnal Profita, 11</w:t>
      </w:r>
      <w:r>
        <w:rPr>
          <w:rFonts w:ascii="Times New Roman" w:hAnsi="Times New Roman"/>
          <w:b w:val="0"/>
          <w:i w:val="0"/>
          <w:color w:val="000000"/>
          <w:sz w:val="24"/>
        </w:rPr>
        <w:t>(3), 397–420. https://doi.org/10.22441/profita.2018.v11.03.004</w:t>
      </w:r>
    </w:p>
    <w:p w14:paraId="7B1476FB"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lastRenderedPageBreak/>
        <w:t xml:space="preserve">Hasna, N. N., &amp; Halimatusadiah, E. (2022). Pengaruh sosialisasi perpajakan dan tingkat pendapatan terhadap kepatuhan wajib pajak dalam membayar PBB di Kecamatan Jalancagak. </w:t>
      </w:r>
      <w:r>
        <w:rPr>
          <w:rFonts w:ascii="Times New Roman" w:hAnsi="Times New Roman"/>
          <w:b w:val="0"/>
          <w:i w:val="0"/>
          <w:iCs/>
          <w:color w:val="000000"/>
          <w:sz w:val="24"/>
        </w:rPr>
        <w:t>Bandung Conference Series: Accountancy, 2</w:t>
      </w:r>
      <w:r>
        <w:rPr>
          <w:rFonts w:ascii="Times New Roman" w:hAnsi="Times New Roman"/>
          <w:b w:val="0"/>
          <w:i w:val="0"/>
          <w:color w:val="000000"/>
          <w:sz w:val="24"/>
        </w:rPr>
        <w:t>(1), 328–334. https://proceedings.unisba.ac.id/index.php/BCSA/article/view/1501</w:t>
      </w:r>
    </w:p>
    <w:p w14:paraId="5B257DEF"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Hofmann, E., Hölzl, E., &amp; Kirchler, E. (2008). Preconditions of voluntary tax compliance: Knowledge and evaluation of taxation, norms, fairness, and motivation to cooperate. </w:t>
      </w:r>
      <w:r>
        <w:rPr>
          <w:rFonts w:ascii="Times New Roman" w:hAnsi="Times New Roman"/>
          <w:b w:val="0"/>
          <w:i w:val="0"/>
          <w:iCs/>
          <w:color w:val="000000"/>
          <w:sz w:val="24"/>
        </w:rPr>
        <w:t>Zeitschrift für Psychologie, 216</w:t>
      </w:r>
      <w:r>
        <w:rPr>
          <w:rFonts w:ascii="Times New Roman" w:hAnsi="Times New Roman"/>
          <w:b w:val="0"/>
          <w:i w:val="0"/>
          <w:color w:val="000000"/>
          <w:sz w:val="24"/>
        </w:rPr>
        <w:t>(4), 209–217. https://doi.org/10.1027/0044-3409.216.4.209</w:t>
      </w:r>
    </w:p>
    <w:p w14:paraId="485D1250"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Kirchler, E., Hoelzl, E., &amp; Wahl, I. (2008). Enforced versus voluntary tax compliance: The “slippery slope” </w:t>
      </w:r>
      <w:r>
        <w:rPr>
          <w:rFonts w:ascii="Times New Roman" w:hAnsi="Times New Roman"/>
          <w:b w:val="0"/>
          <w:i/>
          <w:color w:val="000000"/>
          <w:sz w:val="24"/>
        </w:rPr>
        <w:t>framework</w:t>
      </w:r>
      <w:r>
        <w:rPr>
          <w:rFonts w:ascii="Times New Roman" w:hAnsi="Times New Roman"/>
          <w:b w:val="0"/>
          <w:i w:val="0"/>
          <w:color w:val="000000"/>
          <w:sz w:val="24"/>
        </w:rPr>
        <w:t>. Journal of Economic Psychology, 29(2), 210–225. https://doi.org/10.1016/j.joep.2007.05.004</w:t>
      </w:r>
    </w:p>
    <w:p w14:paraId="359474C2" w14:textId="77777777" w:rsidR="00404735" w:rsidRDefault="00000000" is_subsub="false" is_formula="false" orig_style="Normal">
      <w:pPr>
        <w:spacing w:before="0" w:after="120" w:line="276" w:lineRule="auto" w:beforeAutospacing="0" w:afterAutospacing="0"/>
        <w:ind w:left="0" w:right="0" w:firstLine="709"/>
        <w:jc w:val="both"/>
      </w:pPr>
      <w:r/>
      <w:r>
        <w:rPr>
          <w:rFonts w:ascii="Times New Roman" w:hAnsi="Times New Roman"/>
          <w:b w:val="0"/>
          <w:i w:val="0"/>
          <w:color w:val="000000"/>
          <w:sz w:val="24"/>
        </w:rPr>
        <w:t xml:space="preserve">Kogler, C., Muehlbacher, S., &amp; Kirchler, E. (2015). Testing the “slippery slope </w:t>
      </w:r>
      <w:r>
        <w:rPr>
          <w:rFonts w:ascii="Times New Roman" w:hAnsi="Times New Roman"/>
          <w:b w:val="0"/>
          <w:i/>
          <w:color w:val="000000"/>
          <w:sz w:val="24"/>
        </w:rPr>
        <w:t>framework</w:t>
      </w:r>
      <w:r>
        <w:rPr>
          <w:rFonts w:ascii="Times New Roman" w:hAnsi="Times New Roman"/>
          <w:b w:val="0"/>
          <w:i w:val="0"/>
          <w:color w:val="000000"/>
          <w:sz w:val="24"/>
        </w:rPr>
        <w:t>” among self-employed taxpayers. Economics of Governance, 16(2), 125–142. https://doi.org/10.1007/s10101-015-0158-9</w:t>
      </w:r>
    </w:p>
    <w:p w14:paraId="1B500D52"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Mardiasmo. (2018). </w:t>
      </w:r>
      <w:r>
        <w:rPr>
          <w:rFonts w:ascii="Times New Roman" w:hAnsi="Times New Roman"/>
          <w:b w:val="0"/>
          <w:i w:val="0"/>
          <w:iCs/>
          <w:color w:val="000000"/>
          <w:sz w:val="24"/>
        </w:rPr>
        <w:t>Perpajakan (Edisi Revisi 2018)</w:t>
      </w:r>
      <w:r>
        <w:rPr>
          <w:rFonts w:ascii="Times New Roman" w:hAnsi="Times New Roman"/>
          <w:b w:val="0"/>
          <w:i w:val="0"/>
          <w:color w:val="000000"/>
          <w:sz w:val="24"/>
        </w:rPr>
        <w:t>. Andi.</w:t>
      </w:r>
    </w:p>
    <w:p w14:paraId="691BCA45"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Patriandari, &amp; Amalia, H. (2022). Pengaruh pengetahuan perpajakan, kesadaran wajib pajak, dan sanksi perpajakan terhadap kepatuhan wajib PBB-P2 pada Bapenda Jakarta Timur tahun 2020. </w:t>
      </w:r>
      <w:r>
        <w:rPr>
          <w:rFonts w:ascii="Times New Roman" w:hAnsi="Times New Roman"/>
          <w:b w:val="0"/>
          <w:i w:val="0"/>
          <w:iCs/>
          <w:color w:val="000000"/>
          <w:sz w:val="24"/>
        </w:rPr>
        <w:t>AKRUAL: Jurnal Akuntansi dan Keuangan, 4</w:t>
      </w:r>
      <w:r>
        <w:rPr>
          <w:rFonts w:ascii="Times New Roman" w:hAnsi="Times New Roman"/>
          <w:b w:val="0"/>
          <w:i w:val="0"/>
          <w:color w:val="000000"/>
          <w:sz w:val="24"/>
        </w:rPr>
        <w:t>(1), 48–56. https://doi.org/10.34005/akrual.v4i1.2025</w:t>
      </w:r>
    </w:p>
    <w:p w14:paraId="6A2B9DD8"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Peraturan Gubernur Provinsi DKI Jakarta Nomor 23 Tahun 2022 tentang Kebijakan Penetapan dan Pembayaran Pajak Bumi dan Bangunan Perdesaan dan Perkotaan sebagai Upaya Pemulihan Ekonomi Tahun 2022. https://peraturan.bpk.go.id/Details/212137/pergub-prov-dki-jakarta-no-23-tahun-2022</w:t>
      </w:r>
    </w:p>
    <w:p w14:paraId="26534D13"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Peraturan Gubernur Provinsi DKI Jakarta Nomor 5 Tahun 2023 tentang Kebijakan Penetapan dan Pembayaran Pajak Bumi dan Bangunan Perdesaan dan Perkotaan sebagai Upaya Pemulihan Ekonomi Tahun 2023. https://peraturan.bpk.go.id/Details/246490/pergub-prov-dki-jakarta-no-5-tahun-2023</w:t>
      </w:r>
    </w:p>
    <w:p w14:paraId="64C09111"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Peraturan Gubernur Provinsi DKI Jakarta Nomor 16 Tahun 2024 tentang Pemberian Keringanan, Pengurangan, dan Pembebasan serta Kemudahan Pembayaran PBB-P2 Tahun 2024. https://peraturan.bpk.go.id/Details/291130/pergub-prov-dki-jakarta-no-16-tahun-2024</w:t>
      </w:r>
    </w:p>
    <w:p w14:paraId="4A8A17BC"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Purnamasari, A., Pratiwi, U., &amp; Sukirman, S. (2018). Pengaruh pemahaman, sanksi perpajakan, tingkat kepercayaan pada pemerintah dan hukum, serta nasionalisme terhadap kepatuhan wajib pajak dalam membayar PBB-P2 (Studi pada wajib pajak PBB-P2 di Kota Banjar). </w:t>
      </w:r>
      <w:r>
        <w:rPr>
          <w:rFonts w:ascii="Times New Roman" w:hAnsi="Times New Roman"/>
          <w:b w:val="0"/>
          <w:i w:val="0"/>
          <w:iCs/>
          <w:color w:val="000000"/>
          <w:sz w:val="24"/>
        </w:rPr>
        <w:t>Jurnal Akuntansi dan Auditing, 14</w:t>
      </w:r>
      <w:r>
        <w:rPr>
          <w:rFonts w:ascii="Times New Roman" w:hAnsi="Times New Roman"/>
          <w:b w:val="0"/>
          <w:i w:val="0"/>
          <w:color w:val="000000"/>
          <w:sz w:val="24"/>
        </w:rPr>
        <w:t>(1), 22–39. https://doi.org/10.14710/jaa.14.1.22-39</w:t>
      </w:r>
    </w:p>
    <w:p w14:paraId="2EBD69FB"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Ramadhan, M. D., &amp; Tarmidi, D. (2024). Analisis kepatuhan pajak: Dampak pemahaman pajak, religiusitas, dan tingkat kepercayaan UMKM di wilayah Cengkareng. </w:t>
      </w:r>
      <w:r>
        <w:rPr>
          <w:rFonts w:ascii="Times New Roman" w:hAnsi="Times New Roman"/>
          <w:b w:val="0"/>
          <w:i w:val="0"/>
          <w:iCs/>
          <w:color w:val="000000"/>
          <w:sz w:val="24"/>
        </w:rPr>
        <w:t>Media Akuntansi Perpajakan, 9</w:t>
      </w:r>
      <w:r>
        <w:rPr>
          <w:rFonts w:ascii="Times New Roman" w:hAnsi="Times New Roman"/>
          <w:b w:val="0"/>
          <w:i w:val="0"/>
          <w:color w:val="000000"/>
          <w:sz w:val="24"/>
        </w:rPr>
        <w:t>(1), 1–11. https://doi.org/10.52447/map.v9i1.7575</w:t>
      </w:r>
    </w:p>
    <w:p w14:paraId="33977E21"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lastRenderedPageBreak/>
        <w:t xml:space="preserve">Republik Indonesia. (2007). </w:t>
      </w:r>
      <w:r>
        <w:rPr>
          <w:rFonts w:ascii="Times New Roman" w:hAnsi="Times New Roman"/>
          <w:b w:val="0"/>
          <w:i w:val="0"/>
          <w:iCs/>
          <w:color w:val="000000"/>
          <w:sz w:val="24"/>
        </w:rPr>
        <w:t>Undang-Undang Nomor 28 Tahun 2007 tentang Ketentuan Umum dan Tata Cara Perpajakan</w:t>
      </w:r>
      <w:r>
        <w:rPr>
          <w:rFonts w:ascii="Times New Roman" w:hAnsi="Times New Roman"/>
          <w:b w:val="0"/>
          <w:i w:val="0"/>
          <w:color w:val="000000"/>
          <w:sz w:val="24"/>
        </w:rPr>
        <w:t>. Sekretariat Negara.</w:t>
      </w:r>
    </w:p>
    <w:p w14:paraId="55CE7774"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Republik Indonesia. (2022). </w:t>
      </w:r>
      <w:r>
        <w:rPr>
          <w:rFonts w:ascii="Times New Roman" w:hAnsi="Times New Roman"/>
          <w:b w:val="0"/>
          <w:i w:val="0"/>
          <w:iCs/>
          <w:color w:val="000000"/>
          <w:sz w:val="24"/>
        </w:rPr>
        <w:t>Undang-Undang Nomor 1 Tahun 2022 tentang Hubungan Keuangan antara Pemerintah Pusat dan Pemerintahan Daerah</w:t>
      </w:r>
      <w:r>
        <w:rPr>
          <w:rFonts w:ascii="Times New Roman" w:hAnsi="Times New Roman"/>
          <w:b w:val="0"/>
          <w:i w:val="0"/>
          <w:color w:val="000000"/>
          <w:sz w:val="24"/>
        </w:rPr>
        <w:t>. Sekretariat Negara.</w:t>
      </w:r>
    </w:p>
    <w:p w14:paraId="6CC97135"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Sugiyono. (2023). </w:t>
      </w:r>
      <w:r>
        <w:rPr>
          <w:rFonts w:ascii="Times New Roman" w:hAnsi="Times New Roman"/>
          <w:b w:val="0"/>
          <w:i w:val="0"/>
          <w:iCs/>
          <w:color w:val="000000"/>
          <w:sz w:val="24"/>
        </w:rPr>
        <w:t>Metode penelitian kuantitatif, kualitatif, dan R&amp;D</w:t>
      </w:r>
      <w:r>
        <w:rPr>
          <w:rFonts w:ascii="Times New Roman" w:hAnsi="Times New Roman"/>
          <w:b w:val="0"/>
          <w:i w:val="0"/>
          <w:color w:val="000000"/>
          <w:sz w:val="24"/>
        </w:rPr>
        <w:t>. Alfabeta.</w:t>
      </w:r>
    </w:p>
    <w:p w14:paraId="0708F6D1"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Wulandari, N., &amp; Wahyudi, D. (2022). Pengaruh pengetahuan perpajakan, sanksi pajak, kesadaran wajib pajak, dan kualitas pelayanan pajak terhadap kepatuhan wajib pajak dalam membayar pajak bumi dan bangunan di Desa Mranggen, Kabupaten Demak. </w:t>
      </w:r>
      <w:r>
        <w:rPr>
          <w:rFonts w:ascii="Times New Roman" w:hAnsi="Times New Roman"/>
          <w:b w:val="0"/>
          <w:i w:val="0"/>
          <w:iCs/>
          <w:color w:val="000000"/>
          <w:sz w:val="24"/>
        </w:rPr>
        <w:t>Jurnal Pendidikan Tambusai, 6</w:t>
      </w:r>
      <w:r>
        <w:rPr>
          <w:rFonts w:ascii="Times New Roman" w:hAnsi="Times New Roman"/>
          <w:b w:val="0"/>
          <w:i w:val="0"/>
          <w:color w:val="000000"/>
          <w:sz w:val="24"/>
        </w:rPr>
        <w:t>(2), 14853–14870. https://jptam.org/index.php/jptam/article/view/4764</w:t>
      </w:r>
    </w:p>
    <w:p w14:paraId="7DF16D70"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Yuniar, A., &amp; Saputra, W. A. (2022). Pengaruh pengetahuan pajak, kualitas pelayanan, dan sanksi pajak terhadap kepatuhan wajib pajak bumi dan bangunan di Kecamatan Cakung. </w:t>
      </w:r>
      <w:r>
        <w:rPr>
          <w:rFonts w:ascii="Times New Roman" w:hAnsi="Times New Roman"/>
          <w:b w:val="0"/>
          <w:i w:val="0"/>
          <w:iCs/>
          <w:color w:val="000000"/>
          <w:sz w:val="24"/>
        </w:rPr>
        <w:t>Fair Value: Jurnal Ilmiah Akuntansi dan Keuangan, 5</w:t>
      </w:r>
      <w:r>
        <w:rPr>
          <w:rFonts w:ascii="Times New Roman" w:hAnsi="Times New Roman"/>
          <w:b w:val="0"/>
          <w:i w:val="0"/>
          <w:color w:val="000000"/>
          <w:sz w:val="24"/>
        </w:rPr>
        <w:t>(4), 1738–1745. https://doi.org/10.32670/fairvalue.v5i4.2601</w:t>
      </w:r>
    </w:p>
    <w:p w14:paraId="320066C3"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Zagoto, R., &amp; Zalogo, E. F. (2023). Pengaruh sosialisasi pajak dan layanan instansi terhadap kepatuhan wajib pajak pajak bumi dan bangunan perkotaan dan pedesaan. </w:t>
      </w:r>
      <w:r>
        <w:rPr>
          <w:rFonts w:ascii="Times New Roman" w:hAnsi="Times New Roman"/>
          <w:b w:val="0"/>
          <w:i w:val="0"/>
          <w:iCs/>
          <w:color w:val="000000"/>
          <w:sz w:val="24"/>
        </w:rPr>
        <w:t>Jurnal Ilmiah Bisnis dan Perpajakan (Bijak), 5</w:t>
      </w:r>
      <w:r>
        <w:rPr>
          <w:rFonts w:ascii="Times New Roman" w:hAnsi="Times New Roman"/>
          <w:b w:val="0"/>
          <w:i w:val="0"/>
          <w:color w:val="000000"/>
          <w:sz w:val="24"/>
        </w:rPr>
        <w:t>(1), 83–89. https://doi.org/10.26905/j.bijak.v5i1.9527</w:t>
      </w:r>
    </w:p>
    <w:p w14:paraId="54731118" w14:textId="77777777" w:rsidR="00404735" w:rsidRDefault="00000000" is_subsub="false" is_formula="false" orig_style="Normal">
      <w:pPr>
        <w:spacing w:before="0" w:after="120" w:line="276" w:lineRule="auto" w:beforeAutospacing="0" w:afterAutospacing="0"/>
        <w:ind w:left="0" w:right="0" w:firstLine="709"/>
        <w:jc w:val="both"/>
      </w:pPr>
      <w:r>
        <w:rPr>
          <w:rFonts w:ascii="Times New Roman" w:hAnsi="Times New Roman"/>
          <w:b w:val="0"/>
          <w:i w:val="0"/>
          <w:color w:val="000000"/>
          <w:sz w:val="24"/>
        </w:rPr>
        <w:t xml:space="preserve">Zainudin, F. M., Nugroho, R., &amp; Muamarah, H. S. (2022). Pengaruh kepercayaan kepada pemerintah terhadap kepatuhan pajak dengan persepsi keadilan pajak sebagai variabel intervening. </w:t>
      </w:r>
      <w:r>
        <w:rPr>
          <w:rFonts w:ascii="Times New Roman" w:hAnsi="Times New Roman"/>
          <w:b w:val="0"/>
          <w:i w:val="0"/>
          <w:iCs/>
          <w:color w:val="000000"/>
          <w:sz w:val="24"/>
        </w:rPr>
        <w:t>Jurnal Pajak Indonesia (Indonesian Tax Review), 6</w:t>
      </w:r>
      <w:r>
        <w:rPr>
          <w:rFonts w:ascii="Times New Roman" w:hAnsi="Times New Roman"/>
          <w:b w:val="0"/>
          <w:i w:val="0"/>
          <w:color w:val="000000"/>
          <w:sz w:val="24"/>
        </w:rPr>
        <w:t>(1), 107–121. https://doi.org/10.31092/jpi.v6i1.1616</w:t>
      </w:r>
    </w:p>
    <w:sectPr w:rsidR="00404735">
      <w:footerReference w:type="default" r:id="rId11"/>
      <w:headerReference w:type="default" r:id="rId15"/>
      <w:pgSz w:w="11906" w:h="16838" w:code="9" w:orient="portrait"/>
      <w:pgMar w:top="1701" w:right="1701" w:bottom="1701" w:left="2268" w:header="1134" w:footer="1134"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11544" w14:textId="77777777" w:rsidR="000D68A9" w:rsidRDefault="000D68A9">
      <w:r>
        <w:separator/>
      </w:r>
    </w:p>
  </w:endnote>
  <w:endnote w:type="continuationSeparator" w:id="0">
    <w:p w14:paraId="0D5B8C28" w14:textId="77777777" w:rsidR="000D68A9" w:rsidRDefault="000D6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775C" w14:textId="77777777" w:rsidR="00404735" w:rsidRDefault="00000000">
    <w:pPr>
      <w:spacing w:before="0" w:after="0"/>
      <w:jc w:val="center"/>
    </w:pPr>
    <w:r/>
    <w:fldSimple w:instr="PAGE">
      <w:r>
        <w:rPr>
          <w:rFonts w:ascii="Times New Roman" w:hAnsi="Times New Roman"/>
          <w:sz w:val="24"/>
        </w:rPr>
        <w:t>i</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409B" w14:textId="77777777" w:rsidR="00404735" w:rsidRDefault="00000000">
    <w:pPr>
      <w:spacing w:before="0" w:after="0"/>
      <w:jc w:val="center"/>
    </w:pPr>
    <w:r/>
    <w:fldSimple w:instr="PAGE">
      <w:r>
        <w:rPr>
          <w:rFonts w:ascii="Times New Roman" w:hAnsi="Times New Roman"/>
          <w:sz w:val="24"/>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fldSimple w:instr="PAGE">
      <w:r>
        <w:rPr>
          <w:rFonts w:ascii="Times New Roman" w:hAnsi="Times New Roman"/>
          <w:sz w:val="24"/>
        </w:rPr>
        <w:t>i</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ABA5E" w14:textId="77777777" w:rsidR="000D68A9" w:rsidRDefault="000D68A9">
      <w:r>
        <w:separator/>
      </w:r>
    </w:p>
  </w:footnote>
  <w:footnote w:type="continuationSeparator" w:id="0">
    <w:p w14:paraId="5F73E973" w14:textId="77777777" w:rsidR="000D68A9" w:rsidRDefault="000D68A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b/>
        <w:color w:val="000000"/>
        <w:sz w:val="20"/>
      </w:rPr>
      <w:t>UNIVERSITAS ESA UNGGUL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b/>
        <w:color w:val="000000"/>
        <w:sz w:val="20"/>
      </w:rPr>
      <w:t>UNIVERSITAS ESA UNGGUL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11823"/>
    <w:multiLevelType w:val="hybridMultilevel"/>
    <w:tmpl w:val="5D501FF8"/>
    <w:lvl w:ilvl="0" w:tplc="BDBC7720">
      <w:start w:val="1"/>
      <w:numFmt w:val="decimal"/>
      <w:lvlText w:val="%1."/>
      <w:lvlJc w:val="left"/>
      <w:pPr>
        <w:ind w:left="720" w:hanging="360"/>
      </w:pPr>
    </w:lvl>
    <w:lvl w:ilvl="1" w:tplc="74FC6848">
      <w:numFmt w:val="decimal"/>
      <w:lvlText w:val=""/>
      <w:lvlJc w:val="left"/>
    </w:lvl>
    <w:lvl w:ilvl="2" w:tplc="F1CE0B08">
      <w:numFmt w:val="decimal"/>
      <w:lvlText w:val=""/>
      <w:lvlJc w:val="left"/>
    </w:lvl>
    <w:lvl w:ilvl="3" w:tplc="9A4CECF2">
      <w:numFmt w:val="decimal"/>
      <w:lvlText w:val=""/>
      <w:lvlJc w:val="left"/>
    </w:lvl>
    <w:lvl w:ilvl="4" w:tplc="91947F5C">
      <w:numFmt w:val="decimal"/>
      <w:lvlText w:val=""/>
      <w:lvlJc w:val="left"/>
    </w:lvl>
    <w:lvl w:ilvl="5" w:tplc="7F8808AA">
      <w:numFmt w:val="decimal"/>
      <w:lvlText w:val=""/>
      <w:lvlJc w:val="left"/>
    </w:lvl>
    <w:lvl w:ilvl="6" w:tplc="D1CE7156">
      <w:numFmt w:val="decimal"/>
      <w:lvlText w:val=""/>
      <w:lvlJc w:val="left"/>
    </w:lvl>
    <w:lvl w:ilvl="7" w:tplc="74F2CE24">
      <w:numFmt w:val="decimal"/>
      <w:lvlText w:val=""/>
      <w:lvlJc w:val="left"/>
    </w:lvl>
    <w:lvl w:ilvl="8" w:tplc="F10264AE">
      <w:numFmt w:val="decimal"/>
      <w:lvlText w:val=""/>
      <w:lvlJc w:val="left"/>
    </w:lvl>
  </w:abstractNum>
  <w:abstractNum w:abstractNumId="1" w15:restartNumberingAfterBreak="0">
    <w:nsid w:val="60F73CD5"/>
    <w:multiLevelType w:val="hybridMultilevel"/>
    <w:tmpl w:val="041A9BCC"/>
    <w:lvl w:ilvl="0" w:tplc="62442278">
      <w:start w:val="1"/>
      <w:numFmt w:val="decimal"/>
      <w:lvlText w:val="%1."/>
      <w:lvlJc w:val="left"/>
      <w:pPr>
        <w:ind w:left="720" w:hanging="360"/>
      </w:pPr>
    </w:lvl>
    <w:lvl w:ilvl="1" w:tplc="A35A37CE">
      <w:numFmt w:val="decimal"/>
      <w:lvlText w:val=""/>
      <w:lvlJc w:val="left"/>
    </w:lvl>
    <w:lvl w:ilvl="2" w:tplc="30187E34">
      <w:numFmt w:val="decimal"/>
      <w:lvlText w:val=""/>
      <w:lvlJc w:val="left"/>
    </w:lvl>
    <w:lvl w:ilvl="3" w:tplc="F630295A">
      <w:numFmt w:val="decimal"/>
      <w:lvlText w:val=""/>
      <w:lvlJc w:val="left"/>
    </w:lvl>
    <w:lvl w:ilvl="4" w:tplc="E4E0ED06">
      <w:numFmt w:val="decimal"/>
      <w:lvlText w:val=""/>
      <w:lvlJc w:val="left"/>
    </w:lvl>
    <w:lvl w:ilvl="5" w:tplc="8A520C3E">
      <w:numFmt w:val="decimal"/>
      <w:lvlText w:val=""/>
      <w:lvlJc w:val="left"/>
    </w:lvl>
    <w:lvl w:ilvl="6" w:tplc="F0B26DD4">
      <w:numFmt w:val="decimal"/>
      <w:lvlText w:val=""/>
      <w:lvlJc w:val="left"/>
    </w:lvl>
    <w:lvl w:ilvl="7" w:tplc="E910A0DE">
      <w:numFmt w:val="decimal"/>
      <w:lvlText w:val=""/>
      <w:lvlJc w:val="left"/>
    </w:lvl>
    <w:lvl w:ilvl="8" w:tplc="E42E47EA">
      <w:numFmt w:val="decimal"/>
      <w:lvlText w:val=""/>
      <w:lvlJc w:val="left"/>
    </w:lvl>
  </w:abstractNum>
  <w:abstractNum w:abstractNumId="2" w15:restartNumberingAfterBreak="0">
    <w:nsid w:val="7F262B2B"/>
    <w:multiLevelType w:val="hybridMultilevel"/>
    <w:tmpl w:val="43627B0E"/>
    <w:lvl w:ilvl="0" w:tplc="4BA451B4">
      <w:start w:val="1"/>
      <w:numFmt w:val="bullet"/>
      <w:lvlText w:val="●"/>
      <w:lvlJc w:val="left"/>
      <w:pPr>
        <w:ind w:left="720" w:hanging="360"/>
      </w:pPr>
    </w:lvl>
    <w:lvl w:ilvl="1" w:tplc="B59EFE34">
      <w:start w:val="1"/>
      <w:numFmt w:val="bullet"/>
      <w:lvlText w:val="○"/>
      <w:lvlJc w:val="left"/>
      <w:pPr>
        <w:ind w:left="1440" w:hanging="360"/>
      </w:pPr>
    </w:lvl>
    <w:lvl w:ilvl="2" w:tplc="B3D8EB08">
      <w:start w:val="1"/>
      <w:numFmt w:val="bullet"/>
      <w:lvlText w:val="■"/>
      <w:lvlJc w:val="left"/>
      <w:pPr>
        <w:ind w:left="2160" w:hanging="360"/>
      </w:pPr>
    </w:lvl>
    <w:lvl w:ilvl="3" w:tplc="5A584F80">
      <w:start w:val="1"/>
      <w:numFmt w:val="bullet"/>
      <w:lvlText w:val="●"/>
      <w:lvlJc w:val="left"/>
      <w:pPr>
        <w:ind w:left="2880" w:hanging="360"/>
      </w:pPr>
    </w:lvl>
    <w:lvl w:ilvl="4" w:tplc="5A96BC48">
      <w:start w:val="1"/>
      <w:numFmt w:val="bullet"/>
      <w:lvlText w:val="○"/>
      <w:lvlJc w:val="left"/>
      <w:pPr>
        <w:ind w:left="3600" w:hanging="360"/>
      </w:pPr>
    </w:lvl>
    <w:lvl w:ilvl="5" w:tplc="C21E9198">
      <w:start w:val="1"/>
      <w:numFmt w:val="bullet"/>
      <w:lvlText w:val="■"/>
      <w:lvlJc w:val="left"/>
      <w:pPr>
        <w:ind w:left="4320" w:hanging="360"/>
      </w:pPr>
    </w:lvl>
    <w:lvl w:ilvl="6" w:tplc="161216D2">
      <w:start w:val="1"/>
      <w:numFmt w:val="bullet"/>
      <w:lvlText w:val="●"/>
      <w:lvlJc w:val="left"/>
      <w:pPr>
        <w:ind w:left="5040" w:hanging="360"/>
      </w:pPr>
    </w:lvl>
    <w:lvl w:ilvl="7" w:tplc="E42040D0">
      <w:start w:val="1"/>
      <w:numFmt w:val="bullet"/>
      <w:lvlText w:val="●"/>
      <w:lvlJc w:val="left"/>
      <w:pPr>
        <w:ind w:left="5760" w:hanging="360"/>
      </w:pPr>
    </w:lvl>
    <w:lvl w:ilvl="8" w:tplc="E1340818">
      <w:start w:val="1"/>
      <w:numFmt w:val="bullet"/>
      <w:lvlText w:val="●"/>
      <w:lvlJc w:val="left"/>
      <w:pPr>
        <w:ind w:left="6480" w:hanging="360"/>
      </w:pPr>
    </w:lvl>
  </w:abstractNum>
  <w:abstractNum w:abstractNumId="3">
    <w:nsid w:val="23A70725"/>
    <w:multiLevelType w:val="multilevel"/>
    <w:tmpl w:val="4F725FCE"/>
    <w:lvl w:ilvl="0">
      <w:start w:val="1"/>
      <w:numFmt w:val="decimal"/>
      <w:lvlText w:val="BAB %1"/>
      <w:lvlJc w:val="center"/>
      <w:suff w:val="nothing"/>
      <w:pPr>
        <w:jc w:val="center"/>
        <w:ind w:left="0" w:hanging="0"/>
      </w:pPr>
    </w:lvl>
    <w:lvl w:ilvl="1">
      <w:start w:val="1"/>
      <w:numFmt w:val="decimal"/>
      <w:lvlRestart w:val="1"/>
      <w:isLgl/>
      <w:lvlText w:val="%1.%2"/>
      <w:lvlJc w:val="left"/>
      <w:suff w:val="tab"/>
      <w:pPr>
        <w:tabs>
          <w:tab w:val="num" w:pos="567"/>
        </w:tabs>
        <w:ind w:left="567" w:hanging="567"/>
      </w:pPr>
    </w:lvl>
    <w:lvl w:ilvl="2">
      <w:start w:val="1"/>
      <w:numFmt w:val="decimal"/>
      <w:lvlRestart w:val="2"/>
      <w:isLgl/>
      <w:lvlText w:val="%1.%2.%3"/>
      <w:lvlJc w:val="left"/>
      <w:suff w:val="tab"/>
      <w:pPr>
        <w:tabs>
          <w:tab w:val="num" w:pos="709"/>
        </w:tabs>
        <w:ind w:left="709" w:hanging="709"/>
      </w:pPr>
      <w:rPr>
        <w:b/>
        <w:sz w:val="24"/>
      </w:rPr>
    </w:lvl>
    <w:lvl w:ilvl="3">
      <w:start w:val="1"/>
      <w:numFmt w:val="decimal"/>
      <w:lvlRestart w:val="3"/>
      <w:isLgl/>
      <w:lvlText w:val="%1.%2.%3.%4"/>
      <w:lvlJc w:val="left"/>
      <w:suff w:val="tab"/>
      <w:pPr>
        <w:ind w:left="864" w:hanging="864"/>
      </w:pPr>
    </w:lvl>
  </w:abstractNum>
  <w:num w:numId="1" w16cid:durableId="1101880877">
    <w:abstractNumId w:val="2"/>
    <w:lvlOverride w:ilvl="0">
      <w:startOverride w:val="1"/>
    </w:lvlOverride>
  </w:num>
  <w:num w:numId="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735"/>
    <w:rsid w:val="000D68A9"/>
    <w:rsid w:val="00404735"/>
    <w:rsid w:val="004B312D"/>
    <w:rsid w:val="004C7F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289BB"/>
  <w15:docId w15:val="{419D3185-04D6-4911-B939-E60BB5E92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line="360" w:lineRule="auto"/>
      <w:jc w:val="center"/>
      <w:outlineLvl w:val="0"/>
    </w:pPr>
    <w:rPr>
      <w:bCs/>
      <w:color w:val="000000"/>
      <w:b/>
      <w:rFonts w:ascii="Times New Roman" w:hAnsi="Times New Roman" w:cs="Times New Roman"/>
      <w:sz w:val="28"/>
    </w:rPr>
  </w:style>
  <w:style w:type="paragraph" w:styleId="Heading2">
    <w:name w:val="heading 2"/>
    <w:uiPriority w:val="9"/>
    <w:unhideWhenUsed/>
    <w:qFormat/>
    <w:pPr>
      <w:spacing w:before="200" w:after="120" w:line="360" w:lineRule="auto"/>
      <w:outlineLvl w:val="1"/>
    </w:pPr>
    <w:rPr>
      <w:bCs/>
      <w:color w:val="000000"/>
      <w:b/>
      <w:rFonts w:ascii="Times New Roman" w:hAnsi="Times New Roman" w:cs="Times New Roman"/>
      <w:sz w:val="24"/>
    </w:rPr>
  </w:style>
  <w:style w:type="paragraph" w:styleId="Heading3">
    <w:name w:val="heading 3"/>
    <w:uiPriority w:val="9"/>
    <w:unhideWhenUsed/>
    <w:qFormat/>
    <w:pPr>
      <w:spacing w:before="160" w:after="100" w:line="360" w:lineRule="auto"/>
      <w:outlineLvl w:val="2"/>
    </w:pPr>
    <w:rPr>
      <w:bCs/>
      <w:color w:val="000000"/>
      <w:b/>
      <w:rFonts w:ascii="Times New Roman" w:hAnsi="Times New Roman" w:cs="Times New Roman"/>
      <w:sz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aptionTabel">
    <w:name w:val="Caption Tabel"/>
    <w:pPr>
      <w:spacing w:before="160" w:after="80"/>
      <w:jc w:val="center"/>
    </w:pPr>
    <w:rPr>
      <w:b/>
      <w:bCs/>
    </w:rPr>
  </w:style>
  <w:style w:type="paragraph" w:customStyle="1" w:styleId="CaptionGambar">
    <w:name w:val="Caption Gambar"/>
    <w:pPr>
      <w:spacing w:after="200"/>
      <w:jc w:val="center"/>
    </w:pPr>
    <w:rPr>
      <w:b/>
      <w:bCs/>
    </w:rPr>
  </w:style>
  <w:style w:type="paragraph" w:styleId="TOC1">
    <w:name w:val="toc 1"/>
    <w:basedOn w:val="Normal"/>
    <w:next w:val="Normal"/>
    <w:autoRedefine/>
    <w:uiPriority w:val="39"/>
    <w:unhideWhenUsed/>
    <w:rsid w:val="004C7FFC"/>
    <w:pPr>
      <w:spacing w:after="100"/>
    </w:pPr>
  </w:style>
  <w:style w:type="paragraph" w:styleId="TOC2">
    <w:name w:val="toc 2"/>
    <w:basedOn w:val="Normal"/>
    <w:next w:val="Normal"/>
    <w:autoRedefine/>
    <w:uiPriority w:val="39"/>
    <w:unhideWhenUsed/>
    <w:rsid w:val="004C7FFC"/>
    <w:pPr>
      <w:spacing w:after="100"/>
      <w:ind w:left="240"/>
    </w:pPr>
  </w:style>
  <w:style w:type="paragraph" w:styleId="TOC3">
    <w:name w:val="toc 3"/>
    <w:basedOn w:val="Normal"/>
    <w:next w:val="Normal"/>
    <w:autoRedefine/>
    <w:uiPriority w:val="39"/>
    <w:unhideWhenUsed/>
    <w:rsid w:val="004C7FF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3.xml"/><Relationship Id="rId1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7FB17-AAE2-4D53-8DD9-E0AA53326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8640</Words>
  <Characters>49248</Characters>
  <Application>Microsoft Office Word</Application>
  <DocSecurity>0</DocSecurity>
  <Lines>410</Lines>
  <Paragraphs>115</Paragraphs>
  <ScaleCrop>false</ScaleCrop>
  <Company/>
  <LinksUpToDate>false</LinksUpToDate>
  <CharactersWithSpaces>57773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Arditya Adjie Rosandi</cp:lastModifiedBy>
  <cp:revision>3</cp:revision>
  <dcterms:created xsi:type="dcterms:W3CDTF">2026-06-12T11:51:00Z</dcterms:created>
  <dcterms:modified xsi:type="dcterms:W3CDTF">2026-06-21T03:34:00Z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13106714-c15d-39d9-819e-409b6acb0c02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