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>Dánský hrad Elsinor</w:t>
      </w:r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>Příběh tvoří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Cladiusem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Nejvyšší královský komoří, Otec Ofelie a Leartam,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r>
        <w:lastRenderedPageBreak/>
        <w:t>Leartes</w:t>
      </w:r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392D5499" w:rsidR="00117C62" w:rsidRDefault="006E31EF" w:rsidP="006E31EF">
      <w:pPr>
        <w:pStyle w:val="Nadpis2"/>
      </w:pPr>
      <w:r>
        <w:t>Jazykové prostředky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r w:rsidRPr="00F023AB">
        <w:t>Tragedie se odehrává na počátku 17.století na dánském hradu Elsinor.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>Na počátku příběhu umírá Hamletův otec. Později se Hamletovi zjeví jako duch a svěří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myslel že je Claudius)</w:t>
      </w:r>
      <w:r w:rsidRPr="00F023AB">
        <w:t>, otce své milované Ofélie. Během Hamletova pobytu v Anglii se Ofélie kvůli stezku ze smrti svého otce utopí. Oféliin bratr Leartes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>Po Hamletově návratu z Anglie musí čelit Leartovu vzteku. Oba se proto utkají tváří v tvář v boji. Klaudius si pojistí Hamletovu smrt tím, že ještě před soubojem připraví nápoj s jedem určený Hamletovi a Leartovu dýku namočí do jedu.</w:t>
      </w:r>
    </w:p>
    <w:p w14:paraId="6FD54BF8" w14:textId="60B198DB" w:rsidR="00F023AB" w:rsidRPr="00F023AB" w:rsidRDefault="00F023AB" w:rsidP="00F023AB">
      <w:r w:rsidRPr="00F023AB">
        <w:t>Nápoj s jedem omylem vypije Hamletova matka. Při souboji opravdu zraní Leartes Hamleta zbraní namočenou v jedu, jenže pak dojde k výměně zbraní a je zraněn i Ĺeartes. Zatímco Leartes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>Přesto, že drama končí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>Basic Info</w:t>
      </w:r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75683226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3958CFDF" w14:textId="3FFE726F" w:rsidR="00491EC4" w:rsidRDefault="00491EC4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3CE7C250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2F1A5C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r w:rsidR="00C108E8" w:rsidRPr="00E15631">
        <w:rPr>
          <w:b/>
          <w:bCs/>
        </w:rPr>
        <w:t>Boccacio</w:t>
      </w:r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r w:rsidRPr="00E15631">
        <w:rPr>
          <w:b/>
          <w:bCs/>
          <w:i w:val="0"/>
          <w:iCs w:val="0"/>
          <w:u w:val="single"/>
        </w:rPr>
        <w:t xml:space="preserve">Servantes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>Dílo: Don Quijote de la Mancha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2F1A5C"/>
    <w:rsid w:val="00321D26"/>
    <w:rsid w:val="0034127A"/>
    <w:rsid w:val="004079D9"/>
    <w:rsid w:val="00436E8F"/>
    <w:rsid w:val="004858CA"/>
    <w:rsid w:val="00491EC4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680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66</cp:revision>
  <cp:lastPrinted>2023-01-28T12:57:00Z</cp:lastPrinted>
  <dcterms:created xsi:type="dcterms:W3CDTF">2023-01-27T21:27:00Z</dcterms:created>
  <dcterms:modified xsi:type="dcterms:W3CDTF">2023-01-28T19:08:00Z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