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revizyonu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14572" w:rsidRPr="008A0F91" w:rsidRDefault="00114572" w:rsidP="008A0F91">
      <w:pPr>
        <w:rPr>
          <w:rFonts w:ascii="Times New Roman" w:hAnsi="Times New Roman" w:cs="Times New Roman"/>
          <w:sz w:val="24"/>
          <w:szCs w:val="24"/>
        </w:rPr>
      </w:pPr>
      <w:bookmarkStart w:id="0" w:name="_GoBack"/>
      <w:bookmarkEnd w:id="0"/>
    </w:p>
    <w:sectPr w:rsidR="00114572" w:rsidRPr="008A0F9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511" w:rsidRDefault="00527511" w:rsidP="001C516C">
      <w:pPr>
        <w:spacing w:after="0" w:line="240" w:lineRule="auto"/>
      </w:pPr>
      <w:r>
        <w:separator/>
      </w:r>
    </w:p>
  </w:endnote>
  <w:endnote w:type="continuationSeparator" w:id="0">
    <w:p w:rsidR="00527511" w:rsidRDefault="00527511"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92601"/>
      <w:docPartObj>
        <w:docPartGallery w:val="Page Numbers (Bottom of Page)"/>
        <w:docPartUnique/>
      </w:docPartObj>
    </w:sdtPr>
    <w:sdtEndPr>
      <w:rPr>
        <w:noProof/>
      </w:rPr>
    </w:sdtEndPr>
    <w:sdtContent>
      <w:p w:rsidR="00527511" w:rsidRDefault="00527511">
        <w:pPr>
          <w:pStyle w:val="Footer"/>
          <w:jc w:val="center"/>
        </w:pPr>
        <w:r>
          <w:fldChar w:fldCharType="begin"/>
        </w:r>
        <w:r>
          <w:instrText xml:space="preserve"> PAGE   \* MERGEFORMAT </w:instrText>
        </w:r>
        <w:r>
          <w:fldChar w:fldCharType="separate"/>
        </w:r>
        <w:r w:rsidR="008A0F91">
          <w:rPr>
            <w:noProof/>
          </w:rPr>
          <w:t>20</w:t>
        </w:r>
        <w:r>
          <w:rPr>
            <w:noProof/>
          </w:rPr>
          <w:fldChar w:fldCharType="end"/>
        </w:r>
      </w:p>
    </w:sdtContent>
  </w:sdt>
  <w:p w:rsidR="00527511" w:rsidRDefault="00527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511" w:rsidRDefault="00527511" w:rsidP="001C516C">
      <w:pPr>
        <w:spacing w:after="0" w:line="240" w:lineRule="auto"/>
      </w:pPr>
      <w:r>
        <w:separator/>
      </w:r>
    </w:p>
  </w:footnote>
  <w:footnote w:type="continuationSeparator" w:id="0">
    <w:p w:rsidR="00527511" w:rsidRDefault="00527511"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103175"/>
    <w:rsid w:val="00114572"/>
    <w:rsid w:val="001C516C"/>
    <w:rsid w:val="001D6992"/>
    <w:rsid w:val="001E0F17"/>
    <w:rsid w:val="00226DCB"/>
    <w:rsid w:val="00255D32"/>
    <w:rsid w:val="003A1E19"/>
    <w:rsid w:val="004771F2"/>
    <w:rsid w:val="004848FB"/>
    <w:rsid w:val="00527511"/>
    <w:rsid w:val="005947EE"/>
    <w:rsid w:val="00695C16"/>
    <w:rsid w:val="006C1B55"/>
    <w:rsid w:val="00745639"/>
    <w:rsid w:val="008A0F91"/>
    <w:rsid w:val="008E1C94"/>
    <w:rsid w:val="009B2DF1"/>
    <w:rsid w:val="00A35395"/>
    <w:rsid w:val="00AB6AAD"/>
    <w:rsid w:val="00B22188"/>
    <w:rsid w:val="00B517B4"/>
    <w:rsid w:val="00BA42E5"/>
    <w:rsid w:val="00C86685"/>
    <w:rsid w:val="00CD4D0A"/>
    <w:rsid w:val="00DB0083"/>
    <w:rsid w:val="00DF3C43"/>
    <w:rsid w:val="00E411BD"/>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 w:type="paragraph" w:styleId="Header">
    <w:name w:val="header"/>
    <w:basedOn w:val="Normal"/>
    <w:link w:val="HeaderChar"/>
    <w:uiPriority w:val="99"/>
    <w:unhideWhenUsed/>
    <w:rsid w:val="001C51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16C"/>
  </w:style>
  <w:style w:type="paragraph" w:styleId="Footer">
    <w:name w:val="footer"/>
    <w:basedOn w:val="Normal"/>
    <w:link w:val="FooterChar"/>
    <w:uiPriority w:val="99"/>
    <w:unhideWhenUsed/>
    <w:rsid w:val="001C51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C92EC8F8</Template>
  <TotalTime>175</TotalTime>
  <Pages>21</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16</cp:revision>
  <dcterms:created xsi:type="dcterms:W3CDTF">2020-08-25T05:49:00Z</dcterms:created>
  <dcterms:modified xsi:type="dcterms:W3CDTF">2020-09-01T05:02:00Z</dcterms:modified>
</cp:coreProperties>
</file>