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utiliza un fichero de tipo faces-config.xml que permite registrar clases personalizadas para sustituir el estándar de </w:t>
      </w:r>
      <w:r w:rsidDel="00000000" w:rsidR="00000000" w:rsidRPr="00000000">
        <w:rPr>
          <w:rtl w:val="0"/>
        </w:rPr>
        <w:t xml:space="preserve">VariableResolver</w:t>
      </w:r>
      <w:r w:rsidDel="00000000" w:rsidR="00000000" w:rsidRPr="00000000">
        <w:rPr>
          <w:rtl w:val="0"/>
        </w:rPr>
        <w:t xml:space="preserve">. Spring utiliza </w:t>
      </w:r>
      <w:r w:rsidDel="00000000" w:rsidR="00000000" w:rsidRPr="00000000">
        <w:rPr>
          <w:rtl w:val="0"/>
        </w:rPr>
        <w:t xml:space="preserve">DelegatingVariableResolver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delegandosele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tl w:val="0"/>
        </w:rPr>
        <w:t xml:space="preserve"> JSF y así en cadena  al </w:t>
      </w:r>
      <w:r w:rsidDel="00000000" w:rsidR="00000000" w:rsidRPr="00000000">
        <w:rPr>
          <w:rtl w:val="0"/>
        </w:rPr>
        <w:t xml:space="preserve">WebApplicationContex</w:t>
      </w:r>
      <w:r w:rsidDel="00000000" w:rsidR="00000000" w:rsidRPr="00000000">
        <w:rPr>
          <w:rtl w:val="0"/>
        </w:rPr>
        <w:t xml:space="preserve"> raíz. Esto permite configurar Beans como propiedades gestionadas por los Managed Beans de JSF, por consecuencia, el </w:t>
      </w:r>
      <w:r w:rsidDel="00000000" w:rsidR="00000000" w:rsidRPr="00000000">
        <w:rPr>
          <w:rtl w:val="0"/>
        </w:rPr>
        <w:t xml:space="preserve">catalogService</w:t>
      </w:r>
      <w:r w:rsidDel="00000000" w:rsidR="00000000" w:rsidRPr="00000000">
        <w:rPr>
          <w:rtl w:val="0"/>
        </w:rPr>
        <w:t xml:space="preserve"> de Spring como una </w:t>
      </w:r>
      <w:r w:rsidDel="00000000" w:rsidR="00000000" w:rsidRPr="00000000">
        <w:rPr>
          <w:rtl w:val="0"/>
        </w:rPr>
        <w:t xml:space="preserve">managed property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rtl w:val="0"/>
        </w:rPr>
        <w:t xml:space="preserve">ItemController</w:t>
      </w:r>
      <w:r w:rsidDel="00000000" w:rsidR="00000000" w:rsidRPr="00000000">
        <w:rPr>
          <w:rtl w:val="0"/>
        </w:rPr>
        <w:t xml:space="preserve"> JSF.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utiliza la notación @Service en las clases referenciadas para que sean manejadas por medio de Spring.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Las anotaciones a utilizar desde el lado de JSF son: @Component, para la dependencia de la clase es @Autowired, @Qualifier especifica el nombre del bean JSF, está referenciado en las páginas XHTML y por último @Scope(“request”) que define el ámbito para recibir peticiones.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declarar objetos en el applicationContext.xml se hace referencia desde los managed beans declarados en el WEB-INF/faces-config.xml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 finalmente se declara la factoría de Spring en el archivo web.xml usando el listener para referenciar los recursos XML del framework de Spring.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