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4AB025">
      <w:pPr>
        <w:pStyle w:val="3"/>
        <w:keepNext w:val="0"/>
        <w:keepLines w:val="0"/>
        <w:widowControl/>
        <w:suppressLineNumbers w:val="0"/>
        <w:ind w:left="0" w:firstLine="0"/>
        <w:rPr>
          <w:rStyle w:val="6"/>
          <w:rFonts w:hint="default" w:ascii="Arial Regular" w:hAnsi="Arial Regular" w:cs="Arial Regular"/>
          <w:i w:val="0"/>
          <w:iCs w:val="0"/>
          <w:caps w:val="0"/>
          <w:color w:val="000000"/>
          <w:spacing w:val="0"/>
          <w:sz w:val="28"/>
          <w:szCs w:val="28"/>
          <w:highlight w:val="yellow"/>
          <w:u w:val="none"/>
          <w:lang w:val="en-US" w:eastAsia="zh-CN"/>
        </w:rPr>
      </w:pPr>
      <w:r>
        <w:rPr>
          <w:rStyle w:val="6"/>
          <w:rFonts w:hint="default" w:ascii="Arial Regular" w:hAnsi="Arial Regular" w:cs="Arial Regular"/>
          <w:i w:val="0"/>
          <w:iCs w:val="0"/>
          <w:caps w:val="0"/>
          <w:color w:val="000000"/>
          <w:spacing w:val="0"/>
          <w:sz w:val="28"/>
          <w:szCs w:val="28"/>
          <w:highlight w:val="yellow"/>
          <w:u w:val="none"/>
          <w:lang w:val="en-US" w:eastAsia="zh-CN"/>
        </w:rPr>
        <w:t>一．两种方法的简介（没有intext引用，可以结合轩找的进行修改）</w:t>
      </w:r>
    </w:p>
    <w:p w14:paraId="3197E539"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Arial Regular" w:hAnsi="Arial Regular" w:cs="Arial Regular"/>
          <w:i w:val="0"/>
          <w:iCs w:val="0"/>
          <w:caps w:val="0"/>
          <w:color w:val="000000"/>
          <w:spacing w:val="0"/>
          <w:u w:val="none"/>
        </w:rPr>
      </w:pPr>
      <w:r>
        <w:rPr>
          <w:rStyle w:val="6"/>
          <w:rFonts w:hint="default" w:ascii="Arial Regular" w:hAnsi="Arial Regular" w:cs="Arial Regular"/>
          <w:i w:val="0"/>
          <w:iCs w:val="0"/>
          <w:caps w:val="0"/>
          <w:color w:val="000000"/>
          <w:spacing w:val="0"/>
          <w:u w:val="none"/>
        </w:rPr>
        <w:t>Diffie–Hellman (D-H):</w:t>
      </w:r>
      <w:r>
        <w:rPr>
          <w:rFonts w:hint="default" w:ascii="Arial Regular" w:hAnsi="Arial Regular" w:cs="Arial Regular"/>
          <w:i w:val="0"/>
          <w:iCs w:val="0"/>
          <w:caps w:val="0"/>
          <w:color w:val="000000"/>
          <w:spacing w:val="0"/>
          <w:u w:val="none"/>
        </w:rPr>
        <w:br w:type="textWrapping"/>
      </w:r>
      <w:r>
        <w:rPr>
          <w:rFonts w:hint="default" w:ascii="Arial Regular" w:hAnsi="Arial Regular" w:cs="Arial Regular"/>
          <w:i w:val="0"/>
          <w:iCs w:val="0"/>
          <w:caps w:val="0"/>
          <w:color w:val="000000"/>
          <w:spacing w:val="0"/>
          <w:u w:val="none"/>
        </w:rPr>
        <w:t>Diffie–Hellman (D-H), first introduced by Diffie and Hellman in 1976, is a foundational public-key agreement protocol that allows two parties to establish a shared secret over an insecure channel. The protocol relies on the difficulty of the discrete logarithm</w:t>
      </w:r>
      <w:bookmarkStart w:id="0" w:name="_GoBack"/>
      <w:bookmarkEnd w:id="0"/>
      <w:r>
        <w:rPr>
          <w:rFonts w:hint="default" w:ascii="Arial Regular" w:hAnsi="Arial Regular" w:cs="Arial Regular"/>
          <w:i w:val="0"/>
          <w:iCs w:val="0"/>
          <w:caps w:val="0"/>
          <w:color w:val="000000"/>
          <w:spacing w:val="0"/>
          <w:u w:val="none"/>
        </w:rPr>
        <w:t xml:space="preserve"> problem in a finite cyclic group: each party selects a private exponent and exchanges the corresponding public values; the shared secret is computed by exponentiation of the received public value with the local private exponent. D-H underpins many key exchange mechanisms but, in its basic form, lacks entity authentication and therefore is vulnerable to active network attacks if additional protections are not applied.</w:t>
      </w:r>
    </w:p>
    <w:p w14:paraId="5C1EDAAD"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Arial Regular" w:hAnsi="Arial Regular" w:cs="Arial Regular"/>
          <w:i w:val="0"/>
          <w:iCs w:val="0"/>
          <w:caps w:val="0"/>
          <w:color w:val="000000"/>
          <w:spacing w:val="0"/>
          <w:u w:val="none"/>
        </w:rPr>
      </w:pPr>
      <w:r>
        <w:rPr>
          <w:rStyle w:val="6"/>
          <w:rFonts w:hint="default" w:ascii="Arial Regular" w:hAnsi="Arial Regular" w:cs="Arial Regular"/>
          <w:i w:val="0"/>
          <w:iCs w:val="0"/>
          <w:caps w:val="0"/>
          <w:color w:val="000000"/>
          <w:spacing w:val="0"/>
          <w:u w:val="none"/>
        </w:rPr>
        <w:t>RSA (as key transport):</w:t>
      </w:r>
      <w:r>
        <w:rPr>
          <w:rFonts w:hint="default" w:ascii="Arial Regular" w:hAnsi="Arial Regular" w:cs="Arial Regular"/>
          <w:i w:val="0"/>
          <w:iCs w:val="0"/>
          <w:caps w:val="0"/>
          <w:color w:val="000000"/>
          <w:spacing w:val="0"/>
          <w:u w:val="none"/>
        </w:rPr>
        <w:br w:type="textWrapping"/>
      </w:r>
      <w:r>
        <w:rPr>
          <w:rFonts w:hint="default" w:ascii="Arial Regular" w:hAnsi="Arial Regular" w:cs="Arial Regular"/>
          <w:i w:val="0"/>
          <w:iCs w:val="0"/>
          <w:caps w:val="0"/>
          <w:color w:val="000000"/>
          <w:spacing w:val="0"/>
          <w:u w:val="none"/>
        </w:rPr>
        <w:t>RSA, introduced by Rivest, Shamir and Adleman, is widely used for both encryption and digital signatures. In key exchange contexts, RSA can be used to encrypt a symmetric key that is then used for session communication. RSA security relies on the pragmatic difficulty of factoring large integers; however, practical implementations can be vulnerable to attacks beyond pure mathematical factoring (e.g., side-channel attacks) if the implementation leaks information such as timing, power consumption, or error responses.</w:t>
      </w:r>
    </w:p>
    <w:p w14:paraId="1FFA4B24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ind w:left="0" w:firstLine="0"/>
        <w:rPr>
          <w:rFonts w:hint="default" w:ascii="Arial Regular" w:hAnsi="Arial Regular" w:cs="Arial Regular"/>
          <w:b/>
          <w:bCs/>
          <w:i w:val="0"/>
          <w:iCs w:val="0"/>
          <w:caps w:val="0"/>
          <w:color w:val="000000"/>
          <w:spacing w:val="0"/>
          <w:sz w:val="28"/>
          <w:szCs w:val="28"/>
          <w:highlight w:val="yellow"/>
          <w:u w:val="none"/>
          <w:lang w:val="en-US" w:eastAsia="zh-CN"/>
        </w:rPr>
      </w:pPr>
      <w:r>
        <w:rPr>
          <w:rFonts w:hint="default" w:ascii="Arial Regular" w:hAnsi="Arial Regular" w:cs="Arial Regular"/>
          <w:b/>
          <w:bCs/>
          <w:i w:val="0"/>
          <w:iCs w:val="0"/>
          <w:caps w:val="0"/>
          <w:color w:val="000000"/>
          <w:spacing w:val="0"/>
          <w:sz w:val="28"/>
          <w:szCs w:val="28"/>
          <w:highlight w:val="yellow"/>
          <w:u w:val="none"/>
          <w:lang w:val="en-US" w:eastAsia="zh-CN"/>
        </w:rPr>
        <w:t>觉得好写好实现的技术</w:t>
      </w:r>
    </w:p>
    <w:p w14:paraId="65846CAE">
      <w:pPr>
        <w:pStyle w:val="3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Arial Regular" w:hAnsi="Arial Regular" w:cs="Arial Regular"/>
          <w:i w:val="0"/>
          <w:iCs w:val="0"/>
          <w:caps w:val="0"/>
          <w:color w:val="000000"/>
          <w:spacing w:val="0"/>
          <w:highlight w:val="none"/>
          <w:u w:val="none"/>
          <w:lang w:val="en-US" w:eastAsia="zh-CN"/>
        </w:rPr>
      </w:pPr>
      <w:r>
        <w:rPr>
          <w:rFonts w:hint="default" w:ascii="Arial Regular" w:hAnsi="Arial Regular" w:cs="Arial Regular"/>
          <w:i w:val="0"/>
          <w:iCs w:val="0"/>
          <w:caps w:val="0"/>
          <w:color w:val="000000"/>
          <w:spacing w:val="0"/>
          <w:highlight w:val="none"/>
          <w:u w:val="none"/>
          <w:lang w:val="en-US" w:eastAsia="zh-CN"/>
        </w:rPr>
        <w:t>对于D-H选择MITM    对于RSA选择TIMING</w:t>
      </w:r>
    </w:p>
    <w:p w14:paraId="76799BDD">
      <w:pPr>
        <w:rPr>
          <w:rFonts w:hint="default" w:ascii="Arial Regular" w:hAnsi="Arial Regular" w:cs="Arial Regular"/>
        </w:rPr>
      </w:pPr>
      <w:r>
        <w:rPr>
          <w:rFonts w:hint="default" w:ascii="Arial Regular" w:hAnsi="Arial Regular" w:cs="Arial Regular"/>
        </w:rPr>
        <w:drawing>
          <wp:inline distT="0" distB="0" distL="114300" distR="114300">
            <wp:extent cx="5266690" cy="1657985"/>
            <wp:effectExtent l="0" t="0" r="1651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 Regular" w:hAnsi="Arial Regular" w:cs="Arial Regular"/>
        </w:rPr>
        <w:drawing>
          <wp:inline distT="0" distB="0" distL="114300" distR="114300">
            <wp:extent cx="5229225" cy="252793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5DDE">
      <w:pPr>
        <w:rPr>
          <w:rFonts w:hint="default" w:ascii="Arial Regular" w:hAnsi="Arial Regular" w:cs="Arial Regular"/>
        </w:rPr>
      </w:pPr>
      <w:r>
        <w:rPr>
          <w:rFonts w:hint="default" w:ascii="Arial Regular" w:hAnsi="Arial Regular" w:cs="Arial Regular"/>
        </w:rPr>
        <w:drawing>
          <wp:inline distT="0" distB="0" distL="114300" distR="114300">
            <wp:extent cx="4799330" cy="2727960"/>
            <wp:effectExtent l="0" t="0" r="12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9B10">
      <w:pPr>
        <w:rPr>
          <w:rFonts w:hint="default" w:ascii="Arial Regular" w:hAnsi="Arial Regular" w:cs="Arial Regular"/>
        </w:rPr>
      </w:pPr>
      <w:r>
        <w:rPr>
          <w:rFonts w:hint="default" w:ascii="Arial Regular" w:hAnsi="Arial Regular" w:cs="Arial Regular"/>
        </w:rPr>
        <w:drawing>
          <wp:inline distT="0" distB="0" distL="114300" distR="114300">
            <wp:extent cx="5266055" cy="3441065"/>
            <wp:effectExtent l="0" t="0" r="1714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75D9">
      <w:pPr>
        <w:numPr>
          <w:ilvl w:val="0"/>
          <w:numId w:val="2"/>
        </w:numPr>
        <w:rPr>
          <w:rFonts w:hint="eastAsia" w:ascii="Arial Regular" w:hAnsi="Arial Regular" w:cs="Arial Regular"/>
          <w:b/>
          <w:bCs/>
          <w:sz w:val="28"/>
          <w:szCs w:val="36"/>
          <w:highlight w:val="yellow"/>
          <w:lang w:val="en-US" w:eastAsia="zh-CN"/>
        </w:rPr>
      </w:pPr>
      <w:r>
        <w:rPr>
          <w:rFonts w:hint="eastAsia" w:ascii="Arial Regular" w:hAnsi="Arial Regular" w:cs="Arial Regular"/>
          <w:b/>
          <w:bCs/>
          <w:sz w:val="28"/>
          <w:szCs w:val="36"/>
          <w:highlight w:val="yellow"/>
          <w:lang w:val="en-US" w:eastAsia="zh-CN"/>
        </w:rPr>
        <w:t>可能能用上的参考文献</w:t>
      </w:r>
    </w:p>
    <w:p w14:paraId="4E782DEE">
      <w:pPr>
        <w:numPr>
          <w:numId w:val="0"/>
        </w:numPr>
        <w:rPr>
          <w:rFonts w:hint="eastAsia" w:ascii="Arial Regular" w:hAnsi="Arial Regular" w:cs="Arial Regular"/>
          <w:b/>
          <w:bCs/>
          <w:sz w:val="24"/>
          <w:szCs w:val="32"/>
          <w:highlight w:val="yellow"/>
          <w:lang w:val="en-US" w:eastAsia="zh-CN"/>
        </w:rPr>
      </w:pPr>
    </w:p>
    <w:p w14:paraId="756D7D69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highlight w:val="lightGray"/>
          <w:u w:val="none"/>
          <w:lang w:val="en-US" w:eastAsia="zh-CN" w:bidi="ar"/>
        </w:rPr>
      </w:pPr>
      <w:r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highlight w:val="lightGray"/>
          <w:u w:val="none"/>
          <w:lang w:val="en-US" w:eastAsia="zh-CN" w:bidi="ar"/>
        </w:rPr>
        <w:t>Paul C. Kocher – “Timing Attacks on Implementations of Diffie-Hellman, RSA, DSS, and Other Systems”（Springer）</w:t>
      </w:r>
    </w:p>
    <w:p w14:paraId="7A9E779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主要内容：时间侧信道如何用于对 RSA 和 D-H（及 DSS）实施攻击，并且提出几种防御思路，写RSA timing attack的理论基础时可用。</w:t>
      </w:r>
    </w:p>
    <w:p w14:paraId="65BCB59D">
      <w:pPr>
        <w:numPr>
          <w:ilvl w:val="0"/>
          <w:numId w:val="3"/>
        </w:numPr>
        <w:ind w:left="0" w:leftChars="0" w:firstLine="0" w:firstLineChars="0"/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highlight w:val="lightGray"/>
          <w:u w:val="none"/>
          <w:lang w:val="en-US" w:eastAsia="zh-CN" w:bidi="ar"/>
        </w:rPr>
      </w:pPr>
      <w:r>
        <w:rPr>
          <w:rFonts w:hint="default" w:ascii="Arial Regular" w:hAnsi="Arial Regular" w:cs="Arial Regular"/>
          <w:b w:val="0"/>
          <w:bCs w:val="0"/>
          <w:sz w:val="28"/>
          <w:szCs w:val="28"/>
          <w:highlight w:val="lightGray"/>
          <w:lang w:val="en-US" w:eastAsia="zh-CN"/>
        </w:rPr>
        <w:t>“Authenticated Key Exchange Provably Secure against the Man-in-the-Middle”（</w:t>
      </w:r>
      <w:r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highlight w:val="lightGray"/>
          <w:u w:val="none"/>
          <w:lang w:val="en-US" w:eastAsia="zh-CN" w:bidi="ar"/>
        </w:rPr>
        <w:t>Springer）</w:t>
      </w:r>
    </w:p>
    <w:p w14:paraId="53787FAF">
      <w:pPr>
        <w:keepNext w:val="0"/>
        <w:keepLines w:val="0"/>
        <w:widowControl/>
        <w:suppressLineNumbers w:val="0"/>
        <w:jc w:val="left"/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highlight w:val="none"/>
          <w:u w:val="none"/>
          <w:lang w:val="en-US" w:eastAsia="zh-CN" w:bidi="ar"/>
        </w:rPr>
        <w:t>主要内容：</w:t>
      </w:r>
      <w:r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讨论一种经过认证的密钥交换协议，从理论上保证它不容易受到 MITM 攻击。写D-H的防御部分可用。</w:t>
      </w:r>
    </w:p>
    <w:p w14:paraId="1D43EA3C"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Arial Regular" w:hAnsi="Arial Regular" w:cs="Arial Regular"/>
          <w:sz w:val="28"/>
          <w:szCs w:val="28"/>
          <w:highlight w:val="lightGray"/>
          <w:lang w:val="en-US"/>
        </w:rPr>
      </w:pPr>
      <w:r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highlight w:val="lightGray"/>
          <w:u w:val="none"/>
          <w:lang w:val="en-US" w:eastAsia="zh-CN" w:bidi="ar"/>
        </w:rPr>
        <w:t>“Preventing Man-In-The-Middle Attack in Diffie-Hellman Key Exchange Protocol”（research gate）</w:t>
      </w:r>
    </w:p>
    <w:p w14:paraId="1388194F">
      <w:pPr>
        <w:keepNext w:val="0"/>
        <w:keepLines w:val="0"/>
        <w:widowControl/>
        <w:suppressLineNumbers w:val="0"/>
        <w:jc w:val="left"/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主要内容：综述了对 D-H 的 MITM 攻击与已有防御方法，并提出一种新方法增强随机性 /完整性验证的方案。可用于写防御部分的参考。</w:t>
      </w:r>
    </w:p>
    <w:p w14:paraId="15495E57"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highlight w:val="lightGray"/>
          <w:u w:val="none"/>
          <w:lang w:val="en-US" w:eastAsia="zh-CN" w:bidi="ar"/>
        </w:rPr>
      </w:pPr>
      <w:r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highlight w:val="lightGray"/>
          <w:u w:val="none"/>
          <w:lang w:val="en-US" w:eastAsia="zh-CN" w:bidi="ar"/>
        </w:rPr>
        <w:t>Detector: An approach for detecting, isolating, and preventing timing attacks（Elsevier）</w:t>
      </w:r>
    </w:p>
    <w:p w14:paraId="257C6A93">
      <w:pPr>
        <w:keepNext w:val="0"/>
        <w:keepLines w:val="0"/>
        <w:widowControl/>
        <w:suppressLineNumbers w:val="0"/>
        <w:jc w:val="left"/>
        <w:rPr>
          <w:rFonts w:hint="default" w:ascii="Arial Regular" w:hAnsi="Arial Regular" w:cs="Arial Regular"/>
          <w:sz w:val="28"/>
          <w:szCs w:val="28"/>
        </w:rPr>
      </w:pPr>
      <w:r>
        <w:rPr>
          <w:rFonts w:hint="default" w:ascii="Arial Regular" w:hAnsi="Arial Regular" w:eastAsia="-webkit-standard" w:cs="Arial Regular"/>
          <w:i w:val="0"/>
          <w:iCs w:val="0"/>
          <w:caps w:val="0"/>
          <w:color w:val="000000"/>
          <w:spacing w:val="0"/>
          <w:kern w:val="0"/>
          <w:sz w:val="28"/>
          <w:szCs w:val="28"/>
          <w:u w:val="none"/>
          <w:lang w:val="en-US" w:eastAsia="zh-CN" w:bidi="ar"/>
        </w:rPr>
        <w:t>主要内容：提出一个运行时检测 / 隔离 / 防止 timing side-channel 攻击的方法（ “Detector”）。在防御部分可引用这一思路。 </w:t>
      </w:r>
    </w:p>
    <w:p w14:paraId="5C80A68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AkayaTelivigala">
    <w:panose1 w:val="00000500000000000000"/>
    <w:charset w:val="00"/>
    <w:family w:val="auto"/>
    <w:pitch w:val="default"/>
    <w:sig w:usb0="00200007" w:usb1="00000000" w:usb2="00000000" w:usb3="00000000" w:csb0="20000093" w:csb1="0000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Georgia">
    <w:panose1 w:val="0204050205040509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4ADF3A"/>
    <w:multiLevelType w:val="singleLevel"/>
    <w:tmpl w:val="BB4ADF3A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FDFFC9C"/>
    <w:multiLevelType w:val="singleLevel"/>
    <w:tmpl w:val="DFDFFC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CEDB908"/>
    <w:multiLevelType w:val="singleLevel"/>
    <w:tmpl w:val="7CEDB908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DF7D97D"/>
    <w:rsid w:val="ADF7D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Office_12.1.22553.22553_F1E327BC-269C-435d-A152-05C5408002CA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2025-10-16T21:11:00Z</dcterms:created>
  <dc:creator>洛未末</dc:creator>
  <cp:lastModifiedBy>洛未末</cp:lastModifiedBy>
  <dcterms:modified xsi:type="dcterms:W3CDTF">2025-10-16T21:58:54Z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2052-12.1.22553.22553</vt:lpwstr>
  </property>
  <property fmtid="{D5CDD505-2E9C-101B-9397-08002B2CF9AE}" pid="3" name="ICV">
    <vt:lpwstr>8AF604BA48CF9C77FAEEF068983F51B6_41</vt:lpwstr>
  </property>
</Properties>
</file>