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b/>
          <w:bCs/>
          <w:sz w:val="24"/>
        </w:rPr>
      </w:pPr>
      <w:r w:rsidRPr="00084155">
        <w:rPr>
          <w:rFonts w:ascii="微软雅黑" w:eastAsia="微软雅黑" w:hAnsi="微软雅黑" w:hint="eastAsia"/>
          <w:b/>
          <w:bCs/>
          <w:sz w:val="24"/>
        </w:rPr>
        <w:t>Diffie–Hellman (DH) 与 MITM 防御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1. </w:t>
      </w:r>
      <w:hyperlink r:id="rId4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Preventing Man-In-The-Middle Attack in Diffie-Hellman Key Exchange Protocol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Aqeel Sahi, David Lai (2015)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论文详细分析了传统 Diffie–Hellman 密钥交换的漏洞：由于没有身份验证机制，攻击者可在双方中间伪造公</w:t>
      </w:r>
      <w:proofErr w:type="gramStart"/>
      <w:r w:rsidRPr="00084155">
        <w:rPr>
          <w:rFonts w:ascii="微软雅黑" w:eastAsia="微软雅黑" w:hAnsi="微软雅黑" w:hint="eastAsia"/>
          <w:sz w:val="21"/>
          <w:szCs w:val="21"/>
        </w:rPr>
        <w:t>钥</w:t>
      </w:r>
      <w:proofErr w:type="gramEnd"/>
      <w:r w:rsidRPr="00084155">
        <w:rPr>
          <w:rFonts w:ascii="微软雅黑" w:eastAsia="微软雅黑" w:hAnsi="微软雅黑" w:hint="eastAsia"/>
          <w:sz w:val="21"/>
          <w:szCs w:val="21"/>
        </w:rPr>
        <w:t xml:space="preserve">，从而中间人拦截并解密通信。作者提出使用基于伪随机序列生成器（如 Geffe Generator）的改进 DH 模型，通过增加不可预测性和认证标签，使密钥生成过程更安全。可引用其对传统 DH </w:t>
      </w:r>
      <w:proofErr w:type="gramStart"/>
      <w:r w:rsidRPr="00084155">
        <w:rPr>
          <w:rFonts w:ascii="微软雅黑" w:eastAsia="微软雅黑" w:hAnsi="微软雅黑" w:hint="eastAsia"/>
          <w:sz w:val="21"/>
          <w:szCs w:val="21"/>
        </w:rPr>
        <w:t>不</w:t>
      </w:r>
      <w:proofErr w:type="gramEnd"/>
      <w:r w:rsidRPr="00084155">
        <w:rPr>
          <w:rFonts w:ascii="微软雅黑" w:eastAsia="微软雅黑" w:hAnsi="微软雅黑" w:hint="eastAsia"/>
          <w:sz w:val="21"/>
          <w:szCs w:val="21"/>
        </w:rPr>
        <w:t>安全性的解释和防御思路作为“MITM 问题提出”与“增强密钥随机性”的论据。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2. </w:t>
      </w:r>
      <w:hyperlink r:id="rId5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An Improved Diffie-Hellman Scheme for Mitigating a MITM Attack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IJISRT (2024)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该研究在传统 DH 协议中加入双向认证步骤：在密钥交换时使用时间戳、数字签名与随机质询，验证通信双方身份。文中指出这种方法可防止攻击者伪造身份并进行 MITM 攻击。适合引用为“利用时间同步与身份验证机制抵御 MITM”的现代化改进方案。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3. </w:t>
      </w:r>
      <w:hyperlink r:id="rId6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Diffie-Hellman in the Air: A Link Layer Approach for In-Band Wireless Pairing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proofErr w:type="spellStart"/>
      <w:r w:rsidRPr="00084155">
        <w:rPr>
          <w:rFonts w:ascii="微软雅黑" w:eastAsia="微软雅黑" w:hAnsi="微软雅黑" w:hint="eastAsia"/>
          <w:sz w:val="21"/>
          <w:szCs w:val="21"/>
        </w:rPr>
        <w:t>Wenlong</w:t>
      </w:r>
      <w:proofErr w:type="spellEnd"/>
      <w:r w:rsidRPr="00084155">
        <w:rPr>
          <w:rFonts w:ascii="微软雅黑" w:eastAsia="微软雅黑" w:hAnsi="微软雅黑" w:hint="eastAsia"/>
          <w:sz w:val="21"/>
          <w:szCs w:val="21"/>
        </w:rPr>
        <w:t xml:space="preserve"> Shen et al. (2019)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提出一种用于无线通信的 DH 安全方案，通过检测信号碰撞、重放延迟等物理层特征判断</w:t>
      </w:r>
      <w:r w:rsidRPr="00084155">
        <w:rPr>
          <w:rFonts w:ascii="微软雅黑" w:eastAsia="微软雅黑" w:hAnsi="微软雅黑" w:hint="eastAsia"/>
          <w:sz w:val="21"/>
          <w:szCs w:val="21"/>
        </w:rPr>
        <w:lastRenderedPageBreak/>
        <w:t>是否存在 MITM 攻击者。文章展示了物理层信息如何补充传统加密层，成为一种“跨层防御”。可在论文中用作“实际系统层实现防御”的示例。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4. </w:t>
      </w:r>
      <w:hyperlink r:id="rId7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Detecting Man-in-the-Middle Attacks on Ephemeral Diffie–Hellman (ZRTP / RFC6189)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Phil Zimmermann 等（IETF 标准, 2011）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介绍 ZRTP 协议如何通过短认证字符串（SAS）在通话双方通过语音确认时验证密钥一致性，从而有效检测 MITM。该方法不依赖 PKI，具有较强的实用性。适合引用在“基于用户交互的 MITM 检测方案”部分。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5. </w:t>
      </w:r>
      <w:hyperlink r:id="rId8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A Survey on Man-in-the-Middle Attacks and Their Countermeasures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Shubhankar Kumar et al. (2020)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全面总结了 MITM 攻击在不同层（网络层、TLS、DH、Wi-Fi 等）的变体和防御措施，包括 PKI 签名、密钥认证、PAKE、加盐机制等。可作为“MITM 攻击分类与综合防御框架”的理论支撑文献。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6. </w:t>
      </w:r>
      <w:hyperlink r:id="rId9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Cryptographic Advancements Enabled by Diffie–Hellman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ISACA Journal, Vol.3 (2024)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文章概述了 DH 协议在现代加密体系（如 TLS、IPSec、PGP）中的应用，并指出“缺乏</w:t>
      </w:r>
      <w:r w:rsidRPr="00084155">
        <w:rPr>
          <w:rFonts w:ascii="微软雅黑" w:eastAsia="微软雅黑" w:hAnsi="微软雅黑" w:hint="eastAsia"/>
          <w:sz w:val="21"/>
          <w:szCs w:val="21"/>
        </w:rPr>
        <w:lastRenderedPageBreak/>
        <w:t>认证”的风险是 MITM 的根源之一。可用作引言或背景，说明“为什么 DH 在安全协议中必须结合认证机制”。</w:t>
      </w:r>
    </w:p>
    <w:p w:rsidR="00D60E4F" w:rsidRPr="00084155" w:rsidRDefault="00084155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br/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b/>
          <w:bCs/>
          <w:sz w:val="24"/>
        </w:rPr>
      </w:pPr>
      <w:r w:rsidRPr="00084155">
        <w:rPr>
          <w:rFonts w:ascii="微软雅黑" w:eastAsia="微软雅黑" w:hAnsi="微软雅黑" w:hint="eastAsia"/>
          <w:b/>
          <w:bCs/>
          <w:sz w:val="24"/>
        </w:rPr>
        <w:t>RSA 与 Factorization Attack 防御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1. </w:t>
      </w:r>
      <w:hyperlink r:id="rId10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Twenty Years of Attacks on the RSA Cryptosystem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Dan Boneh (1999)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经典综述，详细回顾了 RSA 的攻击手段，包括因式分解、低加密指数攻击、共模攻击、时序攻击等。指出因式分解是 RSA 安全的核心风险。可用作“RSA 攻击历史与背景介绍”的权威引用。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2. </w:t>
      </w:r>
      <w:hyperlink r:id="rId11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Survey of RSA Vulnerabilities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Overmars et al. (2020)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文章系统地总结了 RSA 的结构性弱点，包括：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ab/>
        <w:t>•</w:t>
      </w:r>
      <w:r w:rsidRPr="00084155">
        <w:rPr>
          <w:rFonts w:ascii="微软雅黑" w:eastAsia="微软雅黑" w:hAnsi="微软雅黑" w:hint="eastAsia"/>
          <w:sz w:val="21"/>
          <w:szCs w:val="21"/>
        </w:rPr>
        <w:tab/>
        <w:t>素数生成</w:t>
      </w:r>
      <w:proofErr w:type="gramStart"/>
      <w:r w:rsidRPr="00084155">
        <w:rPr>
          <w:rFonts w:ascii="微软雅黑" w:eastAsia="微软雅黑" w:hAnsi="微软雅黑" w:hint="eastAsia"/>
          <w:sz w:val="21"/>
          <w:szCs w:val="21"/>
        </w:rPr>
        <w:t>不</w:t>
      </w:r>
      <w:proofErr w:type="gramEnd"/>
      <w:r w:rsidRPr="00084155">
        <w:rPr>
          <w:rFonts w:ascii="微软雅黑" w:eastAsia="微软雅黑" w:hAnsi="微软雅黑" w:hint="eastAsia"/>
          <w:sz w:val="21"/>
          <w:szCs w:val="21"/>
        </w:rPr>
        <w:t>随机导致</w:t>
      </w:r>
      <w:proofErr w:type="gramStart"/>
      <w:r w:rsidRPr="00084155">
        <w:rPr>
          <w:rFonts w:ascii="微软雅黑" w:eastAsia="微软雅黑" w:hAnsi="微软雅黑" w:hint="eastAsia"/>
          <w:sz w:val="21"/>
          <w:szCs w:val="21"/>
        </w:rPr>
        <w:t>模数易</w:t>
      </w:r>
      <w:proofErr w:type="gramEnd"/>
      <w:r w:rsidRPr="00084155">
        <w:rPr>
          <w:rFonts w:ascii="微软雅黑" w:eastAsia="微软雅黑" w:hAnsi="微软雅黑" w:hint="eastAsia"/>
          <w:sz w:val="21"/>
          <w:szCs w:val="21"/>
        </w:rPr>
        <w:t>被分解；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ab/>
        <w:t>•</w:t>
      </w:r>
      <w:r w:rsidRPr="00084155">
        <w:rPr>
          <w:rFonts w:ascii="微软雅黑" w:eastAsia="微软雅黑" w:hAnsi="微软雅黑" w:hint="eastAsia"/>
          <w:sz w:val="21"/>
          <w:szCs w:val="21"/>
        </w:rPr>
        <w:tab/>
        <w:t>小公</w:t>
      </w:r>
      <w:proofErr w:type="gramStart"/>
      <w:r w:rsidRPr="00084155">
        <w:rPr>
          <w:rFonts w:ascii="微软雅黑" w:eastAsia="微软雅黑" w:hAnsi="微软雅黑" w:hint="eastAsia"/>
          <w:sz w:val="21"/>
          <w:szCs w:val="21"/>
        </w:rPr>
        <w:t>钥</w:t>
      </w:r>
      <w:proofErr w:type="gramEnd"/>
      <w:r w:rsidRPr="00084155">
        <w:rPr>
          <w:rFonts w:ascii="微软雅黑" w:eastAsia="微软雅黑" w:hAnsi="微软雅黑" w:hint="eastAsia"/>
          <w:sz w:val="21"/>
          <w:szCs w:val="21"/>
        </w:rPr>
        <w:t>指数引起的消息重构攻击；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ab/>
        <w:t>•</w:t>
      </w:r>
      <w:r w:rsidRPr="00084155">
        <w:rPr>
          <w:rFonts w:ascii="微软雅黑" w:eastAsia="微软雅黑" w:hAnsi="微软雅黑" w:hint="eastAsia"/>
          <w:sz w:val="21"/>
          <w:szCs w:val="21"/>
        </w:rPr>
        <w:tab/>
        <w:t>多设备重复素数导致的共因子攻击。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可直接引用到“RSA 因式分解攻击与弱密钥风险”章节。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lastRenderedPageBreak/>
        <w:t xml:space="preserve">3. </w:t>
      </w:r>
      <w:hyperlink r:id="rId12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Cryptoanalysis of RSA variants with special structure of RSA primes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Haseeb Anwar et al. (2024)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研究了当 RSA 的素数具有某种数学结构（如接近</w:t>
      </w:r>
      <w:proofErr w:type="gramStart"/>
      <w:r w:rsidRPr="00084155">
        <w:rPr>
          <w:rFonts w:ascii="微软雅黑" w:eastAsia="微软雅黑" w:hAnsi="微软雅黑" w:hint="eastAsia"/>
          <w:sz w:val="21"/>
          <w:szCs w:val="21"/>
        </w:rPr>
        <w:t>幂</w:t>
      </w:r>
      <w:proofErr w:type="gramEnd"/>
      <w:r w:rsidRPr="00084155">
        <w:rPr>
          <w:rFonts w:ascii="微软雅黑" w:eastAsia="微软雅黑" w:hAnsi="微软雅黑" w:hint="eastAsia"/>
          <w:sz w:val="21"/>
          <w:szCs w:val="21"/>
        </w:rPr>
        <w:t>次或存在小差距）时，攻击者可利用数论方法快速分解模数。强调必须避免“特殊形式素数”的密钥生成。可用于讨论“改进密钥生成算法”的部分。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4. </w:t>
      </w:r>
      <w:hyperlink r:id="rId13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An Efficient All-to-All GCD Algorithm for Low Entropy RSA Key Factorization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Andrew Pelofske (2024)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论文提出一种基于批量 GCD 的算法，可以从大量 RSA 公</w:t>
      </w:r>
      <w:proofErr w:type="gramStart"/>
      <w:r w:rsidRPr="00084155">
        <w:rPr>
          <w:rFonts w:ascii="微软雅黑" w:eastAsia="微软雅黑" w:hAnsi="微软雅黑" w:hint="eastAsia"/>
          <w:sz w:val="21"/>
          <w:szCs w:val="21"/>
        </w:rPr>
        <w:t>钥</w:t>
      </w:r>
      <w:proofErr w:type="gramEnd"/>
      <w:r w:rsidRPr="00084155">
        <w:rPr>
          <w:rFonts w:ascii="微软雅黑" w:eastAsia="微软雅黑" w:hAnsi="微软雅黑" w:hint="eastAsia"/>
          <w:sz w:val="21"/>
          <w:szCs w:val="21"/>
        </w:rPr>
        <w:t>中检测出共享素数的弱密钥。适合引用为“现代 RSA 因式分解技术”实例，并指出“低熵 RNG”是主要原因。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5. </w:t>
      </w:r>
      <w:hyperlink r:id="rId14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Practical Factorization of Widely Used RSA Moduli (ROCA Attack)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Matej Nemec et al. (2017, ACM CCS)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介绍了 ROCA 攻击：某厂商使用特定算法生成 RSA 素数，导致模数可被部分恢复。文中展示了数百万真实设备（如 TPM、智能卡）受影响的实例。适合用作“现实案例”说明因式分解风险。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 xml:space="preserve">6. </w:t>
      </w:r>
      <w:hyperlink r:id="rId15" w:history="1">
        <w:r w:rsidRPr="00084155">
          <w:rPr>
            <w:rStyle w:val="ae"/>
            <w:rFonts w:ascii="微软雅黑" w:eastAsia="微软雅黑" w:hAnsi="微软雅黑" w:hint="eastAsia"/>
            <w:sz w:val="21"/>
            <w:szCs w:val="21"/>
          </w:rPr>
          <w:t>Microarchitectural Side-Channel Vulnerabilities and Countermeasures: A Survey</w:t>
        </w:r>
      </w:hyperlink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Ashish Venkat et al. (2021)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 w:hint="eastAsia"/>
          <w:sz w:val="21"/>
          <w:szCs w:val="21"/>
        </w:rPr>
      </w:pPr>
      <w:r w:rsidRPr="00084155">
        <w:rPr>
          <w:rFonts w:ascii="微软雅黑" w:eastAsia="微软雅黑" w:hAnsi="微软雅黑" w:hint="eastAsia"/>
          <w:sz w:val="21"/>
          <w:szCs w:val="21"/>
        </w:rPr>
        <w:t>探讨侧信道攻击（如缓存、分支预测、功耗分析）如何间接帮助攻击者推导 RSA 密钥，从而简化因式分解。文章还介绍了常数时间运算、随机掩蔽、硬件隔离等防御技术。可用于“RSA 实现层安全强化”章节。</w:t>
      </w:r>
    </w:p>
    <w:p w:rsidR="00D60E4F" w:rsidRPr="00084155" w:rsidRDefault="00D60E4F" w:rsidP="00084155">
      <w:pPr>
        <w:spacing w:after="0" w:line="160" w:lineRule="atLeast"/>
        <w:rPr>
          <w:rFonts w:ascii="微软雅黑" w:eastAsia="微软雅黑" w:hAnsi="微软雅黑"/>
          <w:sz w:val="21"/>
          <w:szCs w:val="21"/>
        </w:rPr>
      </w:pPr>
    </w:p>
    <w:sectPr w:rsidR="00D60E4F" w:rsidRPr="0008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4F"/>
    <w:rsid w:val="00084155"/>
    <w:rsid w:val="008D3DBB"/>
    <w:rsid w:val="00D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8DB1"/>
  <w15:chartTrackingRefBased/>
  <w15:docId w15:val="{058C9BEF-B96E-4730-80F7-E5B27260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E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E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E4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E4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E4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E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E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E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E4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E4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E4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0E4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E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E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E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E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E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E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E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0E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E4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E4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0E4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60E4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6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059025" TargetMode="External"/><Relationship Id="rId13" Type="http://schemas.openxmlformats.org/officeDocument/2006/relationships/hyperlink" Target="https://arxiv.org/abs/2405.031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tracker.ietf.org/doc/html/rfc6189" TargetMode="External"/><Relationship Id="rId12" Type="http://schemas.openxmlformats.org/officeDocument/2006/relationships/hyperlink" Target="https://arxiv.org/abs/2403.0618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rxiv.org/abs/1901.09520" TargetMode="External"/><Relationship Id="rId11" Type="http://schemas.openxmlformats.org/officeDocument/2006/relationships/hyperlink" Target="https://www.mdpi.com/2297-8747/25/4/63" TargetMode="External"/><Relationship Id="rId5" Type="http://schemas.openxmlformats.org/officeDocument/2006/relationships/hyperlink" Target="https://www.ijisrt.com/assets/upload/files/IJISRT24APR2479.pdf" TargetMode="External"/><Relationship Id="rId15" Type="http://schemas.openxmlformats.org/officeDocument/2006/relationships/hyperlink" Target="https://dl.acm.org/doi/10.1145/3446370" TargetMode="External"/><Relationship Id="rId10" Type="http://schemas.openxmlformats.org/officeDocument/2006/relationships/hyperlink" Target="https://crypto.stanford.edu/~dabo/papers/RSA-survey.pdf" TargetMode="External"/><Relationship Id="rId4" Type="http://schemas.openxmlformats.org/officeDocument/2006/relationships/hyperlink" Target="https://www.researchgate.net/publication/280722113_Preventing_Man-In-The-Middle_Attack_in_Diffie-Hellman_Key_Exchange_Protocol" TargetMode="External"/><Relationship Id="rId9" Type="http://schemas.openxmlformats.org/officeDocument/2006/relationships/hyperlink" Target="https://www.isaca.org/resources/isaca-journal/issues/2024/volume-3/cryptographic-advancements-enabled-by-diffie-hellman" TargetMode="External"/><Relationship Id="rId14" Type="http://schemas.openxmlformats.org/officeDocument/2006/relationships/hyperlink" Target="https://crocs.fi.muni.cz/_media/public/papers/nemec_roca_ccs17_preprint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子寒 秦</dc:creator>
  <cp:keywords/>
  <dc:description/>
  <cp:lastModifiedBy>子寒 秦</cp:lastModifiedBy>
  <cp:revision>1</cp:revision>
  <dcterms:created xsi:type="dcterms:W3CDTF">2025-10-22T06:30:00Z</dcterms:created>
  <dcterms:modified xsi:type="dcterms:W3CDTF">2025-10-22T07:31:00Z</dcterms:modified>
</cp:coreProperties>
</file>