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89888" w14:textId="77777777" w:rsidR="00265C58" w:rsidRPr="00265C58" w:rsidRDefault="00265C58" w:rsidP="00265C58">
      <w:pPr>
        <w:rPr>
          <w:rFonts w:hint="eastAsia"/>
          <w:b/>
          <w:bCs/>
        </w:rPr>
      </w:pPr>
      <w:r w:rsidRPr="00265C58">
        <w:rPr>
          <w:rFonts w:hint="eastAsia"/>
          <w:b/>
          <w:bCs/>
        </w:rPr>
        <w:t>3. In-Depth Comparison of Defense Mechanisms: Protocol Empowerment vs. Mathematical Fortification</w:t>
      </w:r>
    </w:p>
    <w:p w14:paraId="47605413" w14:textId="77777777" w:rsidR="00265C58" w:rsidRPr="00265C58" w:rsidRDefault="00265C58" w:rsidP="00265C58">
      <w:pPr>
        <w:rPr>
          <w:rFonts w:hint="eastAsia"/>
          <w:b/>
          <w:bCs/>
        </w:rPr>
      </w:pPr>
    </w:p>
    <w:p w14:paraId="55863F5B" w14:textId="77777777" w:rsidR="00265C58" w:rsidRPr="00265C58" w:rsidRDefault="00265C58" w:rsidP="00265C58">
      <w:pPr>
        <w:rPr>
          <w:rFonts w:hint="eastAsia"/>
          <w:b/>
          <w:bCs/>
        </w:rPr>
      </w:pPr>
      <w:r w:rsidRPr="00265C58">
        <w:rPr>
          <w:rFonts w:hint="eastAsia"/>
          <w:b/>
          <w:bCs/>
        </w:rPr>
        <w:t>The two core mechanisms to be discussed next – Pre-Shared Key (PSK) authenticated Diffie-Hellman and enhanced key generation for RSA – are vivid manifestations of this concept. Although both fall within the defensive domain, they differ fundamentally in their core principles, technical paradigms, and systemic roles. A comparative analysis helps deepen the understanding of layered defenses in cryptographic systems.</w:t>
      </w:r>
    </w:p>
    <w:p w14:paraId="1A3979D3" w14:textId="77777777" w:rsidR="00265C58" w:rsidRPr="00265C58" w:rsidRDefault="00265C58" w:rsidP="00265C58">
      <w:pPr>
        <w:rPr>
          <w:rFonts w:hint="eastAsia"/>
          <w:b/>
          <w:bCs/>
        </w:rPr>
      </w:pPr>
    </w:p>
    <w:p w14:paraId="2AC664C8" w14:textId="77777777" w:rsidR="009E0C22" w:rsidRPr="00265C58" w:rsidRDefault="009E0C22" w:rsidP="009E0C22">
      <w:pPr>
        <w:rPr>
          <w:rFonts w:hint="eastAsia"/>
          <w:b/>
          <w:bCs/>
        </w:rPr>
      </w:pPr>
      <w:r w:rsidRPr="00265C58">
        <w:rPr>
          <w:rFonts w:hint="eastAsia"/>
          <w:b/>
          <w:bCs/>
        </w:rPr>
        <w:t>3.1 Core Philosophy: External Empowerment of Protocol Flow vs. Internal Fortification of Cryptographic Primitives</w:t>
      </w:r>
    </w:p>
    <w:p w14:paraId="1815151D" w14:textId="77777777" w:rsidR="009E0C22" w:rsidRPr="00265C58" w:rsidRDefault="009E0C22" w:rsidP="009E0C22">
      <w:pPr>
        <w:rPr>
          <w:rFonts w:hint="eastAsia"/>
          <w:b/>
          <w:bCs/>
        </w:rPr>
      </w:pPr>
    </w:p>
    <w:p w14:paraId="7BD7C5CF" w14:textId="77777777" w:rsidR="009E0C22" w:rsidRPr="00265C58" w:rsidRDefault="009E0C22" w:rsidP="009E0C22">
      <w:pPr>
        <w:rPr>
          <w:rFonts w:hint="eastAsia"/>
          <w:b/>
          <w:bCs/>
        </w:rPr>
      </w:pPr>
      <w:r w:rsidRPr="00265C58">
        <w:rPr>
          <w:rFonts w:hint="eastAsia"/>
          <w:b/>
          <w:bCs/>
        </w:rPr>
        <w:t>The core logic of these two defense mechanisms operates at different security layers. PSK-D-H authentication is essentially a "protocol-layer defense". It does not challenge the security of the discrete logarithm problem upon which the D-H key exchange itself relies, but rather provides an "external reinforcement" targeting the lack of identity authentication in its interactive process. This mechanism guarantees the authenticity of communicating entities by introducing a symmetric trust anchor (the PSK) independent of the key exchange process itself. Its defensive approach is to empower the process, i.e., to superimpose an identity verification layer on top of the existing mathematical protocol to ensure the trustworthiness of the participating parties.</w:t>
      </w:r>
    </w:p>
    <w:p w14:paraId="1FCC92F5" w14:textId="77777777" w:rsidR="009E0C22" w:rsidRPr="00265C58" w:rsidRDefault="009E0C22" w:rsidP="009E0C22">
      <w:pPr>
        <w:rPr>
          <w:rFonts w:hint="eastAsia"/>
          <w:b/>
          <w:bCs/>
        </w:rPr>
      </w:pPr>
    </w:p>
    <w:p w14:paraId="062E851E" w14:textId="77777777" w:rsidR="009E0C22" w:rsidRPr="00265C58" w:rsidRDefault="009E0C22" w:rsidP="009E0C22">
      <w:pPr>
        <w:rPr>
          <w:rFonts w:hint="eastAsia"/>
          <w:b/>
          <w:bCs/>
        </w:rPr>
      </w:pPr>
      <w:r w:rsidRPr="00265C58">
        <w:rPr>
          <w:rFonts w:hint="eastAsia"/>
          <w:b/>
          <w:bCs/>
        </w:rPr>
        <w:t>In contrast, the RSA key enhancement strategy is a "mathematical-layer defense". It directly addresses the security foundation of the RSA cryptosystem – the computational intractability of the large integer factorization problem. Its defensive logic is not to modify the protocol flow, but to fortify the foundation from within, by meticulously constructing the mathematical properties of the key itself (such as using a sufficiently large modulus length and prime factors that meet "strong prime" criteria) to systematically increase the computational complexity for an attacker attempting mathematical cryptanalysis. It focuses on the intrinsic strength of the cryptographic primitive, not on how it is used in a session.</w:t>
      </w:r>
    </w:p>
    <w:p w14:paraId="4DE4DB05" w14:textId="77777777" w:rsidR="00265C58" w:rsidRPr="009E0C22" w:rsidRDefault="00265C58" w:rsidP="00265C58">
      <w:pPr>
        <w:rPr>
          <w:rFonts w:hint="eastAsia"/>
          <w:b/>
          <w:bCs/>
        </w:rPr>
      </w:pPr>
    </w:p>
    <w:p w14:paraId="5FB3268E" w14:textId="77777777" w:rsidR="00265C58" w:rsidRPr="00265C58" w:rsidRDefault="00265C58" w:rsidP="00265C58">
      <w:pPr>
        <w:rPr>
          <w:rFonts w:hint="eastAsia"/>
          <w:b/>
          <w:bCs/>
        </w:rPr>
      </w:pPr>
      <w:r w:rsidRPr="00265C58">
        <w:rPr>
          <w:rFonts w:hint="eastAsia"/>
          <w:b/>
          <w:bCs/>
        </w:rPr>
        <w:t>3.2 Technical Paradigm: Agility of Hybrid Architecture vs. Standardization of Pure Paradigm</w:t>
      </w:r>
    </w:p>
    <w:p w14:paraId="76DB0A52" w14:textId="77777777" w:rsidR="00265C58" w:rsidRPr="00265C58" w:rsidRDefault="00265C58" w:rsidP="00265C58">
      <w:pPr>
        <w:rPr>
          <w:rFonts w:hint="eastAsia"/>
          <w:b/>
          <w:bCs/>
        </w:rPr>
      </w:pPr>
    </w:p>
    <w:p w14:paraId="599450DD" w14:textId="4FD5A462" w:rsidR="009E0C22" w:rsidRDefault="009E0C22" w:rsidP="00265C58">
      <w:pPr>
        <w:rPr>
          <w:b/>
          <w:bCs/>
        </w:rPr>
      </w:pPr>
      <w:r w:rsidRPr="009E0C22">
        <w:rPr>
          <w:b/>
          <w:bCs/>
        </w:rPr>
        <w:t>The difference in philosophy directly leads to a divergence in technical paradigms. Diffie–Hellman remains a fundamental component of many modern cryptographic protocols; however, in its original unauthenticated form, it is vulnerable to MITM attacks, necessitating additional defensive mechanisms</w:t>
      </w:r>
      <w:r>
        <w:rPr>
          <w:rFonts w:hint="eastAsia"/>
          <w:b/>
          <w:bCs/>
        </w:rPr>
        <w:fldChar w:fldCharType="begin"/>
      </w:r>
      <w:r>
        <w:rPr>
          <w:rFonts w:hint="eastAsia"/>
          <w:b/>
          <w:bCs/>
        </w:rPr>
        <w:instrText xml:space="preserve"> </w:instrText>
      </w:r>
      <w:r>
        <w:rPr>
          <w:b/>
          <w:bCs/>
        </w:rPr>
        <w:instrText>REF _Ref213106117 \r \h</w:instrText>
      </w:r>
      <w:r>
        <w:rPr>
          <w:rFonts w:hint="eastAsia"/>
          <w:b/>
          <w:bCs/>
        </w:rPr>
        <w:instrText xml:space="preserve"> </w:instrText>
      </w:r>
      <w:r>
        <w:rPr>
          <w:rFonts w:hint="eastAsia"/>
          <w:b/>
          <w:bCs/>
        </w:rPr>
      </w:r>
      <w:r>
        <w:rPr>
          <w:rFonts w:hint="eastAsia"/>
          <w:b/>
          <w:bCs/>
        </w:rPr>
        <w:fldChar w:fldCharType="separate"/>
      </w:r>
      <w:r>
        <w:rPr>
          <w:rFonts w:hint="eastAsia"/>
          <w:b/>
          <w:bCs/>
        </w:rPr>
        <w:t>[1]</w:t>
      </w:r>
      <w:r>
        <w:rPr>
          <w:rFonts w:hint="eastAsia"/>
          <w:b/>
          <w:bCs/>
        </w:rPr>
        <w:fldChar w:fldCharType="end"/>
      </w:r>
      <w:r w:rsidRPr="009E0C22">
        <w:rPr>
          <w:b/>
          <w:bCs/>
        </w:rPr>
        <w:t xml:space="preserve">. The PSK-D-H scheme embodies such a mechanism through a "hybrid architecture" philosophy. Building on Khader and Lai, authentication mechanisms can be integrated into the standard D-H process to mitigate MITM risks. Their study proposed an enhanced D-H exchange where each party’s public key is verified through a pre-shared authentication token, effectively preventing unauthorized intermediaries from altering key values. This aligns with the proposed </w:t>
      </w:r>
      <w:r w:rsidRPr="009E0C22">
        <w:rPr>
          <w:b/>
          <w:bCs/>
        </w:rPr>
        <w:lastRenderedPageBreak/>
        <w:t>PSK-D-H model adopted in this paper, where pre-shared credentials add a lightweight yet strong identity verification step</w:t>
      </w:r>
      <w:r>
        <w:rPr>
          <w:rFonts w:hint="eastAsia"/>
          <w:b/>
          <w:bCs/>
        </w:rPr>
        <w:fldChar w:fldCharType="begin"/>
      </w:r>
      <w:r>
        <w:rPr>
          <w:rFonts w:hint="eastAsia"/>
          <w:b/>
          <w:bCs/>
        </w:rPr>
        <w:instrText xml:space="preserve"> </w:instrText>
      </w:r>
      <w:r>
        <w:rPr>
          <w:b/>
          <w:bCs/>
        </w:rPr>
        <w:instrText>REF _Ref213106340 \r \h</w:instrText>
      </w:r>
      <w:r>
        <w:rPr>
          <w:rFonts w:hint="eastAsia"/>
          <w:b/>
          <w:bCs/>
        </w:rPr>
        <w:instrText xml:space="preserve"> </w:instrText>
      </w:r>
      <w:r>
        <w:rPr>
          <w:rFonts w:hint="eastAsia"/>
          <w:b/>
          <w:bCs/>
        </w:rPr>
      </w:r>
      <w:r>
        <w:rPr>
          <w:rFonts w:hint="eastAsia"/>
          <w:b/>
          <w:bCs/>
        </w:rPr>
        <w:fldChar w:fldCharType="separate"/>
      </w:r>
      <w:r>
        <w:rPr>
          <w:rFonts w:hint="eastAsia"/>
          <w:b/>
          <w:bCs/>
        </w:rPr>
        <w:t>[2]</w:t>
      </w:r>
      <w:r>
        <w:rPr>
          <w:rFonts w:hint="eastAsia"/>
          <w:b/>
          <w:bCs/>
        </w:rPr>
        <w:fldChar w:fldCharType="end"/>
      </w:r>
      <w:r w:rsidRPr="009E0C22">
        <w:rPr>
          <w:b/>
          <w:bCs/>
        </w:rPr>
        <w:t>. In practice, this is achieved by flexibly using lightweight symmetric cryptographic tools (HMAC) to resolve the identity trust crisis in public-key cryptographic protocols. The advantage of this paradigm lies in its agility and self-containment. It implements the "pre-shared keys" approach noted by Ahmed et al., avoiding the need for a complex Public Key Infrastructure (PKI), and thereby achieving immediate, closed-loop security assurance, which is particularly suitable for resource-constrained or ad-hoc communication scenarios. However, the cost is shifting part of the security burden to the lifecycle management of the PSK, where key distribution, storage, and rotation become new security challenges. In contrast, RSA key enhancement is the self-perfection of the "pure public-key paradigm". Its security is entirely built upon number theory principles and standardized processes, achieving maximum strength through computationally intensive key generation (e.g., using secure random number generation and multiple primality tests). This paradigm is the cornerstone for building large-scale, open trust systems (like the Web PKI). However, its security strongly depends on strict adherence to established standards (like NIST guidelines) and continuous resistance against advancements in computing technology; it appears particularly vulnerable facing paradigm-shifting threats like quantum computing.</w:t>
      </w:r>
    </w:p>
    <w:p w14:paraId="181B6DC2" w14:textId="77777777" w:rsidR="009E0C22" w:rsidRPr="00F764A6" w:rsidRDefault="009E0C22" w:rsidP="00265C58">
      <w:pPr>
        <w:rPr>
          <w:rFonts w:hint="eastAsia"/>
          <w:b/>
          <w:bCs/>
        </w:rPr>
      </w:pPr>
    </w:p>
    <w:p w14:paraId="21A9CC88" w14:textId="77777777" w:rsidR="00265C58" w:rsidRPr="00265C58" w:rsidRDefault="00265C58" w:rsidP="00265C58">
      <w:pPr>
        <w:rPr>
          <w:rFonts w:hint="eastAsia"/>
          <w:b/>
          <w:bCs/>
        </w:rPr>
      </w:pPr>
      <w:r w:rsidRPr="00265C58">
        <w:rPr>
          <w:rFonts w:hint="eastAsia"/>
          <w:b/>
          <w:bCs/>
        </w:rPr>
        <w:t>3.3 Systemic Role: Dynamic Session's "Identity Sentinel" vs. Static Trust's "Strength Cornerstone"</w:t>
      </w:r>
    </w:p>
    <w:p w14:paraId="0A1848B6" w14:textId="77777777" w:rsidR="00265C58" w:rsidRPr="00265C58" w:rsidRDefault="00265C58" w:rsidP="00265C58">
      <w:pPr>
        <w:rPr>
          <w:rFonts w:hint="eastAsia"/>
          <w:b/>
          <w:bCs/>
        </w:rPr>
      </w:pPr>
    </w:p>
    <w:p w14:paraId="60AA36A5" w14:textId="77777777" w:rsidR="00265C58" w:rsidRPr="00265C58" w:rsidRDefault="00265C58" w:rsidP="00265C58">
      <w:pPr>
        <w:rPr>
          <w:rFonts w:hint="eastAsia"/>
          <w:b/>
          <w:bCs/>
        </w:rPr>
      </w:pPr>
      <w:r w:rsidRPr="00265C58">
        <w:rPr>
          <w:rFonts w:hint="eastAsia"/>
          <w:b/>
          <w:bCs/>
        </w:rPr>
        <w:t>Ultimately, these two mechanisms play distinctly different roles within the system security architecture. PSK-based D-H authentication acts like a dynamic "identity sentinel". It is active during the session establishment phase, performing a one-time identity verification task specific to the entities in this communication. Its core value lies in establishing a trusted starting point for an ephemeral or temporary secure channel.</w:t>
      </w:r>
    </w:p>
    <w:p w14:paraId="7CFF518C" w14:textId="77777777" w:rsidR="00265C58" w:rsidRPr="00265C58" w:rsidRDefault="00265C58" w:rsidP="00265C58">
      <w:pPr>
        <w:rPr>
          <w:rFonts w:hint="eastAsia"/>
          <w:b/>
          <w:bCs/>
        </w:rPr>
      </w:pPr>
    </w:p>
    <w:p w14:paraId="69E8607E" w14:textId="77777777" w:rsidR="00265C58" w:rsidRPr="00265C58" w:rsidRDefault="00265C58" w:rsidP="00265C58">
      <w:pPr>
        <w:rPr>
          <w:rFonts w:hint="eastAsia"/>
          <w:b/>
          <w:bCs/>
        </w:rPr>
      </w:pPr>
      <w:r w:rsidRPr="00265C58">
        <w:rPr>
          <w:rFonts w:hint="eastAsia"/>
          <w:b/>
          <w:bCs/>
        </w:rPr>
        <w:t>The strengthened RSA key, however, resembles a static "strength cornerstone". It is typically embedded within long-term digital certificates, serving as a persistent trust credential that endorses entity identity and provides long-term confidentiality and integrity guarantees for key exchange or digital signatures. Its value lies in providing a widely verifiable, consistently stable security foundation.</w:t>
      </w:r>
    </w:p>
    <w:p w14:paraId="12CAACB3" w14:textId="77777777" w:rsidR="00265C58" w:rsidRPr="00265C58" w:rsidRDefault="00265C58" w:rsidP="00265C58">
      <w:pPr>
        <w:rPr>
          <w:rFonts w:hint="eastAsia"/>
          <w:b/>
          <w:bCs/>
        </w:rPr>
      </w:pPr>
    </w:p>
    <w:p w14:paraId="7B4364C6" w14:textId="6723D1C1" w:rsidR="00666F29" w:rsidRDefault="00265C58" w:rsidP="00265C58">
      <w:pPr>
        <w:rPr>
          <w:b/>
          <w:bCs/>
        </w:rPr>
      </w:pPr>
      <w:r w:rsidRPr="00265C58">
        <w:rPr>
          <w:rFonts w:hint="eastAsia"/>
          <w:b/>
          <w:bCs/>
        </w:rPr>
        <w:t>In conclusion, the comparison between PSK-D-H authentication and RSA key enhancement profoundly reveals a set of core trade-offs in cryptographic engineering: at the protocol layer, it's the trade-off between the "agility of external empowerment" and the "complexity of key management"; at the mathematical layer, it's the trade-off between the "standardization of intrinsic fortification" and the "</w:t>
      </w:r>
      <w:r w:rsidR="009E0C22" w:rsidRPr="009E0C22">
        <w:rPr>
          <w:b/>
          <w:bCs/>
        </w:rPr>
        <w:t>vulnerability to paradigm shifts</w:t>
      </w:r>
      <w:r w:rsidRPr="00265C58">
        <w:rPr>
          <w:rFonts w:hint="eastAsia"/>
          <w:b/>
          <w:bCs/>
        </w:rPr>
        <w:t xml:space="preserve">". This understanding is crucial for guiding future system design: in complex security ecosystems, the two are not substitutive but complementary. A robust system often requires "sentinels" to guard the integrity of the process and "cornerstones" to anchor the system's long-term trust, working together to build a </w:t>
      </w:r>
      <w:r w:rsidRPr="00265C58">
        <w:rPr>
          <w:rFonts w:hint="eastAsia"/>
          <w:b/>
          <w:bCs/>
        </w:rPr>
        <w:lastRenderedPageBreak/>
        <w:t>defense-in-depth.</w:t>
      </w:r>
    </w:p>
    <w:p w14:paraId="4DAB24EB" w14:textId="77777777" w:rsidR="004B5BA4" w:rsidRDefault="004B5BA4" w:rsidP="00265C58">
      <w:pPr>
        <w:rPr>
          <w:b/>
          <w:bCs/>
        </w:rPr>
      </w:pPr>
    </w:p>
    <w:p w14:paraId="50AAE747" w14:textId="77777777" w:rsidR="004B5BA4" w:rsidRDefault="004B5BA4" w:rsidP="00265C58">
      <w:pPr>
        <w:rPr>
          <w:b/>
          <w:bCs/>
        </w:rPr>
      </w:pPr>
    </w:p>
    <w:p w14:paraId="4C183376" w14:textId="77777777" w:rsidR="004B5BA4" w:rsidRDefault="004B5BA4" w:rsidP="00265C58">
      <w:pPr>
        <w:rPr>
          <w:b/>
          <w:bCs/>
        </w:rPr>
      </w:pPr>
    </w:p>
    <w:p w14:paraId="31AB8F3A" w14:textId="77777777" w:rsidR="00F764A6" w:rsidRDefault="004B5BA4" w:rsidP="00F764A6">
      <w:pPr>
        <w:pStyle w:val="a9"/>
        <w:numPr>
          <w:ilvl w:val="0"/>
          <w:numId w:val="1"/>
        </w:numPr>
      </w:pPr>
      <w:bookmarkStart w:id="0" w:name="_Ref213106117"/>
      <w:r>
        <w:rPr>
          <w:rFonts w:hint="eastAsia"/>
        </w:rPr>
        <w:t>Ahmed, M., Sanjabi, B., Aldiaz, D., Rezaei, A., Omotunde, H.: Diffie-Hellman and its application in security protocols. Int. J. Eng. Sci. Innovative Technol. (IJESIT) 1, 69–73 (2012)</w:t>
      </w:r>
      <w:bookmarkEnd w:id="0"/>
      <w:r w:rsidR="00F764A6" w:rsidRPr="00F764A6">
        <w:rPr>
          <w:rFonts w:hint="eastAsia"/>
        </w:rPr>
        <w:t xml:space="preserve"> </w:t>
      </w:r>
    </w:p>
    <w:p w14:paraId="6A6118E6" w14:textId="6BE65CC2" w:rsidR="004B5BA4" w:rsidRDefault="00F764A6" w:rsidP="00F764A6">
      <w:pPr>
        <w:pStyle w:val="a9"/>
        <w:numPr>
          <w:ilvl w:val="0"/>
          <w:numId w:val="1"/>
        </w:numPr>
        <w:rPr>
          <w:rFonts w:hint="eastAsia"/>
        </w:rPr>
      </w:pPr>
      <w:bookmarkStart w:id="1" w:name="_Ref213106340"/>
      <w:r>
        <w:rPr>
          <w:rFonts w:hint="eastAsia"/>
        </w:rPr>
        <w:t>Khader, A.S., &amp; Lai, D. (2015). Preventing man-in-the-middle attack in Diffie-Hellman key exchange protocol. 2015 22nd International Conference on Telecommunications (ICT), 204-208.</w:t>
      </w:r>
      <w:bookmarkEnd w:id="1"/>
    </w:p>
    <w:p w14:paraId="666CBAF4" w14:textId="586DD1CB" w:rsidR="004B5BA4" w:rsidRPr="004B5BA4" w:rsidRDefault="004B5BA4" w:rsidP="009E0C22">
      <w:pPr>
        <w:pStyle w:val="a9"/>
        <w:ind w:left="440"/>
        <w:rPr>
          <w:rFonts w:hint="eastAsia"/>
        </w:rPr>
      </w:pPr>
    </w:p>
    <w:sectPr w:rsidR="004B5BA4" w:rsidRPr="004B5BA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B7E57"/>
    <w:multiLevelType w:val="hybridMultilevel"/>
    <w:tmpl w:val="3994526A"/>
    <w:lvl w:ilvl="0" w:tplc="F2927CA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44602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087"/>
    <w:rsid w:val="001471B1"/>
    <w:rsid w:val="00151ED3"/>
    <w:rsid w:val="00265C58"/>
    <w:rsid w:val="003A4F9F"/>
    <w:rsid w:val="0045159F"/>
    <w:rsid w:val="004B5BA4"/>
    <w:rsid w:val="0053532C"/>
    <w:rsid w:val="00666F29"/>
    <w:rsid w:val="00734B7D"/>
    <w:rsid w:val="007D7087"/>
    <w:rsid w:val="009E0C22"/>
    <w:rsid w:val="00AC3D8F"/>
    <w:rsid w:val="00F764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F24CBC"/>
  <w15:chartTrackingRefBased/>
  <w15:docId w15:val="{F268F1D0-3D12-427D-AA68-94764A316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D708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D708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D708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D708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D7087"/>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7D7087"/>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D708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D708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D708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D708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D708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D708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D7087"/>
    <w:rPr>
      <w:rFonts w:cstheme="majorBidi"/>
      <w:color w:val="2F5496" w:themeColor="accent1" w:themeShade="BF"/>
      <w:sz w:val="28"/>
      <w:szCs w:val="28"/>
    </w:rPr>
  </w:style>
  <w:style w:type="character" w:customStyle="1" w:styleId="50">
    <w:name w:val="标题 5 字符"/>
    <w:basedOn w:val="a0"/>
    <w:link w:val="5"/>
    <w:uiPriority w:val="9"/>
    <w:semiHidden/>
    <w:rsid w:val="007D7087"/>
    <w:rPr>
      <w:rFonts w:cstheme="majorBidi"/>
      <w:color w:val="2F5496" w:themeColor="accent1" w:themeShade="BF"/>
      <w:sz w:val="24"/>
      <w:szCs w:val="24"/>
    </w:rPr>
  </w:style>
  <w:style w:type="character" w:customStyle="1" w:styleId="60">
    <w:name w:val="标题 6 字符"/>
    <w:basedOn w:val="a0"/>
    <w:link w:val="6"/>
    <w:uiPriority w:val="9"/>
    <w:semiHidden/>
    <w:rsid w:val="007D7087"/>
    <w:rPr>
      <w:rFonts w:cstheme="majorBidi"/>
      <w:b/>
      <w:bCs/>
      <w:color w:val="2F5496" w:themeColor="accent1" w:themeShade="BF"/>
    </w:rPr>
  </w:style>
  <w:style w:type="character" w:customStyle="1" w:styleId="70">
    <w:name w:val="标题 7 字符"/>
    <w:basedOn w:val="a0"/>
    <w:link w:val="7"/>
    <w:uiPriority w:val="9"/>
    <w:semiHidden/>
    <w:rsid w:val="007D7087"/>
    <w:rPr>
      <w:rFonts w:cstheme="majorBidi"/>
      <w:b/>
      <w:bCs/>
      <w:color w:val="595959" w:themeColor="text1" w:themeTint="A6"/>
    </w:rPr>
  </w:style>
  <w:style w:type="character" w:customStyle="1" w:styleId="80">
    <w:name w:val="标题 8 字符"/>
    <w:basedOn w:val="a0"/>
    <w:link w:val="8"/>
    <w:uiPriority w:val="9"/>
    <w:semiHidden/>
    <w:rsid w:val="007D7087"/>
    <w:rPr>
      <w:rFonts w:cstheme="majorBidi"/>
      <w:color w:val="595959" w:themeColor="text1" w:themeTint="A6"/>
    </w:rPr>
  </w:style>
  <w:style w:type="character" w:customStyle="1" w:styleId="90">
    <w:name w:val="标题 9 字符"/>
    <w:basedOn w:val="a0"/>
    <w:link w:val="9"/>
    <w:uiPriority w:val="9"/>
    <w:semiHidden/>
    <w:rsid w:val="007D7087"/>
    <w:rPr>
      <w:rFonts w:eastAsiaTheme="majorEastAsia" w:cstheme="majorBidi"/>
      <w:color w:val="595959" w:themeColor="text1" w:themeTint="A6"/>
    </w:rPr>
  </w:style>
  <w:style w:type="paragraph" w:styleId="a3">
    <w:name w:val="Title"/>
    <w:basedOn w:val="a"/>
    <w:next w:val="a"/>
    <w:link w:val="a4"/>
    <w:uiPriority w:val="10"/>
    <w:qFormat/>
    <w:rsid w:val="007D708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D70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708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D708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D7087"/>
    <w:pPr>
      <w:spacing w:before="160" w:after="160"/>
      <w:jc w:val="center"/>
    </w:pPr>
    <w:rPr>
      <w:i/>
      <w:iCs/>
      <w:color w:val="404040" w:themeColor="text1" w:themeTint="BF"/>
    </w:rPr>
  </w:style>
  <w:style w:type="character" w:customStyle="1" w:styleId="a8">
    <w:name w:val="引用 字符"/>
    <w:basedOn w:val="a0"/>
    <w:link w:val="a7"/>
    <w:uiPriority w:val="29"/>
    <w:rsid w:val="007D7087"/>
    <w:rPr>
      <w:i/>
      <w:iCs/>
      <w:color w:val="404040" w:themeColor="text1" w:themeTint="BF"/>
    </w:rPr>
  </w:style>
  <w:style w:type="paragraph" w:styleId="a9">
    <w:name w:val="List Paragraph"/>
    <w:basedOn w:val="a"/>
    <w:uiPriority w:val="34"/>
    <w:qFormat/>
    <w:rsid w:val="007D7087"/>
    <w:pPr>
      <w:ind w:left="720"/>
      <w:contextualSpacing/>
    </w:pPr>
  </w:style>
  <w:style w:type="character" w:styleId="aa">
    <w:name w:val="Intense Emphasis"/>
    <w:basedOn w:val="a0"/>
    <w:uiPriority w:val="21"/>
    <w:qFormat/>
    <w:rsid w:val="007D7087"/>
    <w:rPr>
      <w:i/>
      <w:iCs/>
      <w:color w:val="2F5496" w:themeColor="accent1" w:themeShade="BF"/>
    </w:rPr>
  </w:style>
  <w:style w:type="paragraph" w:styleId="ab">
    <w:name w:val="Intense Quote"/>
    <w:basedOn w:val="a"/>
    <w:next w:val="a"/>
    <w:link w:val="ac"/>
    <w:uiPriority w:val="30"/>
    <w:qFormat/>
    <w:rsid w:val="007D70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D7087"/>
    <w:rPr>
      <w:i/>
      <w:iCs/>
      <w:color w:val="2F5496" w:themeColor="accent1" w:themeShade="BF"/>
    </w:rPr>
  </w:style>
  <w:style w:type="character" w:styleId="ad">
    <w:name w:val="Intense Reference"/>
    <w:basedOn w:val="a0"/>
    <w:uiPriority w:val="32"/>
    <w:qFormat/>
    <w:rsid w:val="007D7087"/>
    <w:rPr>
      <w:b/>
      <w:bCs/>
      <w:smallCaps/>
      <w:color w:val="2F5496" w:themeColor="accent1" w:themeShade="BF"/>
      <w:spacing w:val="5"/>
    </w:rPr>
  </w:style>
  <w:style w:type="character" w:styleId="ae">
    <w:name w:val="Hyperlink"/>
    <w:basedOn w:val="a0"/>
    <w:uiPriority w:val="99"/>
    <w:unhideWhenUsed/>
    <w:rsid w:val="004B5BA4"/>
    <w:rPr>
      <w:color w:val="0563C1" w:themeColor="hyperlink"/>
      <w:u w:val="single"/>
    </w:rPr>
  </w:style>
  <w:style w:type="character" w:styleId="af">
    <w:name w:val="Unresolved Mention"/>
    <w:basedOn w:val="a0"/>
    <w:uiPriority w:val="99"/>
    <w:semiHidden/>
    <w:unhideWhenUsed/>
    <w:rsid w:val="004B5B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1B2A44-5630-4A64-856B-EF77A6257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902</Words>
  <Characters>5742</Characters>
  <Application>Microsoft Office Word</Application>
  <DocSecurity>0</DocSecurity>
  <Lines>99</Lines>
  <Paragraphs>17</Paragraphs>
  <ScaleCrop>false</ScaleCrop>
  <Company/>
  <LinksUpToDate>false</LinksUpToDate>
  <CharactersWithSpaces>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文轩 姚</dc:creator>
  <cp:keywords/>
  <dc:description/>
  <cp:lastModifiedBy>文轩 姚</cp:lastModifiedBy>
  <cp:revision>4</cp:revision>
  <dcterms:created xsi:type="dcterms:W3CDTF">2025-11-02T06:12:00Z</dcterms:created>
  <dcterms:modified xsi:type="dcterms:W3CDTF">2025-11-03T16:02:00Z</dcterms:modified>
</cp:coreProperties>
</file>