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7286" w14:textId="0422C6C6" w:rsidR="00012B50" w:rsidRPr="00012B50" w:rsidRDefault="00012B50" w:rsidP="00012B50">
      <w:r w:rsidRPr="00012B50">
        <w:rPr>
          <w:b/>
          <w:bCs/>
        </w:rPr>
        <w:t>Executive Summary</w:t>
      </w:r>
    </w:p>
    <w:p w14:paraId="28D25D8A" w14:textId="77777777" w:rsidR="00012B50" w:rsidRPr="00012B50" w:rsidRDefault="00012B50" w:rsidP="00012B50">
      <w:r w:rsidRPr="00012B50">
        <w:t>This report critically evaluates the product and service portfolio of China Life Insurance Company Limited through the BCG Matrix and the Ansoff Matrix in order to recommend a forward-looking strategic direction. It argues that portfolio analysis for a large life insurer should not be based on narrow retail product categories alone, but on broader business-line and service-platform clusters, including core life and annuity insurance, health insurance, accident insurance, and the emerging pension-health-senior-care ecosystem. China Life entered 2025 from a position of considerable strength: in 2024, it reported gross written premiums of RMB 671.457 billion, total assets of RMB 6.77 trillion, embedded value of RMB 1.40 trillion, and net profit attributable to equity holders of RMB 106.935 billion. In the first half of 2025, gross written premiums rose further to RMB 525.088 billion, while embedded value increased to RMB 1.478 trillion and net profit reached RMB 40.931 billion.</w:t>
      </w:r>
    </w:p>
    <w:p w14:paraId="295B4F7A" w14:textId="77777777" w:rsidR="00012B50" w:rsidRPr="00012B50" w:rsidRDefault="00012B50" w:rsidP="00012B50">
      <w:r w:rsidRPr="00012B50">
        <w:t xml:space="preserve">The BCG analysis suggests that China Life’s core life and annuity franchise should be treated as the portfolio’s principal cash-generating base, because it combines dominant scale, extensive in-force business, and strong value-generation capacity. By contrast, pension, commercial annuity and senior-care related activities are best understood as the company’s most strategically important growth platform, supported by demographic change, policy alignment and existing </w:t>
      </w:r>
      <w:proofErr w:type="spellStart"/>
      <w:r w:rsidRPr="00012B50">
        <w:t>organisational</w:t>
      </w:r>
      <w:proofErr w:type="spellEnd"/>
      <w:r w:rsidRPr="00012B50">
        <w:t xml:space="preserve"> investment. Health insurance is better classified as a selective growth opportunity than an automatic “Star”, while accident insurance appears to be a lower-priority segment in strategic resource allocation terms. The Ansoff analysis leads to a similarly selective conclusion: China Life’s most credible growth path lies not in unrelated diversification, but in a layered strategy combining market penetration, product development and related diversification. In practical terms, this means deepening value extraction from the existing life business, accelerating pension and health product innovation, and expanding the insurance-linked senior-care ecosystem.</w:t>
      </w:r>
    </w:p>
    <w:p w14:paraId="2F04B4B7" w14:textId="77777777" w:rsidR="00012B50" w:rsidRPr="00012B50" w:rsidRDefault="00012B50" w:rsidP="00012B50">
      <w:r w:rsidRPr="00012B50">
        <w:t xml:space="preserve">The report therefore makes three recommendations. First, China Life should protect and </w:t>
      </w:r>
      <w:proofErr w:type="spellStart"/>
      <w:r w:rsidRPr="00012B50">
        <w:t>optimise</w:t>
      </w:r>
      <w:proofErr w:type="spellEnd"/>
      <w:r w:rsidRPr="00012B50">
        <w:t xml:space="preserve"> its core life and annuity business as the funding base for future expansion. Second, it should </w:t>
      </w:r>
      <w:proofErr w:type="spellStart"/>
      <w:r w:rsidRPr="00012B50">
        <w:t>prioritise</w:t>
      </w:r>
      <w:proofErr w:type="spellEnd"/>
      <w:r w:rsidRPr="00012B50">
        <w:t xml:space="preserve"> pension, health and senior-care ecosystems as its primary growth platform; this is consistent with its leading position in personal pension and commercial annuity insurance and with its 17 institutional elderly-care projects across 14 cities. Third, it should strengthen a dual-engine distribution and service model by upgrading its agent force, leveraging digital channels and improving service quality; this is supported by the scale of its 666,000 sales partners, 160 million registered app users, and strong digital claims performance.</w:t>
      </w:r>
    </w:p>
    <w:p w14:paraId="6295AF90" w14:textId="77777777" w:rsidR="00012B50" w:rsidRPr="00012B50" w:rsidRDefault="00012B50" w:rsidP="00012B50">
      <w:r w:rsidRPr="00012B50">
        <w:lastRenderedPageBreak/>
        <w:t>However, the report also argues that neither the BCG Matrix nor the Ansoff Matrix should be treated as a complete decision rule. The BCG Matrix is limited by its simplified assumptions about market growth, relative market share and resource allocation, and prior research warns that it may narrow rather than improve strategic judgment. Morrison and Wensley argue that the matrix may “box in” strategic thinking, while Armstrong and Brodie found that exposure to BCG-style portfolio logic increased the likelihood of choosing the less profitable investment option. For this reason, the report concludes that these tools are useful as framing devices, but their outputs must be interpreted alongside industry regulation, capital intensity, channel capability, digital transformation and long-term strategic fit.</w:t>
      </w:r>
    </w:p>
    <w:p w14:paraId="67E168F1" w14:textId="77777777" w:rsidR="00012B50" w:rsidRPr="00012B50" w:rsidRDefault="00012B50" w:rsidP="00012B50">
      <w:pPr>
        <w:rPr>
          <w:b/>
          <w:bCs/>
        </w:rPr>
      </w:pPr>
      <w:r w:rsidRPr="00012B50">
        <w:rPr>
          <w:b/>
          <w:bCs/>
        </w:rPr>
        <w:t>1. Introduction</w:t>
      </w:r>
    </w:p>
    <w:p w14:paraId="4D83CE9A" w14:textId="77777777" w:rsidR="00012B50" w:rsidRPr="00012B50" w:rsidRDefault="00012B50" w:rsidP="00012B50">
      <w:r w:rsidRPr="00012B50">
        <w:t xml:space="preserve">China Life Insurance Company Limited is an appropriate and strategically significant subject for portfolio analysis because it combines market leadership, product breadth, institutional scale and a rapidly evolving growth agenda. As one of the leading life insurers in China, the Company provides life insurance, annuity insurance, health insurance and accident insurance, and had approximately 326 million long-term policies in force at the end of 2024; by 30 June 2025, this had risen to approximately 327 million. In 2024, China Life reported gross written premiums of RMB 671,457 million, total assets of RMB 6,769,546 million and embedded value of RMB 1,401,146 million. In the first half of 2025, gross written premiums reached RMB 525,088 million, total assets rose to RMB 7,292,355 million, and embedded value increased to RMB 1,477,827 million, indicating that the company entered the current period from a position of substantial financial and operational strength. </w:t>
      </w:r>
    </w:p>
    <w:p w14:paraId="43F0A297" w14:textId="77777777" w:rsidR="00012B50" w:rsidRPr="00012B50" w:rsidRDefault="00012B50" w:rsidP="00012B50">
      <w:r w:rsidRPr="00012B50">
        <w:t xml:space="preserve">However, scale alone does not resolve the strategic question facing China Life. The wider insurance environment is being reshaped by demographic ageing, changing protection needs, regulatory pressure, digital transformation and the growing importance of pension and health-related services. China Life itself explicitly frames its recent development in terms of high-quality growth, value creation, product diversification and stronger asset-liability management. Its 2024 and 2025 disclosures also show a growing emphasis on third-pillar pension insurance, commercial annuities, long-term care insurance, health service management and digitally enabled customer service. In parallel, the company has expanded an “insurance + services” logic through retirement communities, retirement apartments, healthcare and senior-care sojourn facilities, while continuing to strengthen its digital operating model and claims efficiency. This suggests that the strategic issue is no longer simply how to preserve leadership in traditional life insurance, but how to reposition the business for more sustainable and differentiated future growth. </w:t>
      </w:r>
    </w:p>
    <w:p w14:paraId="38AD5884" w14:textId="77777777" w:rsidR="00012B50" w:rsidRPr="00012B50" w:rsidRDefault="00012B50" w:rsidP="00012B50">
      <w:r w:rsidRPr="00012B50">
        <w:lastRenderedPageBreak/>
        <w:t xml:space="preserve">For this reason, the concept of “portfolio” must be interpreted carefully. In a large life insurer, portfolio analysis is less meaningful when applied to narrow retail product labels in the manner of consumer-goods markets. A more valid approach is to </w:t>
      </w:r>
      <w:proofErr w:type="spellStart"/>
      <w:r w:rsidRPr="00012B50">
        <w:t>analyse</w:t>
      </w:r>
      <w:proofErr w:type="spellEnd"/>
      <w:r w:rsidRPr="00012B50">
        <w:t xml:space="preserve"> broader business-line and service-platform clusters, especially core life and annuity insurance, health insurance, accident insurance, and the emerging pension-health-senior-care ecosystem. This adaptation is necessary because the strategic value of an insurance business depends not only on current premium scale or market growth, but also on persistence, capital intensity, distribution structure, service integration and long-term customer value. The BCG Matrix is therefore used in this report as an adapted portfolio-allocation framework rather than a mechanical classification device, while the Ansoff Matrix is used to assess the relative attractiveness of alternative growth directions. </w:t>
      </w:r>
    </w:p>
    <w:p w14:paraId="118E0158" w14:textId="77777777" w:rsidR="00012B50" w:rsidRPr="00012B50" w:rsidRDefault="00012B50" w:rsidP="00012B50">
      <w:r w:rsidRPr="00012B50">
        <w:t xml:space="preserve">The report argues that China Life should protect and </w:t>
      </w:r>
      <w:proofErr w:type="spellStart"/>
      <w:r w:rsidRPr="00012B50">
        <w:t>optimise</w:t>
      </w:r>
      <w:proofErr w:type="spellEnd"/>
      <w:r w:rsidRPr="00012B50">
        <w:t xml:space="preserve"> its dominant core life and annuity franchise as a cash-generating base, while </w:t>
      </w:r>
      <w:proofErr w:type="spellStart"/>
      <w:r w:rsidRPr="00012B50">
        <w:t>prioritising</w:t>
      </w:r>
      <w:proofErr w:type="spellEnd"/>
      <w:r w:rsidRPr="00012B50">
        <w:t xml:space="preserve"> related growth in pension, health and senior-care ecosystems. This path appears to offer the strongest strategic fit between external opportunity and internal capability: the company possesses nationwide distribution capacity, approximately 18,000 branches, around 666,000 sales partners, 160 million registered users on its Life Insurance App, and 17 institutional elderly-care projects across 14 cities. Accordingly, the report first applies the BCG Matrix to evaluate the current business portfolio, then uses the Ansoff Matrix to identify the most credible growth route, before critically assessing the limitations of both tools in the context of a regulated, capital-intensive life insurance business. </w:t>
      </w:r>
    </w:p>
    <w:p w14:paraId="4395573F" w14:textId="77777777" w:rsidR="00012B50" w:rsidRPr="00012B50" w:rsidRDefault="00012B50" w:rsidP="00012B50">
      <w:pPr>
        <w:rPr>
          <w:b/>
          <w:bCs/>
        </w:rPr>
      </w:pPr>
      <w:r w:rsidRPr="00012B50">
        <w:rPr>
          <w:b/>
          <w:bCs/>
        </w:rPr>
        <w:t>2. BCG Matrix Analysis</w:t>
      </w:r>
    </w:p>
    <w:p w14:paraId="5340F456" w14:textId="77777777" w:rsidR="00012B50" w:rsidRPr="00012B50" w:rsidRDefault="00012B50" w:rsidP="00012B50">
      <w:r w:rsidRPr="00012B50">
        <w:t xml:space="preserve">The BCG Matrix is a useful starting point for </w:t>
      </w:r>
      <w:proofErr w:type="spellStart"/>
      <w:r w:rsidRPr="00012B50">
        <w:t>analysing</w:t>
      </w:r>
      <w:proofErr w:type="spellEnd"/>
      <w:r w:rsidRPr="00012B50">
        <w:t xml:space="preserve"> China Life’s portfolio, but only if it is adapted to the realities of insurance. In its original form, the matrix classifies businesses according to relative market share and market growth, and then links those positions to investment priorities. However, for a life insurer, strategic value cannot be inferred from simple product labels or narrow consumer-goods analogies. China Life’s own disclosures show that the company operates across life insurance, annuity insurance, health insurance and accident insurance, while also building wider service platforms linked to pension, healthcare and senior care. Accordingly, the most appropriate unit of analysis is not individual retail products, but broader business-line and service-platform clusters. In this context, a more meaningful BCG-style interpretation should consider business scale, growth momentum, value creation, distribution strength, persistence and strategic relevance rather than relying on market share alone. </w:t>
      </w:r>
    </w:p>
    <w:p w14:paraId="3D5A1FC6" w14:textId="77777777" w:rsidR="00012B50" w:rsidRPr="00012B50" w:rsidRDefault="00012B50" w:rsidP="00012B50">
      <w:r w:rsidRPr="00012B50">
        <w:lastRenderedPageBreak/>
        <w:t xml:space="preserve">On this basis, China Life’s core life and annuity franchise is best classified as the portfolio’s principal </w:t>
      </w:r>
      <w:r w:rsidRPr="00012B50">
        <w:rPr>
          <w:b/>
          <w:bCs/>
        </w:rPr>
        <w:t>Cash Cow</w:t>
      </w:r>
      <w:r w:rsidRPr="00012B50">
        <w:t xml:space="preserve">. The company remains a dominant provider of life and annuity insurance and reported gross written premiums of RMB 671,457 million in 2024, embedded value of RMB 1,401,146 million and value of one year’s sales of RMB 33,709 million. These figures indicate not only scale but also continuing capacity to generate long-term economic value. The annual report further shows that China Life maintained industry leadership in both business scale and embedded value, while the value of one year’s sales grew by 24.3 per cent year on year. This supports the interpretation of the core life business as a mature but highly productive base that can generate the capital, customer relationships and renewal strength needed to fund other strategic priorities. In BCG terms, the implication is not passive “milking”, but disciplined </w:t>
      </w:r>
      <w:proofErr w:type="spellStart"/>
      <w:r w:rsidRPr="00012B50">
        <w:t>defence</w:t>
      </w:r>
      <w:proofErr w:type="spellEnd"/>
      <w:r w:rsidRPr="00012B50">
        <w:t xml:space="preserve"> and </w:t>
      </w:r>
      <w:proofErr w:type="spellStart"/>
      <w:r w:rsidRPr="00012B50">
        <w:t>optimisation</w:t>
      </w:r>
      <w:proofErr w:type="spellEnd"/>
      <w:r w:rsidRPr="00012B50">
        <w:t xml:space="preserve"> of a franchise that still underpins the company’s overall strategic resilience. </w:t>
      </w:r>
    </w:p>
    <w:p w14:paraId="5A40F587" w14:textId="77777777" w:rsidR="00012B50" w:rsidRPr="00012B50" w:rsidRDefault="00012B50" w:rsidP="00012B50">
      <w:r w:rsidRPr="00012B50">
        <w:t xml:space="preserve">A second and more forward-looking classification is China Life’s pension, commercial annuity and senior-care ecosystem, which is most plausibly interpreted as a </w:t>
      </w:r>
      <w:r w:rsidRPr="00012B50">
        <w:rPr>
          <w:b/>
          <w:bCs/>
        </w:rPr>
        <w:t>Star</w:t>
      </w:r>
      <w:r w:rsidRPr="00012B50">
        <w:t xml:space="preserve">, or at minimum as the company’s strongest Star candidate. The rationale is not that this area is already the largest in premium terms, but that it combines structural demand growth with strong strategic fit. China Life’s 2024 annual report states that its third-pillar private pension and commercial annuity insurance businesses ranked first in the industry, while the 2025 interim report notes that premiums from third-pillar private pension achieved significant year-on-year growth and that accumulated future reserves of commercial annuity insurance approached RMB 4 trillion. At the same time, the company is not pursuing pension purely as a financial product category; it is building an adjacent service ecosystem through retirement communities, retirement apartments and healthcare and senior-care sojourn facilities. Its 2024 ESG report records 17 institutional elderly-care projects across 14 cities, explicitly linking demographic ageing to pension security solutions and wider elderly-care services. This combination of policy relevance, demographic tailwind and ecosystem investment makes pension-senior-care activities the strongest candidate for active strategic investment. </w:t>
      </w:r>
    </w:p>
    <w:p w14:paraId="54DDDE66" w14:textId="77777777" w:rsidR="00012B50" w:rsidRPr="00012B50" w:rsidRDefault="00012B50" w:rsidP="00012B50">
      <w:r w:rsidRPr="00012B50">
        <w:t xml:space="preserve">By contrast, health insurance is better treated as a </w:t>
      </w:r>
      <w:r w:rsidRPr="00012B50">
        <w:rPr>
          <w:b/>
          <w:bCs/>
        </w:rPr>
        <w:t>Question Mark</w:t>
      </w:r>
      <w:r w:rsidRPr="00012B50">
        <w:t xml:space="preserve"> rather than being automatically elevated to Star status. This is an important distinction, because health is clearly strategically important, but its resource-allocation logic is more ambiguous. China Life’s reports show continuous expansion in supplementary major medical expense insurance, long-term care insurance and city-</w:t>
      </w:r>
      <w:proofErr w:type="spellStart"/>
      <w:r w:rsidRPr="00012B50">
        <w:t>customised</w:t>
      </w:r>
      <w:proofErr w:type="spellEnd"/>
      <w:r w:rsidRPr="00012B50">
        <w:t xml:space="preserve"> commercial medical insurance, while management also </w:t>
      </w:r>
      <w:proofErr w:type="spellStart"/>
      <w:r w:rsidRPr="00012B50">
        <w:t>emphasises</w:t>
      </w:r>
      <w:proofErr w:type="spellEnd"/>
      <w:r w:rsidRPr="00012B50">
        <w:t xml:space="preserve"> the diversification of health products and the introduction of several first-ever health insurance products in 2025. These developments indicate attractive market growth and high policy relevance. Nevertheless, health insurance in practice is more heterogeneous than traditional BCG </w:t>
      </w:r>
      <w:r w:rsidRPr="00012B50">
        <w:lastRenderedPageBreak/>
        <w:t xml:space="preserve">labels imply: product economics, underwriting risk, claims experience, service integration and regulatory design vary significantly across subsegments. Therefore, although health should remain a major investment priority, it is more analytically rigorous to describe it as a selective growth opportunity that still requires tighter testing of profitability, operating capability and strategic differentiation. In other words, it has strong upside, but not all health-related lines deserve equal expansion. </w:t>
      </w:r>
    </w:p>
    <w:p w14:paraId="119537F1" w14:textId="77777777" w:rsidR="00012B50" w:rsidRPr="00012B50" w:rsidRDefault="00012B50" w:rsidP="00012B50">
      <w:r w:rsidRPr="00012B50">
        <w:t xml:space="preserve">Accident insurance, by comparison, is most reasonably classified as a </w:t>
      </w:r>
      <w:r w:rsidRPr="00012B50">
        <w:rPr>
          <w:b/>
          <w:bCs/>
        </w:rPr>
        <w:t>Dog</w:t>
      </w:r>
      <w:r w:rsidRPr="00012B50">
        <w:t xml:space="preserve"> or at least as a low-priority segment in portfolio-allocation terms. This is not because it lacks any commercial or social value, but because it appears smaller, less central and less differentiated than the company’s core life business or its pension-health-service growth platform. China Life’s official business descriptions still include accident insurance as part of the overall protection offering, and the ESG report shows that accident-related products play a useful role in inclusive insurance, rural </w:t>
      </w:r>
      <w:proofErr w:type="spellStart"/>
      <w:r w:rsidRPr="00012B50">
        <w:t>revitalisation</w:t>
      </w:r>
      <w:proofErr w:type="spellEnd"/>
      <w:r w:rsidRPr="00012B50">
        <w:t xml:space="preserve"> and protection for elderly consumers. However, the strategic case for concentrated investment is weaker than in life, annuity, pension or broader health-service integration. Accident lines therefore appear better suited to a supporting role within cross-selling, inclusion and protection packages rather than as an independent strategic engine of future growth. This is a more nuanced interpretation than simply labelling the segment “unattractive”: in practice, its value lies in complementarity, not in leading the portfolio. </w:t>
      </w:r>
    </w:p>
    <w:p w14:paraId="5924EBA8" w14:textId="77777777" w:rsidR="00012B50" w:rsidRPr="00012B50" w:rsidRDefault="00012B50" w:rsidP="00012B50">
      <w:r w:rsidRPr="00012B50">
        <w:t xml:space="preserve">The channel data in China Life’s annual and interim reports also reinforce this BCG interpretation. In 2024, the individual agent channel generated RMB 529,033 million in gross written premiums, far exceeding the bancassurance channel’s RMB 76,201 million and the group insurance channel’s RMB 27,625 million. Yet the direction of change is equally revealing: the company reported deeper reforms in the individual agent system, while bancassurance benefited from transformation, wider bank cooperation and stronger value contribution. In the first half of 2025, the company continued to </w:t>
      </w:r>
      <w:proofErr w:type="spellStart"/>
      <w:r w:rsidRPr="00012B50">
        <w:t>emphasise</w:t>
      </w:r>
      <w:proofErr w:type="spellEnd"/>
      <w:r w:rsidRPr="00012B50">
        <w:t xml:space="preserve"> diversified product supply, better profitability and stronger channel coordination, while maintaining the largest sales force in the industry and strengthening digital-intelligent operations around the China Life App. This suggests that the portfolio cannot be understood through product lines alone. The existing life franchise remains the dominant cash base, but channel transformation is helping determine which parts of the portfolio are capable of becoming higher-value growth platforms in the future. </w:t>
      </w:r>
    </w:p>
    <w:p w14:paraId="14C95268" w14:textId="77777777" w:rsidR="00012B50" w:rsidRPr="00012B50" w:rsidRDefault="00012B50" w:rsidP="00012B50">
      <w:r w:rsidRPr="00012B50">
        <w:t xml:space="preserve">Overall, the adapted BCG analysis points to a clear capital-allocation logic. China Life should continue to defend and </w:t>
      </w:r>
      <w:proofErr w:type="spellStart"/>
      <w:r w:rsidRPr="00012B50">
        <w:t>optimise</w:t>
      </w:r>
      <w:proofErr w:type="spellEnd"/>
      <w:r w:rsidRPr="00012B50">
        <w:t xml:space="preserve"> its core life and annuity business as the company’s Cash Cow; invest more actively in pension, commercial annuity and senior-care ecosystems as its most attractive Star-type growth platform; manage health insurance as a selective Question Mark requiring disciplined expansion; and treat </w:t>
      </w:r>
      <w:r w:rsidRPr="00012B50">
        <w:lastRenderedPageBreak/>
        <w:t>accident insurance as strategically supportive rather than central. This conclusion is analytically useful because it prevents the company from pursuing undifferentiated growth across all business lines. However, it also points to an important limitation that will be developed later in the report: for a regulated life insurer, portfolio attractiveness depends on more than market growth and scale. Solvency, capital consumption, claims experience, customer persistence, ecosystem synergy and digital service capability all shape whether apparent “Stars” genuinely create long-term value.</w:t>
      </w:r>
    </w:p>
    <w:p w14:paraId="4AFF8088" w14:textId="77777777" w:rsidR="00376B3B" w:rsidRPr="00376B3B" w:rsidRDefault="00376B3B" w:rsidP="00376B3B">
      <w:pPr>
        <w:rPr>
          <w:b/>
          <w:bCs/>
        </w:rPr>
      </w:pPr>
      <w:r w:rsidRPr="00376B3B">
        <w:rPr>
          <w:b/>
          <w:bCs/>
        </w:rPr>
        <w:t>3. Ansoff Matrix Analysis</w:t>
      </w:r>
    </w:p>
    <w:p w14:paraId="46F2BE3E" w14:textId="77777777" w:rsidR="00376B3B" w:rsidRPr="00376B3B" w:rsidRDefault="00376B3B" w:rsidP="00376B3B">
      <w:r w:rsidRPr="00376B3B">
        <w:t xml:space="preserve">The Ansoff Matrix provides a useful second lens for China Life because it shifts the analysis from current portfolio structure to future growth direction. Whereas the adapted BCG analysis helps identify where resources are currently concentrated and where they should be reallocated, the Ansoff Matrix helps assess how growth should be pursued. In China Life’s case, this is especially relevant because the company is no longer operating as a conventional life insurer focused only on premium expansion. Its recent disclosures repeatedly </w:t>
      </w:r>
      <w:proofErr w:type="spellStart"/>
      <w:r w:rsidRPr="00376B3B">
        <w:t>emphasise</w:t>
      </w:r>
      <w:proofErr w:type="spellEnd"/>
      <w:r w:rsidRPr="00376B3B">
        <w:t xml:space="preserve"> product diversification, “insurance + services” ecosystems, digital-intelligent transformation and the development of pension and health-related offerings. As a result, the key strategic issue is not whether the company should grow, but which growth route offers the strongest fit between customer demand, institutional capability and long-term value creation. </w:t>
      </w:r>
    </w:p>
    <w:p w14:paraId="280DA3F1" w14:textId="77777777" w:rsidR="00376B3B" w:rsidRPr="00376B3B" w:rsidRDefault="00376B3B" w:rsidP="00376B3B">
      <w:r w:rsidRPr="00376B3B">
        <w:t xml:space="preserve">The first route, </w:t>
      </w:r>
      <w:r w:rsidRPr="00376B3B">
        <w:rPr>
          <w:b/>
          <w:bCs/>
        </w:rPr>
        <w:t>market penetration</w:t>
      </w:r>
      <w:r w:rsidRPr="00376B3B">
        <w:t xml:space="preserve">, remains important but should be interpreted in a sophisticated way. For China Life, market penetration does not simply mean selling more standard life products into the same customer base. Rather, it means extracting greater value from an already extensive platform through better retention, stronger customer relationships, higher service quality and more effective channel productivity. The company’s national service footprint of 18,000 branches and sub-branches, together with around 666,000 sales partners, gives it an exceptional installed base from which to deepen policyholder relationships. Its 2025 interim report also shows that the customer-centric sales transformation is continuing, that its sales force remains the largest in the industry, and that digital-intelligent transformation has been </w:t>
      </w:r>
      <w:proofErr w:type="spellStart"/>
      <w:r w:rsidRPr="00376B3B">
        <w:t>centred</w:t>
      </w:r>
      <w:proofErr w:type="spellEnd"/>
      <w:r w:rsidRPr="00376B3B">
        <w:t xml:space="preserve"> on the China Life App as a multi-dimensional operating and service matrix. This suggests that market penetration should focus on raising customer lifetime value and service-led loyalty rather than merely increasing volume. </w:t>
      </w:r>
    </w:p>
    <w:p w14:paraId="08A38794" w14:textId="77777777" w:rsidR="00376B3B" w:rsidRPr="00376B3B" w:rsidRDefault="00376B3B" w:rsidP="00376B3B">
      <w:r w:rsidRPr="00376B3B">
        <w:t xml:space="preserve">The second route, </w:t>
      </w:r>
      <w:r w:rsidRPr="00376B3B">
        <w:rPr>
          <w:b/>
          <w:bCs/>
        </w:rPr>
        <w:t>product development</w:t>
      </w:r>
      <w:r w:rsidRPr="00376B3B">
        <w:t xml:space="preserve">, is arguably the most strategically attractive quadrant for China Life. The company is already using its existing customer base, distribution capacity and brand trust to broaden the range of products offered across the life cycle. In 2024, it newly developed and upgraded over 100 products, while the </w:t>
      </w:r>
      <w:r w:rsidRPr="00376B3B">
        <w:lastRenderedPageBreak/>
        <w:t xml:space="preserve">2025 interim report states that it maintained a strategy of diversified product supply, continuously </w:t>
      </w:r>
      <w:proofErr w:type="spellStart"/>
      <w:r w:rsidRPr="00376B3B">
        <w:t>optimised</w:t>
      </w:r>
      <w:proofErr w:type="spellEnd"/>
      <w:r w:rsidRPr="00376B3B">
        <w:t xml:space="preserve"> its product structure, and introduced several first-ever health insurance products. This is particularly visible in pension finance, commercial annuity insurance and health-related protection. China Life’s 2024 annual report states that the scale of its third-pillar private pension business and the number of customers served continued to grow, with new products, new-policy premiums, number of policies and customers served all ranking first in the industry. The 2025 interim report adds that premiums from third-pillar private pension achieved significant year-on-year growth, while accumulated future reserves of commercial annuity insurance approached RMB4 trillion. In Ansoff terms, this is a classic product-development logic: new or enhanced products are being used to address evolving retirement, protection and health-management needs within an existing market relationship. </w:t>
      </w:r>
    </w:p>
    <w:p w14:paraId="345CCCEC" w14:textId="77777777" w:rsidR="00376B3B" w:rsidRPr="00376B3B" w:rsidRDefault="00376B3B" w:rsidP="00376B3B">
      <w:r w:rsidRPr="00376B3B">
        <w:t xml:space="preserve">A third route is </w:t>
      </w:r>
      <w:r w:rsidRPr="00376B3B">
        <w:rPr>
          <w:b/>
          <w:bCs/>
        </w:rPr>
        <w:t>market development</w:t>
      </w:r>
      <w:r w:rsidRPr="00376B3B">
        <w:t xml:space="preserve">, which is relevant but should not be overstated. China Life is already highly embedded in the domestic market, so the issue is not entry into entirely new national markets, but expansion into under-served customer groups and usage scenarios. The company’s reports indicate clear movement in this direction: it has expanded insurance coverage for elderly customers, new citizens, workers in emerging industries and rural populations, while also participating in over 200 supplementary major medical expenses insurance </w:t>
      </w:r>
      <w:proofErr w:type="spellStart"/>
      <w:r w:rsidRPr="00376B3B">
        <w:t>programmes</w:t>
      </w:r>
      <w:proofErr w:type="spellEnd"/>
      <w:r w:rsidRPr="00376B3B">
        <w:t xml:space="preserve">, over 70 long-term care insurance </w:t>
      </w:r>
      <w:proofErr w:type="spellStart"/>
      <w:r w:rsidRPr="00376B3B">
        <w:t>programmes</w:t>
      </w:r>
      <w:proofErr w:type="spellEnd"/>
      <w:r w:rsidRPr="00376B3B">
        <w:t xml:space="preserve"> and more than 140 city-</w:t>
      </w:r>
      <w:proofErr w:type="spellStart"/>
      <w:r w:rsidRPr="00376B3B">
        <w:t>customised</w:t>
      </w:r>
      <w:proofErr w:type="spellEnd"/>
      <w:r w:rsidRPr="00376B3B">
        <w:t xml:space="preserve"> commercial medical insurance projects by mid-2025. These activities show that China Life is broadening the reach of its existing capabilities into adjacent demand spaces. However, market development should still be viewed as secondary to product development, because the company’s main advantage lies less in geographic novelty than in its ability to tailor coverage and service propositions to different customer segments within China’s changing social and demographic structure. </w:t>
      </w:r>
    </w:p>
    <w:p w14:paraId="525B61FF" w14:textId="77777777" w:rsidR="00376B3B" w:rsidRPr="00376B3B" w:rsidRDefault="00376B3B" w:rsidP="00376B3B">
      <w:r w:rsidRPr="00376B3B">
        <w:t xml:space="preserve">The fourth route, </w:t>
      </w:r>
      <w:r w:rsidRPr="00376B3B">
        <w:rPr>
          <w:b/>
          <w:bCs/>
        </w:rPr>
        <w:t>diversification</w:t>
      </w:r>
      <w:r w:rsidRPr="00376B3B">
        <w:t xml:space="preserve">, requires the greatest caution, but it also reveals the most important long-term opportunity. For China Life, the most credible form of diversification is not unrelated expansion into unfamiliar industries, but </w:t>
      </w:r>
      <w:r w:rsidRPr="00376B3B">
        <w:rPr>
          <w:b/>
          <w:bCs/>
        </w:rPr>
        <w:t>related diversification</w:t>
      </w:r>
      <w:r w:rsidRPr="00376B3B">
        <w:t xml:space="preserve"> through integrated pension, health and senior-care ecosystems. This distinction is critical. The company is not simply moving away from insurance; instead, it is extending its insurance proposition into adjacent services that deepen customer relevance and reinforce the core business. The 2024 ESG report makes this especially clear: China Life links population ageing to pension security solutions and the building of a comprehensive elderly-care ecosystem, with 17 institutional elderly-care projects across 14 cities. The annual report likewise notes that its three senior-care product lines—retirement communities, retirement apartments, and healthcare and senior-care </w:t>
      </w:r>
      <w:r w:rsidRPr="00376B3B">
        <w:lastRenderedPageBreak/>
        <w:t xml:space="preserve">sojourn facilities—have gone into operation, and that ecological empowerment from healthcare and senior-care services has supported business value growth. This makes related diversification highly defensible within Ansoff’s framework, because it builds on China Life’s existing strengths in long-term liabilities, distribution, trust, customer access and integrated financial service capacity. </w:t>
      </w:r>
    </w:p>
    <w:p w14:paraId="567998E9" w14:textId="77777777" w:rsidR="00376B3B" w:rsidRPr="00376B3B" w:rsidRDefault="00376B3B" w:rsidP="00376B3B">
      <w:r w:rsidRPr="00376B3B">
        <w:t xml:space="preserve">At the same time, the Ansoff Matrix should not be used mechanistically. Although all four growth routes can be identified, they are not equally desirable. For China Life, market penetration is necessary but insufficient on its own, because merely pushing deeper into traditional life insurance would not fully capture emerging demand patterns. Market development offers useful incremental reach, but it is not the company’s strongest differentiator. Product development is more compelling because it allows China Life to respond directly to changing protection and retirement needs while exploiting existing customer relationships and channels. Related diversification is the most forward-looking option, but only where it remains close to the company’s insurance-service core and avoids the risks of unrelated expansion. The strategic implication is therefore hierarchical rather than symmetrical: China Life’s most credible route is a layered growth strategy combining </w:t>
      </w:r>
      <w:r w:rsidRPr="00376B3B">
        <w:rPr>
          <w:b/>
          <w:bCs/>
        </w:rPr>
        <w:t>market penetration, product development and related diversification</w:t>
      </w:r>
      <w:r w:rsidRPr="00376B3B">
        <w:t>, with product development and insurance-linked service ecosystems acting as the main engines of future growth. This interpretation is consistent with the company’s own emphasis on product diversification, pension finance, health service enrichment and the expansion of the “insurance + services” model.</w:t>
      </w:r>
    </w:p>
    <w:p w14:paraId="74DCDD74" w14:textId="77777777" w:rsidR="007A7A85" w:rsidRPr="007A7A85" w:rsidRDefault="007A7A85" w:rsidP="007A7A85">
      <w:pPr>
        <w:rPr>
          <w:b/>
          <w:bCs/>
        </w:rPr>
      </w:pPr>
      <w:r w:rsidRPr="007A7A85">
        <w:rPr>
          <w:b/>
          <w:bCs/>
        </w:rPr>
        <w:t>4. Strategic Recommendations</w:t>
      </w:r>
    </w:p>
    <w:p w14:paraId="5828B289" w14:textId="77777777" w:rsidR="007A7A85" w:rsidRPr="007A7A85" w:rsidRDefault="007A7A85" w:rsidP="007A7A85">
      <w:r w:rsidRPr="007A7A85">
        <w:t xml:space="preserve">The preceding analysis suggests that China Life should avoid a broad, undifferentiated growth strategy. Instead, it should pursue a </w:t>
      </w:r>
      <w:proofErr w:type="spellStart"/>
      <w:r w:rsidRPr="007A7A85">
        <w:t>prioritised</w:t>
      </w:r>
      <w:proofErr w:type="spellEnd"/>
      <w:r w:rsidRPr="007A7A85">
        <w:t xml:space="preserve"> strategy built around the protection of its dominant core, the selective scaling of adjacent growth platforms, and the strengthening of the </w:t>
      </w:r>
      <w:proofErr w:type="spellStart"/>
      <w:r w:rsidRPr="007A7A85">
        <w:t>organisational</w:t>
      </w:r>
      <w:proofErr w:type="spellEnd"/>
      <w:r w:rsidRPr="007A7A85">
        <w:t xml:space="preserve"> mechanisms that connect insurance to service delivery. This section therefore proposes three </w:t>
      </w:r>
      <w:proofErr w:type="gramStart"/>
      <w:r w:rsidRPr="007A7A85">
        <w:t>recommendations,</w:t>
      </w:r>
      <w:proofErr w:type="gramEnd"/>
      <w:r w:rsidRPr="007A7A85">
        <w:t xml:space="preserve"> each derived from the combined logic of the BCG Matrix and the Ansoff Matrix.</w:t>
      </w:r>
    </w:p>
    <w:p w14:paraId="2C56144D" w14:textId="77777777" w:rsidR="007A7A85" w:rsidRPr="007A7A85" w:rsidRDefault="007A7A85" w:rsidP="007A7A85">
      <w:r w:rsidRPr="007A7A85">
        <w:t xml:space="preserve">The first recommendation is to </w:t>
      </w:r>
      <w:r w:rsidRPr="007A7A85">
        <w:rPr>
          <w:b/>
          <w:bCs/>
        </w:rPr>
        <w:t xml:space="preserve">protect and </w:t>
      </w:r>
      <w:proofErr w:type="spellStart"/>
      <w:r w:rsidRPr="007A7A85">
        <w:rPr>
          <w:b/>
          <w:bCs/>
        </w:rPr>
        <w:t>optimise</w:t>
      </w:r>
      <w:proofErr w:type="spellEnd"/>
      <w:r w:rsidRPr="007A7A85">
        <w:rPr>
          <w:b/>
          <w:bCs/>
        </w:rPr>
        <w:t xml:space="preserve"> the core life and annuity franchise as the funding base for future growth</w:t>
      </w:r>
      <w:r w:rsidRPr="007A7A85">
        <w:t xml:space="preserve">. The BCG analysis indicates that China Life’s core life and annuity business remains the portfolio’s main Cash Cow because it combines dominant scale, strong embedded value and continuing new business generation. In 2024, the company reported gross written premiums of RMB 671,457 million, embedded value of RMB 1,401,146 million and value of one year’s sales of RMB 33,709 million; by the first half of 2025, embedded value had increased further </w:t>
      </w:r>
      <w:r w:rsidRPr="007A7A85">
        <w:lastRenderedPageBreak/>
        <w:t xml:space="preserve">to RMB 1,477,827 million. This implies that the core franchise should not be treated as a static mature business to be passively harvested. Rather, it should be defended and refined through product-mix </w:t>
      </w:r>
      <w:proofErr w:type="spellStart"/>
      <w:r w:rsidRPr="007A7A85">
        <w:t>optimisation</w:t>
      </w:r>
      <w:proofErr w:type="spellEnd"/>
      <w:r w:rsidRPr="007A7A85">
        <w:t xml:space="preserve">, better asset-liability coordination, greater cost efficiency and improved persistence. China Life’s own disclosures </w:t>
      </w:r>
      <w:proofErr w:type="spellStart"/>
      <w:r w:rsidRPr="007A7A85">
        <w:t>emphasise</w:t>
      </w:r>
      <w:proofErr w:type="spellEnd"/>
      <w:r w:rsidRPr="007A7A85">
        <w:t xml:space="preserve"> stronger asset-liability interaction, profitability improvement, and a more balanced business structure, which supports the argument that the core business should function as a disciplined funding base for wider strategic development rather than as an end in itself. </w:t>
      </w:r>
    </w:p>
    <w:p w14:paraId="4D15AD3E" w14:textId="77777777" w:rsidR="007A7A85" w:rsidRPr="007A7A85" w:rsidRDefault="007A7A85" w:rsidP="007A7A85">
      <w:r w:rsidRPr="007A7A85">
        <w:t xml:space="preserve">The second recommendation is to </w:t>
      </w:r>
      <w:proofErr w:type="spellStart"/>
      <w:r w:rsidRPr="007A7A85">
        <w:rPr>
          <w:b/>
          <w:bCs/>
        </w:rPr>
        <w:t>prioritise</w:t>
      </w:r>
      <w:proofErr w:type="spellEnd"/>
      <w:r w:rsidRPr="007A7A85">
        <w:rPr>
          <w:b/>
          <w:bCs/>
        </w:rPr>
        <w:t xml:space="preserve"> pension, health and senior-care ecosystems as China Life’s primary growth platform</w:t>
      </w:r>
      <w:r w:rsidRPr="007A7A85">
        <w:t xml:space="preserve">. Both the BCG and Ansoff analyses point to this area as the most attractive route for forward-looking expansion because it combines demographic demand, policy support and </w:t>
      </w:r>
      <w:proofErr w:type="spellStart"/>
      <w:r w:rsidRPr="007A7A85">
        <w:t>organisational</w:t>
      </w:r>
      <w:proofErr w:type="spellEnd"/>
      <w:r w:rsidRPr="007A7A85">
        <w:t xml:space="preserve"> fit. China Life is already positioned strongly in this space: its annual report states that its third-pillar private pension and commercial annuity insurance businesses ranked first in the industry, while the 2025 interim report notes significant year-on-year growth in third-pillar private pension premiums and accumulated future reserves of commercial annuity insurance approaching RMB4 trillion. Importantly, this is not only a product story. The company is extending its reach through a broader “insurance + services” model that includes retirement communities, retirement apartments, healthcare and senior-care sojourn facilities. Its 2024 ESG report records 17 institutional elderly-care projects across 14 cities. Strategically, this means China Life should concentrate future innovation, investment and managerial attention on building a coherent retirement-health-service ecosystem rather than merely launching more standalone policies. This path is superior to unrelated diversification because it extends the core through adjacent, trust-intensive and service-intensive offerings that reinforce customer relevance over the life cycle. </w:t>
      </w:r>
    </w:p>
    <w:p w14:paraId="5E4F77A6" w14:textId="77777777" w:rsidR="007A7A85" w:rsidRPr="007A7A85" w:rsidRDefault="007A7A85" w:rsidP="007A7A85">
      <w:r w:rsidRPr="007A7A85">
        <w:t xml:space="preserve">The third recommendation is to </w:t>
      </w:r>
      <w:r w:rsidRPr="007A7A85">
        <w:rPr>
          <w:b/>
          <w:bCs/>
        </w:rPr>
        <w:t>build a dual-engine distribution and service model by upgrading the agent system, expanding high-potential channels, and deepening digital service capability</w:t>
      </w:r>
      <w:r w:rsidRPr="007A7A85">
        <w:t xml:space="preserve">. China Life’s future growth will depend not only on what it sells but also on how effectively it connects products, channels and services. The company still possesses formidable distribution scale, including around 18,000 branches and sub-branches and approximately 666,000 sales partners. At the same time, its channel structure is evolving: the 2024 annual report shows that the individual agent channel remained dominant, but the 2025 interim report indicates further progress in diversified channel coordination, digital-intelligent transformation and sales reform. The ESG report also highlights 160 million registered users on the Life Insurance App and high levels of online claims processing. These facts suggest that China Life should avoid a false choice between traditional human distribution and </w:t>
      </w:r>
      <w:proofErr w:type="spellStart"/>
      <w:r w:rsidRPr="007A7A85">
        <w:t>digitalisation</w:t>
      </w:r>
      <w:proofErr w:type="spellEnd"/>
      <w:r w:rsidRPr="007A7A85">
        <w:t xml:space="preserve">. </w:t>
      </w:r>
      <w:r w:rsidRPr="007A7A85">
        <w:lastRenderedPageBreak/>
        <w:t xml:space="preserve">Instead, it should pursue a dual-engine model in which upgraded agents continue to drive trust-based value creation in complex life, pension and health products, while digital platforms and alternative channels enhance accessibility, service speed, cross-selling and operational efficiency. This recommendation is especially important because the long-term success of pension and senior-care strategies depends on service integration, not just product issuance. </w:t>
      </w:r>
    </w:p>
    <w:p w14:paraId="5148137F" w14:textId="77777777" w:rsidR="007A7A85" w:rsidRPr="007A7A85" w:rsidRDefault="007A7A85" w:rsidP="007A7A85">
      <w:r w:rsidRPr="007A7A85">
        <w:t xml:space="preserve">Taken together, these recommendations imply a clear strategic hierarchy. China Life should first preserve the profitability and value-generation capacity of its dominant core franchise; second, channel investment and innovation toward pension, health and senior-care ecosystems as the company’s principal growth engine; and third, strengthen the distribution and digital-service architecture needed to support this transition. This hierarchy matters because the company should not attempt to grow every business line equally. The more defensible strategy is selective, related and capability-based: it uses the cash-generation capacity of the traditional life business to support the expansion of higher-potential retirement and health ecosystems, while relying on </w:t>
      </w:r>
      <w:proofErr w:type="spellStart"/>
      <w:r w:rsidRPr="007A7A85">
        <w:t>organisational</w:t>
      </w:r>
      <w:proofErr w:type="spellEnd"/>
      <w:r w:rsidRPr="007A7A85">
        <w:t xml:space="preserve"> transformation to convert scale into sustainable competitive advantage.</w:t>
      </w:r>
    </w:p>
    <w:p w14:paraId="68E39979" w14:textId="77777777" w:rsidR="00754113" w:rsidRPr="00754113" w:rsidRDefault="00754113" w:rsidP="00754113">
      <w:pPr>
        <w:rPr>
          <w:b/>
          <w:bCs/>
        </w:rPr>
      </w:pPr>
      <w:r w:rsidRPr="00754113">
        <w:rPr>
          <w:b/>
          <w:bCs/>
        </w:rPr>
        <w:t>5. Limitations of Strategy Tools</w:t>
      </w:r>
    </w:p>
    <w:p w14:paraId="7E8395D1" w14:textId="77777777" w:rsidR="00754113" w:rsidRPr="00754113" w:rsidRDefault="00754113" w:rsidP="00754113">
      <w:r w:rsidRPr="00754113">
        <w:t xml:space="preserve">Although the BCG Matrix and the Ansoff Matrix are useful as structuring devices, neither should be treated as a complete decision rule for China Life. Their main value lies in forcing </w:t>
      </w:r>
      <w:proofErr w:type="spellStart"/>
      <w:r w:rsidRPr="00754113">
        <w:t>prioritisation</w:t>
      </w:r>
      <w:proofErr w:type="spellEnd"/>
      <w:r w:rsidRPr="00754113">
        <w:t xml:space="preserve"> and clarifying strategic options; however, both models simplify a business reality that is considerably more complex in the case of a large life insurer. China Life operates in a setting shaped not only by market growth and competitive position, but also by solvency requirements, capital intensity, asset-liability management, customer persistence, service integration and regulatory expectations. As a result, the models are most useful when applied critically rather than mechanically.</w:t>
      </w:r>
    </w:p>
    <w:p w14:paraId="1917621F" w14:textId="77777777" w:rsidR="00754113" w:rsidRPr="00754113" w:rsidRDefault="00754113" w:rsidP="00754113">
      <w:r w:rsidRPr="00754113">
        <w:t xml:space="preserve">The first limitation concerns the </w:t>
      </w:r>
      <w:r w:rsidRPr="00754113">
        <w:rPr>
          <w:b/>
          <w:bCs/>
        </w:rPr>
        <w:t>BCG Matrix</w:t>
      </w:r>
      <w:r w:rsidRPr="00754113">
        <w:t xml:space="preserve"> itself. Its original logic rests on a strong link between market share, growth and cash-generation potential. Morrison and Wensley show that the Boston matrix was historically attractive because it “boxed up” complex strategic issues into a simple portfolio logic, but they also warn that it could produce “marketing myopia” and “boxed in” strategic discussions to a limited set of options and prescriptions. </w:t>
      </w:r>
    </w:p>
    <w:p w14:paraId="1B6C699B" w14:textId="77777777" w:rsidR="00754113" w:rsidRPr="00754113" w:rsidRDefault="00754113" w:rsidP="00754113">
      <w:r w:rsidRPr="00754113">
        <w:t xml:space="preserve">In other words, simplicity is both its strength and its danger. This problem becomes more serious in insurance, where the underlying assumptions of the matrix are harder to defend. Armstrong and Brodie note that the BCG matrix assumes a causal relationship between market share and profitability, but also report prior criticism that </w:t>
      </w:r>
      <w:r w:rsidRPr="00754113">
        <w:lastRenderedPageBreak/>
        <w:t xml:space="preserve">this relationship lacks internal consistency and empirical support. They further argue that market boundaries are often difficult to define, making growth and relative share highly sensitive to how the market is measured. </w:t>
      </w:r>
    </w:p>
    <w:p w14:paraId="291C2538" w14:textId="0A82E8A6" w:rsidR="00754113" w:rsidRPr="00754113" w:rsidRDefault="00754113" w:rsidP="00754113"/>
    <w:p w14:paraId="37CC9AE1" w14:textId="77777777" w:rsidR="00754113" w:rsidRPr="00754113" w:rsidRDefault="00754113" w:rsidP="00754113">
      <w:r w:rsidRPr="00754113">
        <w:t xml:space="preserve">For China Life, this matters directly: a health-insurance subsegment, a pension product line and a senior-care service platform cannot be compared as if they were </w:t>
      </w:r>
      <w:proofErr w:type="spellStart"/>
      <w:r w:rsidRPr="00754113">
        <w:t>standardised</w:t>
      </w:r>
      <w:proofErr w:type="spellEnd"/>
      <w:r w:rsidRPr="00754113">
        <w:t xml:space="preserve"> consumer-goods businesses with transparent market shares and uniform economics.</w:t>
      </w:r>
    </w:p>
    <w:p w14:paraId="3F5E72CB" w14:textId="77777777" w:rsidR="00754113" w:rsidRPr="00754113" w:rsidRDefault="00754113" w:rsidP="00754113">
      <w:r w:rsidRPr="00754113">
        <w:t xml:space="preserve">A second BCG-related limitation is that the matrix may distort managerial judgment by encouraging label-driven rather than value-driven decisions. Armstrong and Brodie’s experimental study is especially useful here. They found that information about the BCG matrix increased subjects’ likelihood of choosing the clearly less profitable investment; 64 per cent of those exposed to the matrix selected the unprofitable option, and among those who explicitly used the matrix in their analysis, 87 per cent selected the less profitable option. </w:t>
      </w:r>
    </w:p>
    <w:p w14:paraId="6FFD7891" w14:textId="77777777" w:rsidR="00754113" w:rsidRPr="00754113" w:rsidRDefault="00754113" w:rsidP="00754113">
      <w:r w:rsidRPr="00754113">
        <w:t xml:space="preserve">They also argue that labels such as “Cash Cow,” “Star” and “Dog” are intuitively appealing but may lead decision-makers to overlook profit </w:t>
      </w:r>
      <w:proofErr w:type="spellStart"/>
      <w:r w:rsidRPr="00754113">
        <w:t>maximisation</w:t>
      </w:r>
      <w:proofErr w:type="spellEnd"/>
      <w:r w:rsidRPr="00754113">
        <w:t xml:space="preserve"> by creating misleading “mental accounts.” </w:t>
      </w:r>
    </w:p>
    <w:p w14:paraId="3331D3DF" w14:textId="77777777" w:rsidR="00754113" w:rsidRPr="00754113" w:rsidRDefault="00754113" w:rsidP="00754113">
      <w:r w:rsidRPr="00754113">
        <w:t>This criticism is highly relevant to China Life. For example, a business line might appear “dog-like” on a narrow growth/share logic but still be strategically important because it supports cross-selling, inclusion policy objectives, customer retention or ecosystem complementarity. Conversely, a line that looks “star-like” may consume capital, create claims volatility or require capabilities the firm cannot scale efficiently.</w:t>
      </w:r>
    </w:p>
    <w:p w14:paraId="1999E9FB" w14:textId="77777777" w:rsidR="00754113" w:rsidRPr="00754113" w:rsidRDefault="00754113" w:rsidP="00754113">
      <w:r w:rsidRPr="00754113">
        <w:t xml:space="preserve">The </w:t>
      </w:r>
      <w:r w:rsidRPr="00754113">
        <w:rPr>
          <w:b/>
          <w:bCs/>
        </w:rPr>
        <w:t>Ansoff Matrix</w:t>
      </w:r>
      <w:r w:rsidRPr="00754113">
        <w:t xml:space="preserve"> is useful in a different way, but it has a different weakness. It </w:t>
      </w:r>
      <w:proofErr w:type="spellStart"/>
      <w:r w:rsidRPr="00754113">
        <w:t>organises</w:t>
      </w:r>
      <w:proofErr w:type="spellEnd"/>
      <w:r w:rsidRPr="00754113">
        <w:t xml:space="preserve"> growth options into market penetration, product development, market development and diversification, yet it says relatively little about feasibility, execution difficulty or capability constraints. The model is directionally helpful, but it can make growth look cleaner than it is. For a company such as China Life, “new product” does not simply mean launching another policy variant; it may also require new underwriting assumptions, claims-management capability, digital infrastructure, service partnerships and regulatory coordination. Likewise, “diversification” is not automatically attractive just because it offers growth. A move into health and senior-care services is only strategically sound if it remains related to the company’s existing assets, distribution model, customer relationships and long-term liability structure. The matrix therefore helps </w:t>
      </w:r>
      <w:proofErr w:type="spellStart"/>
      <w:r w:rsidRPr="00754113">
        <w:t>organise</w:t>
      </w:r>
      <w:proofErr w:type="spellEnd"/>
      <w:r w:rsidRPr="00754113">
        <w:t xml:space="preserve"> options, but it does not tell management whether the firm can actually execute them effectively or at acceptable risk.</w:t>
      </w:r>
    </w:p>
    <w:p w14:paraId="40B1FF1A" w14:textId="77777777" w:rsidR="00754113" w:rsidRPr="00754113" w:rsidRDefault="00754113" w:rsidP="00754113">
      <w:r w:rsidRPr="00754113">
        <w:lastRenderedPageBreak/>
        <w:t xml:space="preserve">This is why a wider strategic lens is necessary. Teece, Pisano and </w:t>
      </w:r>
      <w:proofErr w:type="spellStart"/>
      <w:r w:rsidRPr="00754113">
        <w:t>Shuen</w:t>
      </w:r>
      <w:proofErr w:type="spellEnd"/>
      <w:r w:rsidRPr="00754113">
        <w:t xml:space="preserve"> argue that competitive advantage depends on distinctive processes, asset positions and development paths, and that firms in changing environments must build and reconfigure capabilities rather than rely only on product-market positioning. </w:t>
      </w:r>
    </w:p>
    <w:p w14:paraId="60AB51CA" w14:textId="77777777" w:rsidR="00754113" w:rsidRPr="00754113" w:rsidRDefault="00754113" w:rsidP="00754113">
      <w:r w:rsidRPr="00754113">
        <w:t xml:space="preserve">They also stress that related diversification is the form most consistent with a resources-and-capabilities view, because opportunities tend to lie close to the firm’s existing business and competence base. </w:t>
      </w:r>
    </w:p>
    <w:p w14:paraId="303EDD2A" w14:textId="77777777" w:rsidR="00754113" w:rsidRPr="00754113" w:rsidRDefault="00754113" w:rsidP="00754113">
      <w:r w:rsidRPr="00754113">
        <w:t xml:space="preserve">For China Life, this implies that the real strategic question is not merely which quadrant a business occupies, or which Ansoff route appears available, but whether the company has the </w:t>
      </w:r>
      <w:proofErr w:type="spellStart"/>
      <w:r w:rsidRPr="00754113">
        <w:t>organisational</w:t>
      </w:r>
      <w:proofErr w:type="spellEnd"/>
      <w:r w:rsidRPr="00754113">
        <w:t>, digital, distributional and service capabilities required to translate that choice into sustainable value creation. Therefore, the BCG Matrix and the Ansoff Matrix should be treated as first-stage framing tools. Their outputs are useful, but only when interpreted alongside dynamic capabilities, strategic fit and the institutional realities of the Chinese life insurance market.</w:t>
      </w:r>
    </w:p>
    <w:p w14:paraId="736D6741" w14:textId="494858F4" w:rsidR="00250F80" w:rsidRPr="00250F80" w:rsidRDefault="00250F80" w:rsidP="00250F80">
      <w:pPr>
        <w:rPr>
          <w:rFonts w:hint="eastAsia"/>
        </w:rPr>
      </w:pPr>
      <w:r w:rsidRPr="00250F80">
        <w:rPr>
          <w:rFonts w:hint="eastAsia"/>
        </w:rPr>
        <w:t>6. Conclusion</w:t>
      </w:r>
    </w:p>
    <w:p w14:paraId="73F4DBDC" w14:textId="77896C38" w:rsidR="00250F80" w:rsidRPr="00250F80" w:rsidRDefault="00250F80" w:rsidP="00250F80">
      <w:pPr>
        <w:rPr>
          <w:rFonts w:hint="eastAsia"/>
        </w:rPr>
      </w:pPr>
      <w:r w:rsidRPr="00250F80">
        <w:rPr>
          <w:rFonts w:hint="eastAsia"/>
        </w:rPr>
        <w:t>This report has argued that China Life</w:t>
      </w:r>
      <w:proofErr w:type="gramStart"/>
      <w:r w:rsidRPr="00250F80">
        <w:rPr>
          <w:rFonts w:hint="eastAsia"/>
        </w:rPr>
        <w:t>’</w:t>
      </w:r>
      <w:proofErr w:type="gramEnd"/>
      <w:r w:rsidRPr="00250F80">
        <w:rPr>
          <w:rFonts w:hint="eastAsia"/>
        </w:rPr>
        <w:t>s portfolio should be interpreted through broader business-line and service-platform clusters rather than through narrow retail product categories. When viewed in this way, the company</w:t>
      </w:r>
      <w:proofErr w:type="gramStart"/>
      <w:r w:rsidRPr="00250F80">
        <w:rPr>
          <w:rFonts w:hint="eastAsia"/>
        </w:rPr>
        <w:t>’</w:t>
      </w:r>
      <w:proofErr w:type="spellStart"/>
      <w:proofErr w:type="gramEnd"/>
      <w:r w:rsidRPr="00250F80">
        <w:rPr>
          <w:rFonts w:hint="eastAsia"/>
        </w:rPr>
        <w:t>s core</w:t>
      </w:r>
      <w:proofErr w:type="spellEnd"/>
      <w:r w:rsidRPr="00250F80">
        <w:rPr>
          <w:rFonts w:hint="eastAsia"/>
        </w:rPr>
        <w:t xml:space="preserve"> life and annuity franchise emerges as the principal cash-generating base of the business, while pension, health and senior-care related activities represent the most credible platform for future growth. This conclusion is consistent with China Life</w:t>
      </w:r>
      <w:proofErr w:type="gramStart"/>
      <w:r w:rsidRPr="00250F80">
        <w:rPr>
          <w:rFonts w:hint="eastAsia"/>
        </w:rPr>
        <w:t>’</w:t>
      </w:r>
      <w:proofErr w:type="gramEnd"/>
      <w:r w:rsidRPr="00250F80">
        <w:rPr>
          <w:rFonts w:hint="eastAsia"/>
        </w:rPr>
        <w:t xml:space="preserve">s financial and strategic position: in 2024, the company reported gross written premiums of RMB 671,457 million, total assets of RMB 6.77 trillion and embedded value of RMB 1.40 trillion, while its 2025 interim report showed further growth in premiums and embedded value. </w:t>
      </w:r>
    </w:p>
    <w:p w14:paraId="13A36973" w14:textId="77777777" w:rsidR="00250F80" w:rsidRPr="00250F80" w:rsidRDefault="00250F80" w:rsidP="00250F80">
      <w:pPr>
        <w:rPr>
          <w:rFonts w:hint="eastAsia"/>
        </w:rPr>
      </w:pPr>
      <w:r w:rsidRPr="00250F80">
        <w:rPr>
          <w:rFonts w:hint="eastAsia"/>
        </w:rPr>
        <w:t xml:space="preserve">The BCG Matrix suggests that China Life should defend and </w:t>
      </w:r>
      <w:proofErr w:type="spellStart"/>
      <w:r w:rsidRPr="00250F80">
        <w:rPr>
          <w:rFonts w:hint="eastAsia"/>
        </w:rPr>
        <w:t>optimise</w:t>
      </w:r>
      <w:proofErr w:type="spellEnd"/>
      <w:r w:rsidRPr="00250F80">
        <w:rPr>
          <w:rFonts w:hint="eastAsia"/>
        </w:rPr>
        <w:t xml:space="preserve"> its dominant core rather than disperse resources evenly across all business lines. The Ansoff Matrix, meanwhile, indicates that the most attractive path is not unrelated diversification but a selective combination of market penetration, product development and related diversification. In practical terms, this means using the strength of the core life business to support the expansion of pension finance, health protection and senior-care ecosystems, while relying on distribution reform and digital service capability to improve customer relevance and long-term value creation. This direction is strengthened by China Life</w:t>
      </w:r>
      <w:proofErr w:type="gramStart"/>
      <w:r w:rsidRPr="00250F80">
        <w:rPr>
          <w:rFonts w:hint="eastAsia"/>
        </w:rPr>
        <w:t>’</w:t>
      </w:r>
      <w:proofErr w:type="gramEnd"/>
      <w:r w:rsidRPr="00250F80">
        <w:rPr>
          <w:rFonts w:hint="eastAsia"/>
        </w:rPr>
        <w:t xml:space="preserve">s leading position in third-pillar pension and commercial annuity insurance and by its expanding elderly-care ecosystem, including 17 institutional elderly-care projects across 14 cities. </w:t>
      </w:r>
    </w:p>
    <w:p w14:paraId="481D86CD" w14:textId="77777777" w:rsidR="00250F80" w:rsidRPr="00250F80" w:rsidRDefault="00250F80" w:rsidP="00250F80">
      <w:pPr>
        <w:rPr>
          <w:rFonts w:hint="eastAsia"/>
        </w:rPr>
      </w:pPr>
    </w:p>
    <w:p w14:paraId="0E075A12" w14:textId="2FC935C0" w:rsidR="00623FFF" w:rsidRPr="00754113" w:rsidRDefault="00250F80" w:rsidP="00250F80">
      <w:pPr>
        <w:rPr>
          <w:rFonts w:hint="eastAsia"/>
        </w:rPr>
      </w:pPr>
      <w:r w:rsidRPr="00250F80">
        <w:rPr>
          <w:rFonts w:hint="eastAsia"/>
        </w:rPr>
        <w:lastRenderedPageBreak/>
        <w:t xml:space="preserve">At the same time, the report has shown that neither the BCG Matrix nor the Ansoff Matrix should be treated as a complete prescription for strategy. Their categories are analytically useful, but they simplify the realities of a regulated, capital-intensive and service-dependent insurance business. For China Life, strategic judgment must therefore go beyond portfolio labels and growth typologies to include dynamic capabilities, strategic fit, channel effectiveness, service integration and regulatory constraints. Overall, the most defensible conclusion is that China Life should not pursue generic expansion. It should preserve the profitability and value-generation capacity of its traditional core, selectively reallocate resources toward pension-health-senior-care growth, and build the </w:t>
      </w:r>
      <w:proofErr w:type="spellStart"/>
      <w:r w:rsidRPr="00250F80">
        <w:rPr>
          <w:rFonts w:hint="eastAsia"/>
        </w:rPr>
        <w:t>organisational</w:t>
      </w:r>
      <w:proofErr w:type="spellEnd"/>
      <w:r w:rsidRPr="00250F80">
        <w:rPr>
          <w:rFonts w:hint="eastAsia"/>
        </w:rPr>
        <w:t xml:space="preserve"> capabilities required to convert market leadership into more sustainable and differentiated competitive advantage.</w:t>
      </w:r>
    </w:p>
    <w:sectPr w:rsidR="00623FFF" w:rsidRPr="007541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F7549"/>
    <w:multiLevelType w:val="multilevel"/>
    <w:tmpl w:val="A576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49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9B"/>
    <w:rsid w:val="00012B50"/>
    <w:rsid w:val="0016519B"/>
    <w:rsid w:val="00250F80"/>
    <w:rsid w:val="00376B3B"/>
    <w:rsid w:val="00623FFF"/>
    <w:rsid w:val="00754113"/>
    <w:rsid w:val="007A7A85"/>
    <w:rsid w:val="008E75FC"/>
    <w:rsid w:val="009D1D6E"/>
    <w:rsid w:val="00E06BDC"/>
    <w:rsid w:val="00E35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BEAD"/>
  <w15:chartTrackingRefBased/>
  <w15:docId w15:val="{226B125A-38A0-4275-B240-3455E0D5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51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51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51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51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51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51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51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51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51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51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51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51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519B"/>
    <w:rPr>
      <w:rFonts w:cstheme="majorBidi"/>
      <w:color w:val="0F4761" w:themeColor="accent1" w:themeShade="BF"/>
      <w:sz w:val="28"/>
      <w:szCs w:val="28"/>
    </w:rPr>
  </w:style>
  <w:style w:type="character" w:customStyle="1" w:styleId="50">
    <w:name w:val="标题 5 字符"/>
    <w:basedOn w:val="a0"/>
    <w:link w:val="5"/>
    <w:uiPriority w:val="9"/>
    <w:semiHidden/>
    <w:rsid w:val="0016519B"/>
    <w:rPr>
      <w:rFonts w:cstheme="majorBidi"/>
      <w:color w:val="0F4761" w:themeColor="accent1" w:themeShade="BF"/>
      <w:sz w:val="24"/>
    </w:rPr>
  </w:style>
  <w:style w:type="character" w:customStyle="1" w:styleId="60">
    <w:name w:val="标题 6 字符"/>
    <w:basedOn w:val="a0"/>
    <w:link w:val="6"/>
    <w:uiPriority w:val="9"/>
    <w:semiHidden/>
    <w:rsid w:val="0016519B"/>
    <w:rPr>
      <w:rFonts w:cstheme="majorBidi"/>
      <w:b/>
      <w:bCs/>
      <w:color w:val="0F4761" w:themeColor="accent1" w:themeShade="BF"/>
    </w:rPr>
  </w:style>
  <w:style w:type="character" w:customStyle="1" w:styleId="70">
    <w:name w:val="标题 7 字符"/>
    <w:basedOn w:val="a0"/>
    <w:link w:val="7"/>
    <w:uiPriority w:val="9"/>
    <w:semiHidden/>
    <w:rsid w:val="0016519B"/>
    <w:rPr>
      <w:rFonts w:cstheme="majorBidi"/>
      <w:b/>
      <w:bCs/>
      <w:color w:val="595959" w:themeColor="text1" w:themeTint="A6"/>
    </w:rPr>
  </w:style>
  <w:style w:type="character" w:customStyle="1" w:styleId="80">
    <w:name w:val="标题 8 字符"/>
    <w:basedOn w:val="a0"/>
    <w:link w:val="8"/>
    <w:uiPriority w:val="9"/>
    <w:semiHidden/>
    <w:rsid w:val="0016519B"/>
    <w:rPr>
      <w:rFonts w:cstheme="majorBidi"/>
      <w:color w:val="595959" w:themeColor="text1" w:themeTint="A6"/>
    </w:rPr>
  </w:style>
  <w:style w:type="character" w:customStyle="1" w:styleId="90">
    <w:name w:val="标题 9 字符"/>
    <w:basedOn w:val="a0"/>
    <w:link w:val="9"/>
    <w:uiPriority w:val="9"/>
    <w:semiHidden/>
    <w:rsid w:val="0016519B"/>
    <w:rPr>
      <w:rFonts w:eastAsiaTheme="majorEastAsia" w:cstheme="majorBidi"/>
      <w:color w:val="595959" w:themeColor="text1" w:themeTint="A6"/>
    </w:rPr>
  </w:style>
  <w:style w:type="paragraph" w:styleId="a3">
    <w:name w:val="Title"/>
    <w:basedOn w:val="a"/>
    <w:next w:val="a"/>
    <w:link w:val="a4"/>
    <w:uiPriority w:val="10"/>
    <w:qFormat/>
    <w:rsid w:val="001651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51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51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51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519B"/>
    <w:pPr>
      <w:spacing w:before="160"/>
      <w:jc w:val="center"/>
    </w:pPr>
    <w:rPr>
      <w:i/>
      <w:iCs/>
      <w:color w:val="404040" w:themeColor="text1" w:themeTint="BF"/>
    </w:rPr>
  </w:style>
  <w:style w:type="character" w:customStyle="1" w:styleId="a8">
    <w:name w:val="引用 字符"/>
    <w:basedOn w:val="a0"/>
    <w:link w:val="a7"/>
    <w:uiPriority w:val="29"/>
    <w:rsid w:val="0016519B"/>
    <w:rPr>
      <w:i/>
      <w:iCs/>
      <w:color w:val="404040" w:themeColor="text1" w:themeTint="BF"/>
    </w:rPr>
  </w:style>
  <w:style w:type="paragraph" w:styleId="a9">
    <w:name w:val="List Paragraph"/>
    <w:basedOn w:val="a"/>
    <w:uiPriority w:val="34"/>
    <w:qFormat/>
    <w:rsid w:val="0016519B"/>
    <w:pPr>
      <w:ind w:left="720"/>
      <w:contextualSpacing/>
    </w:pPr>
  </w:style>
  <w:style w:type="character" w:styleId="aa">
    <w:name w:val="Intense Emphasis"/>
    <w:basedOn w:val="a0"/>
    <w:uiPriority w:val="21"/>
    <w:qFormat/>
    <w:rsid w:val="0016519B"/>
    <w:rPr>
      <w:i/>
      <w:iCs/>
      <w:color w:val="0F4761" w:themeColor="accent1" w:themeShade="BF"/>
    </w:rPr>
  </w:style>
  <w:style w:type="paragraph" w:styleId="ab">
    <w:name w:val="Intense Quote"/>
    <w:basedOn w:val="a"/>
    <w:next w:val="a"/>
    <w:link w:val="ac"/>
    <w:uiPriority w:val="30"/>
    <w:qFormat/>
    <w:rsid w:val="00165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519B"/>
    <w:rPr>
      <w:i/>
      <w:iCs/>
      <w:color w:val="0F4761" w:themeColor="accent1" w:themeShade="BF"/>
    </w:rPr>
  </w:style>
  <w:style w:type="character" w:styleId="ad">
    <w:name w:val="Intense Reference"/>
    <w:basedOn w:val="a0"/>
    <w:uiPriority w:val="32"/>
    <w:qFormat/>
    <w:rsid w:val="001651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1275</TotalTime>
  <Pages>13</Pages>
  <Words>5396</Words>
  <Characters>30760</Characters>
  <Application>Microsoft Office Word</Application>
  <DocSecurity>0</DocSecurity>
  <Lines>256</Lines>
  <Paragraphs>72</Paragraphs>
  <ScaleCrop>false</ScaleCrop>
  <Company/>
  <LinksUpToDate>false</LinksUpToDate>
  <CharactersWithSpaces>36084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丰睿 甘</dc:creator>
  <cp:keywords/>
  <dc:description/>
  <cp:lastModifiedBy>丰睿 甘</cp:lastModifiedBy>
  <cp:revision>2</cp:revision>
  <dcterms:created xsi:type="dcterms:W3CDTF">2026-03-31T14:48:00Z</dcterms:created>
  <dcterms:modified xsi:type="dcterms:W3CDTF">2026-04-01T12:03:00Z</dcterms:modified>
</cp:coreProperties>
</file>