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EEBB" w14:textId="77777777" w:rsidR="006E0F19" w:rsidRPr="006E0F19" w:rsidRDefault="006E0F19" w:rsidP="006E0F19">
      <w:pPr>
        <w:rPr>
          <w:b/>
          <w:bCs/>
        </w:rPr>
      </w:pPr>
      <w:r w:rsidRPr="006E0F19">
        <w:rPr>
          <w:b/>
          <w:bCs/>
        </w:rPr>
        <w:t>China Life’s Product and Service Portfolio: A Strategic Evaluation through the BCG Matrix and the Ansoff Matrix</w:t>
      </w:r>
    </w:p>
    <w:p w14:paraId="56D372D8" w14:textId="77777777" w:rsidR="006E0F19" w:rsidRPr="006E0F19" w:rsidRDefault="006E0F19" w:rsidP="006E0F19">
      <w:pPr>
        <w:rPr>
          <w:b/>
          <w:bCs/>
        </w:rPr>
      </w:pPr>
      <w:r w:rsidRPr="006E0F19">
        <w:rPr>
          <w:b/>
          <w:bCs/>
        </w:rPr>
        <w:t>1. Introduction and Company Overview</w:t>
      </w:r>
    </w:p>
    <w:p w14:paraId="078B70C9" w14:textId="73078BE4" w:rsidR="006E0F19" w:rsidRPr="006E0F19" w:rsidRDefault="006E0F19" w:rsidP="006E0F19">
      <w:pPr>
        <w:rPr>
          <w:rFonts w:hint="eastAsia"/>
        </w:rPr>
      </w:pPr>
      <w:r w:rsidRPr="006E0F19">
        <w:t xml:space="preserve">China Life is an appropriate case for portfolio analysis because it combines market leadership, broad product coverage, institutional scale and relatively rich public disclosure. It operates across life insurance, annuity insurance, health insurance and accident insurance, and entered 2025 with substantial premium income, total assets and embedded value. These characteristics make it strategically significant: the question is not whether the company can survive, but how it should reallocate resources to sustain leadership under changing market conditions. </w:t>
      </w:r>
    </w:p>
    <w:p w14:paraId="4532BAB8" w14:textId="63D318CF" w:rsidR="006E0F19" w:rsidRPr="006E0F19" w:rsidRDefault="006E0F19" w:rsidP="006E0F19">
      <w:pPr>
        <w:rPr>
          <w:rFonts w:hint="eastAsia"/>
        </w:rPr>
      </w:pPr>
      <w:r w:rsidRPr="006E0F19">
        <w:t xml:space="preserve">The report also fits the assignment’s time logic. Over the past decade, China’s life insurance market has been reshaped by population ageing, pension reform, changing protection needs, </w:t>
      </w:r>
      <w:proofErr w:type="spellStart"/>
      <w:r w:rsidRPr="006E0F19">
        <w:t>digitalisation</w:t>
      </w:r>
      <w:proofErr w:type="spellEnd"/>
      <w:r w:rsidRPr="006E0F19">
        <w:t xml:space="preserve"> and channel restructuring. China Life’s recent disclosures indicate a visible shift from a traditional scale-driven insurer towards a broader “insurance + services” model, with greater emphasis on third-pillar pension insurance, commercial annuities, health management, long-term care and senior-care facilities. This ten-year trajectory provides the basis for evaluating its most credible strategic direction for the next decade. </w:t>
      </w:r>
    </w:p>
    <w:p w14:paraId="07DEC76C" w14:textId="25FC86FB" w:rsidR="006E0F19" w:rsidRPr="006E0F19" w:rsidRDefault="006E0F19" w:rsidP="006E0F19">
      <w:pPr>
        <w:rPr>
          <w:rFonts w:hint="eastAsia"/>
        </w:rPr>
      </w:pPr>
      <w:r w:rsidRPr="006E0F19">
        <w:t xml:space="preserve">For this reason, “portfolio” must be interpreted carefully. In insurance, strategic value depends not only on market growth and premium scale, but also on persistence, capital consumption, distribution quality, service integration and long-term customer value. Therefore, this report analyses China Life through four broad clusters: core life and annuity insurance, health insurance, accident insurance, and the pension-health-senior-care ecosystem. The BCG Matrix is used as an adapted allocation framework, while the Ansoff Matrix is used to assess the most credible growth path for the next decade. </w:t>
      </w:r>
    </w:p>
    <w:p w14:paraId="089526F8" w14:textId="77777777" w:rsidR="006E0F19" w:rsidRPr="006E0F19" w:rsidRDefault="006E0F19" w:rsidP="006E0F19">
      <w:pPr>
        <w:rPr>
          <w:b/>
          <w:bCs/>
        </w:rPr>
      </w:pPr>
      <w:r w:rsidRPr="006E0F19">
        <w:rPr>
          <w:b/>
          <w:bCs/>
        </w:rPr>
        <w:t>2. BCG Matrix Analysis</w:t>
      </w:r>
    </w:p>
    <w:p w14:paraId="19BD949E" w14:textId="038E9AE6" w:rsidR="006E0F19" w:rsidRPr="006E0F19" w:rsidRDefault="006E0F19" w:rsidP="006E0F19">
      <w:pPr>
        <w:rPr>
          <w:rFonts w:hint="eastAsia"/>
        </w:rPr>
      </w:pPr>
      <w:r w:rsidRPr="006E0F19">
        <w:t xml:space="preserve">The BCG Matrix remains useful, but only if adapted to insurance realities. Rather than mechanically applying market share and market growth to individual products, it is more meaningful to classify broader business clusters according to scale, value generation, growth momentum and strategic relevance. </w:t>
      </w:r>
    </w:p>
    <w:p w14:paraId="74B72312" w14:textId="10D920C8" w:rsidR="006E0F19" w:rsidRPr="006E0F19" w:rsidRDefault="006E0F19" w:rsidP="006E0F19">
      <w:pPr>
        <w:rPr>
          <w:rFonts w:hint="eastAsia"/>
        </w:rPr>
      </w:pPr>
      <w:r w:rsidRPr="006E0F19">
        <w:t xml:space="preserve">China Life’s </w:t>
      </w:r>
      <w:r w:rsidRPr="006E0F19">
        <w:rPr>
          <w:b/>
          <w:bCs/>
        </w:rPr>
        <w:t>core life and annuity franchise</w:t>
      </w:r>
      <w:r w:rsidRPr="006E0F19">
        <w:t xml:space="preserve"> is best classified as a </w:t>
      </w:r>
      <w:r w:rsidRPr="006E0F19">
        <w:rPr>
          <w:b/>
          <w:bCs/>
        </w:rPr>
        <w:t>Cash Cow</w:t>
      </w:r>
      <w:r w:rsidRPr="006E0F19">
        <w:t xml:space="preserve">. This is not a vague label but a data-supported conclusion. In 2024, China Life reported gross written premiums of RMB 671,457 million, embedded value of RMB 1,401,146 million and value of one year’s sales of RMB 33,709 million, while in the first half of 2025 gross written premiums reached RMB 525,088 million and embedded value rose further to </w:t>
      </w:r>
      <w:r w:rsidRPr="006E0F19">
        <w:lastRenderedPageBreak/>
        <w:t xml:space="preserve">RMB 1,477,827 million. These figures show that the core franchise is not merely large; it is also highly productive in economic-value terms. It generates the capital base, renewal strength and customer relationships that allow the company to fund newer growth areas. In BCG terms, China Life’s core business therefore performs the classic role of a mature but powerful cash generator. However, this should not imply passive harvesting. The strategic implication is disciplined </w:t>
      </w:r>
      <w:proofErr w:type="spellStart"/>
      <w:r w:rsidRPr="006E0F19">
        <w:t>defence</w:t>
      </w:r>
      <w:proofErr w:type="spellEnd"/>
      <w:r w:rsidRPr="006E0F19">
        <w:t xml:space="preserve"> and </w:t>
      </w:r>
      <w:proofErr w:type="spellStart"/>
      <w:r w:rsidRPr="006E0F19">
        <w:t>optimisation</w:t>
      </w:r>
      <w:proofErr w:type="spellEnd"/>
      <w:r w:rsidRPr="006E0F19">
        <w:t xml:space="preserve"> through better product mix, profitability improvement, stronger asset-liability coordination and preserved long-term value creation. </w:t>
      </w:r>
    </w:p>
    <w:p w14:paraId="39CAD11E" w14:textId="74CB471C" w:rsidR="006E0F19" w:rsidRPr="006E0F19" w:rsidRDefault="006E0F19" w:rsidP="006E0F19">
      <w:pPr>
        <w:rPr>
          <w:rFonts w:hint="eastAsia"/>
        </w:rPr>
      </w:pPr>
      <w:r w:rsidRPr="006E0F19">
        <w:t xml:space="preserve">The company’s </w:t>
      </w:r>
      <w:r w:rsidRPr="006E0F19">
        <w:rPr>
          <w:b/>
          <w:bCs/>
        </w:rPr>
        <w:t>pension, commercial annuity and senior-care ecosystem</w:t>
      </w:r>
      <w:r w:rsidRPr="006E0F19">
        <w:t xml:space="preserve"> is the strongest candidate for </w:t>
      </w:r>
      <w:r w:rsidRPr="006E0F19">
        <w:rPr>
          <w:b/>
          <w:bCs/>
        </w:rPr>
        <w:t>Star</w:t>
      </w:r>
      <w:r w:rsidRPr="006E0F19">
        <w:t xml:space="preserve"> status. This area combines policy support, demographic tailwinds and strong strategic fit. China Life’s disclosures indicate leadership in third-pillar private pension and commercial annuity insurance, while its service-side expansion includes retirement communities, retirement apartments, healthcare and senior-care sojourn facilities, alongside 17 institutional elderly-care projects across 14 cities. This is strategically important because China Life is not only selling pension-related insurance products; it is building an ecosystem around ageing-related financial and service needs. That makes this cluster the most compelling destination for active investment over the next decade. </w:t>
      </w:r>
    </w:p>
    <w:p w14:paraId="100B4A15" w14:textId="3573EEB0" w:rsidR="006E0F19" w:rsidRPr="006E0F19" w:rsidRDefault="006E0F19" w:rsidP="006E0F19">
      <w:pPr>
        <w:rPr>
          <w:rFonts w:hint="eastAsia"/>
        </w:rPr>
      </w:pPr>
      <w:r w:rsidRPr="006E0F19">
        <w:rPr>
          <w:b/>
          <w:bCs/>
        </w:rPr>
        <w:t>Health insurance</w:t>
      </w:r>
      <w:r w:rsidRPr="006E0F19">
        <w:t xml:space="preserve"> is better treated as a </w:t>
      </w:r>
      <w:r w:rsidRPr="006E0F19">
        <w:rPr>
          <w:b/>
          <w:bCs/>
        </w:rPr>
        <w:t>Question Mark</w:t>
      </w:r>
      <w:r w:rsidRPr="006E0F19">
        <w:t xml:space="preserve"> than as an automatic Star. It clearly benefits from strong demand growth and policy relevance, and China Life has expanded activity in supplementary medical insurance, long-term care insurance and city-</w:t>
      </w:r>
      <w:proofErr w:type="spellStart"/>
      <w:r w:rsidRPr="006E0F19">
        <w:t>customised</w:t>
      </w:r>
      <w:proofErr w:type="spellEnd"/>
      <w:r w:rsidRPr="006E0F19">
        <w:t xml:space="preserve"> commercial health insurance. Nevertheless, health insurance is more heterogeneous than standard BCG logic implies. Its profitability depends on underwriting discipline, claims experience, service integration and regulatory design. Therefore, although health should remain a priority area, it is more analytically rigorous to view it as a selective growth opportunity requiring disciplined expansion rather than automatic large-scale investment. </w:t>
      </w:r>
    </w:p>
    <w:p w14:paraId="723981EE" w14:textId="4AB6B1B7" w:rsidR="006E0F19" w:rsidRPr="006E0F19" w:rsidRDefault="006E0F19" w:rsidP="006E0F19">
      <w:pPr>
        <w:rPr>
          <w:rFonts w:hint="eastAsia"/>
        </w:rPr>
      </w:pPr>
      <w:r w:rsidRPr="006E0F19">
        <w:rPr>
          <w:b/>
          <w:bCs/>
        </w:rPr>
        <w:t>Accident insurance</w:t>
      </w:r>
      <w:r w:rsidRPr="006E0F19">
        <w:t xml:space="preserve"> is best interpreted as a </w:t>
      </w:r>
      <w:r w:rsidRPr="006E0F19">
        <w:rPr>
          <w:b/>
          <w:bCs/>
        </w:rPr>
        <w:t>low-priority Dog-like line</w:t>
      </w:r>
      <w:r w:rsidRPr="006E0F19">
        <w:t xml:space="preserve">, though not as a meaningless one. It still contributes to broader protection packages and inclusive insurance objectives, but it appears smaller, less differentiated and less strategically central than the core franchise or the pension-health-service platform. Its value is therefore complementary rather than transformative. It should support cross-selling and customer coverage, rather than serve as an independent engine of future growth. </w:t>
      </w:r>
    </w:p>
    <w:p w14:paraId="156B0DFE" w14:textId="30278CB4" w:rsidR="006E0F19" w:rsidRPr="006E0F19" w:rsidRDefault="006E0F19" w:rsidP="006E0F19">
      <w:pPr>
        <w:rPr>
          <w:rFonts w:hint="eastAsia"/>
        </w:rPr>
      </w:pPr>
      <w:r w:rsidRPr="006E0F19">
        <w:t xml:space="preserve">Overall, the adapted BCG analysis points to a clear resource-allocation hierarchy: defend and </w:t>
      </w:r>
      <w:proofErr w:type="spellStart"/>
      <w:r w:rsidRPr="006E0F19">
        <w:t>optimise</w:t>
      </w:r>
      <w:proofErr w:type="spellEnd"/>
      <w:r w:rsidRPr="006E0F19">
        <w:t xml:space="preserve"> core life and annuity; invest most actively in pension-commercial annuity-senior-care activities; scale health selectively; and keep accident insurance in a </w:t>
      </w:r>
      <w:r w:rsidRPr="006E0F19">
        <w:lastRenderedPageBreak/>
        <w:t xml:space="preserve">supporting role. This gives China Life a more coherent portfolio logic than undifferentiated expansion across all lines. </w:t>
      </w:r>
    </w:p>
    <w:p w14:paraId="470474E2" w14:textId="77777777" w:rsidR="006E0F19" w:rsidRPr="006E0F19" w:rsidRDefault="006E0F19" w:rsidP="006E0F19">
      <w:pPr>
        <w:rPr>
          <w:b/>
          <w:bCs/>
        </w:rPr>
      </w:pPr>
      <w:r w:rsidRPr="006E0F19">
        <w:rPr>
          <w:b/>
          <w:bCs/>
        </w:rPr>
        <w:t>3. Ansoff Matrix Analysis</w:t>
      </w:r>
    </w:p>
    <w:p w14:paraId="1104D101" w14:textId="77777777" w:rsidR="006E0F19" w:rsidRPr="006E0F19" w:rsidRDefault="006E0F19" w:rsidP="006E0F19">
      <w:r w:rsidRPr="006E0F19">
        <w:t>If the BCG Matrix clarifies where resources should be concentrated, the Ansoff Matrix clarifies how China Life should grow.</w:t>
      </w:r>
    </w:p>
    <w:p w14:paraId="00D2D11C" w14:textId="77777777" w:rsidR="006E0F19" w:rsidRPr="006E0F19" w:rsidRDefault="006E0F19" w:rsidP="006E0F19">
      <w:r w:rsidRPr="006E0F19">
        <w:rPr>
          <w:b/>
          <w:bCs/>
        </w:rPr>
        <w:t>Market penetration</w:t>
      </w:r>
      <w:r w:rsidRPr="006E0F19">
        <w:t xml:space="preserve"> remains necessary, but limited as a standalone strategy. China Life still has substantial room to extract more value from its existing base through stronger retention, service quality, better channel productivity and deeper customer relationships. Its nationwide branch network, large sales force and digital platform provide a powerful installed base. However, simply selling more traditional life insurance into the same market is unlikely to be sufficient for the next decade. Market penetration should therefore be treated as a supporting route rather than the whole strategy.</w:t>
      </w:r>
    </w:p>
    <w:p w14:paraId="32ACC610" w14:textId="77777777" w:rsidR="006E0F19" w:rsidRPr="006E0F19" w:rsidRDefault="006E0F19" w:rsidP="006E0F19">
      <w:r w:rsidRPr="006E0F19">
        <w:rPr>
          <w:b/>
          <w:bCs/>
        </w:rPr>
        <w:t>Product development</w:t>
      </w:r>
      <w:r w:rsidRPr="006E0F19">
        <w:t xml:space="preserve"> is the strongest near-term route. China Life is already using its brand, customer base and channels to broaden retirement, health and protection offerings. In 2024, it developed and upgraded more than 100 products, and in 2025 it continued diversified product supply, including first-ever health insurance products and further expansion in third-pillar pension-related offerings. Strategically, this matters because it shows that China Life is not relying on legacy products alone; it is actively redesigning its offer around emerging customer needs. The significance of these innovations lies less in isolated product names than in the broader direction they represent: products linked to retirement finance, health protection and service-rich ageing solutions. In Ansoff terms, this is the clearest immediate growth logic, because China Life can use existing relationships and channels to serve changing life-cycle needs with new or enhanced products.</w:t>
      </w:r>
    </w:p>
    <w:p w14:paraId="293711B5" w14:textId="77777777" w:rsidR="006E0F19" w:rsidRPr="006E0F19" w:rsidRDefault="006E0F19" w:rsidP="006E0F19">
      <w:r w:rsidRPr="006E0F19">
        <w:rPr>
          <w:b/>
          <w:bCs/>
        </w:rPr>
        <w:t>Market development</w:t>
      </w:r>
      <w:r w:rsidRPr="006E0F19">
        <w:t xml:space="preserve"> is relevant, but secondary. China Life is already deeply embedded in China, so the issue is less about geographic entry than about extending coverage into under-served customer groups and use scenarios. Its expansion into elderly customers, new citizens, workers in emerging industries, rural populations and various public-private medical protection </w:t>
      </w:r>
      <w:proofErr w:type="spellStart"/>
      <w:r w:rsidRPr="006E0F19">
        <w:t>programmes</w:t>
      </w:r>
      <w:proofErr w:type="spellEnd"/>
      <w:r w:rsidRPr="006E0F19">
        <w:t xml:space="preserve"> demonstrates this route. Yet it remains less powerful than product development because China Life’s main advantage lies in tailoring and integrating offerings, rather than entering wholly new markets.</w:t>
      </w:r>
    </w:p>
    <w:p w14:paraId="40AF0D15" w14:textId="77777777" w:rsidR="006E0F19" w:rsidRPr="006E0F19" w:rsidRDefault="006E0F19" w:rsidP="006E0F19">
      <w:r w:rsidRPr="006E0F19">
        <w:t xml:space="preserve">The most important long-term route is </w:t>
      </w:r>
      <w:r w:rsidRPr="006E0F19">
        <w:rPr>
          <w:b/>
          <w:bCs/>
        </w:rPr>
        <w:t>related diversification</w:t>
      </w:r>
      <w:r w:rsidRPr="006E0F19">
        <w:t xml:space="preserve">. China Life should not pursue unrelated diversification into unfamiliar sectors. Instead, it should extend its insurance proposition into adjacent pension, health and senior-care services. This is defensible because it builds on existing strengths in trust, customer access, long-term liabilities, distribution and integrated service capability. The company’s senior-care </w:t>
      </w:r>
      <w:r w:rsidRPr="006E0F19">
        <w:lastRenderedPageBreak/>
        <w:t>facilities and wider “insurance + services” ecosystem show that this process has already begun. In Ansoff terms, related diversification is the most forward-looking route, but only because it remains close to the firm’s core business and reinforces rather than dilutes it.</w:t>
      </w:r>
    </w:p>
    <w:p w14:paraId="1695A2EE" w14:textId="77777777" w:rsidR="006E0F19" w:rsidRPr="006E0F19" w:rsidRDefault="006E0F19" w:rsidP="006E0F19">
      <w:r w:rsidRPr="006E0F19">
        <w:t xml:space="preserve">Taken together, the Ansoff analysis suggests a clear ranking: market penetration is necessary, product development is the strongest short- to medium-term growth route, market development is supplementary, and related diversification is the most attractive long-term path. For China Life, the best formula is therefore </w:t>
      </w:r>
      <w:r w:rsidRPr="006E0F19">
        <w:rPr>
          <w:b/>
          <w:bCs/>
        </w:rPr>
        <w:t>selective market penetration, strong product development and related diversification into pension-health-senior-care ecosystems</w:t>
      </w:r>
      <w:r w:rsidRPr="006E0F19">
        <w:t>.</w:t>
      </w:r>
    </w:p>
    <w:p w14:paraId="05983A6A" w14:textId="77777777" w:rsidR="006E0F19" w:rsidRPr="006E0F19" w:rsidRDefault="006E0F19" w:rsidP="006E0F19">
      <w:pPr>
        <w:rPr>
          <w:b/>
          <w:bCs/>
        </w:rPr>
      </w:pPr>
      <w:r w:rsidRPr="006E0F19">
        <w:rPr>
          <w:b/>
          <w:bCs/>
        </w:rPr>
        <w:t>4. Strategic Direction and Recommendations</w:t>
      </w:r>
    </w:p>
    <w:p w14:paraId="3C059F98" w14:textId="77777777" w:rsidR="006E0F19" w:rsidRPr="006E0F19" w:rsidRDefault="006E0F19" w:rsidP="006E0F19">
      <w:r w:rsidRPr="006E0F19">
        <w:t>The combined analysis suggests that China Life should not pursue generic expansion across all lines. Instead, it should follow a selective, related and capability-based strategy.</w:t>
      </w:r>
    </w:p>
    <w:p w14:paraId="3EC84EB4" w14:textId="77777777" w:rsidR="006E0F19" w:rsidRPr="006E0F19" w:rsidRDefault="006E0F19" w:rsidP="006E0F19">
      <w:r w:rsidRPr="006E0F19">
        <w:t xml:space="preserve">First, China Life should </w:t>
      </w:r>
      <w:r w:rsidRPr="006E0F19">
        <w:rPr>
          <w:b/>
          <w:bCs/>
        </w:rPr>
        <w:t xml:space="preserve">protect and </w:t>
      </w:r>
      <w:proofErr w:type="spellStart"/>
      <w:r w:rsidRPr="006E0F19">
        <w:rPr>
          <w:b/>
          <w:bCs/>
        </w:rPr>
        <w:t>optimise</w:t>
      </w:r>
      <w:proofErr w:type="spellEnd"/>
      <w:r w:rsidRPr="006E0F19">
        <w:rPr>
          <w:b/>
          <w:bCs/>
        </w:rPr>
        <w:t xml:space="preserve"> the core life and annuity franchise</w:t>
      </w:r>
      <w:r w:rsidRPr="006E0F19">
        <w:t>. The core business remains the company’s main funding base and should be refined rather than simply harvested. That means improving product mix, strengthening asset-liability coordination, enhancing efficiency and preserving persistence. The objective is to keep the mature core economically productive enough to finance growth elsewhere.</w:t>
      </w:r>
    </w:p>
    <w:p w14:paraId="258029FB" w14:textId="77777777" w:rsidR="006E0F19" w:rsidRPr="006E0F19" w:rsidRDefault="006E0F19" w:rsidP="006E0F19">
      <w:r w:rsidRPr="006E0F19">
        <w:t xml:space="preserve">Second, China Life should </w:t>
      </w:r>
      <w:r w:rsidRPr="006E0F19">
        <w:rPr>
          <w:b/>
          <w:bCs/>
        </w:rPr>
        <w:t>reallocate growth investment towards an integrated pension-health-senior-care ecosystem</w:t>
      </w:r>
      <w:r w:rsidRPr="006E0F19">
        <w:t>. This is the most convincing next-decade growth platform because it aligns demographic demand, policy direction and the company’s existing capabilities. China Life already has leadership in pension-related insurance and has expanded into senior-care facilities and related services. Strategically, it should build this into a coherent retirement-health-service ecosystem rather than treat pension, health and care as isolated businesses.</w:t>
      </w:r>
    </w:p>
    <w:p w14:paraId="40D74CD0" w14:textId="77777777" w:rsidR="006E0F19" w:rsidRPr="006E0F19" w:rsidRDefault="006E0F19" w:rsidP="006E0F19">
      <w:r w:rsidRPr="006E0F19">
        <w:t xml:space="preserve">Third, this direction requires a stronger </w:t>
      </w:r>
      <w:r w:rsidRPr="006E0F19">
        <w:rPr>
          <w:b/>
          <w:bCs/>
        </w:rPr>
        <w:t>channel and digital-service architecture</w:t>
      </w:r>
      <w:r w:rsidRPr="006E0F19">
        <w:t xml:space="preserve">. China Life’s future success will depend not only on what it sells, but on how effectively it links products, distribution and services. Its large agency system, wide branch network and substantial app user base suggest that the firm should pursue a dual-engine model: upgraded agents for complex trust-based selling, and digital platforms for service efficiency, accessibility and cross-selling. In short, the company should use the core to fund the ecosystem, and use </w:t>
      </w:r>
      <w:proofErr w:type="spellStart"/>
      <w:r w:rsidRPr="006E0F19">
        <w:t>organisational</w:t>
      </w:r>
      <w:proofErr w:type="spellEnd"/>
      <w:r w:rsidRPr="006E0F19">
        <w:t xml:space="preserve"> transformation to make that ecosystem scalable.</w:t>
      </w:r>
    </w:p>
    <w:p w14:paraId="1EAA9E1B" w14:textId="77777777" w:rsidR="006E0F19" w:rsidRPr="006E0F19" w:rsidRDefault="006E0F19" w:rsidP="006E0F19">
      <w:pPr>
        <w:rPr>
          <w:b/>
          <w:bCs/>
        </w:rPr>
      </w:pPr>
      <w:r w:rsidRPr="006E0F19">
        <w:rPr>
          <w:b/>
          <w:bCs/>
        </w:rPr>
        <w:t>5. Limitations of the Strategy Tools</w:t>
      </w:r>
    </w:p>
    <w:p w14:paraId="128043C9" w14:textId="77777777" w:rsidR="006E0F19" w:rsidRPr="006E0F19" w:rsidRDefault="006E0F19" w:rsidP="006E0F19">
      <w:r w:rsidRPr="006E0F19">
        <w:lastRenderedPageBreak/>
        <w:t xml:space="preserve">The BCG and Ansoff matrices are useful, but incomplete. For China Life, the BCG Matrix oversimplifies the economics of insurance. Business attractiveness depends not only on growth and relative share, but also on solvency, capital intensity, claims experience, customer persistence and service integration. Similarly, the Ansoff Matrix is helpful in </w:t>
      </w:r>
      <w:proofErr w:type="spellStart"/>
      <w:r w:rsidRPr="006E0F19">
        <w:t>organising</w:t>
      </w:r>
      <w:proofErr w:type="spellEnd"/>
      <w:r w:rsidRPr="006E0F19">
        <w:t xml:space="preserve"> growth options, but says relatively little about feasibility, execution difficulty or </w:t>
      </w:r>
      <w:proofErr w:type="spellStart"/>
      <w:r w:rsidRPr="006E0F19">
        <w:t>organisational</w:t>
      </w:r>
      <w:proofErr w:type="spellEnd"/>
      <w:r w:rsidRPr="006E0F19">
        <w:t xml:space="preserve"> capability. A move into pension-health-senior-care is only strategically sound if China Life can actually coordinate products, channels, digital systems and service delivery.</w:t>
      </w:r>
    </w:p>
    <w:p w14:paraId="086211B2" w14:textId="56A1839B" w:rsidR="006E0F19" w:rsidRPr="006E0F19" w:rsidRDefault="006E0F19" w:rsidP="006E0F19">
      <w:pPr>
        <w:rPr>
          <w:rFonts w:hint="eastAsia"/>
        </w:rPr>
      </w:pPr>
      <w:r w:rsidRPr="006E0F19">
        <w:t xml:space="preserve">This is why a wider theoretical lens is needed. Teece’s dynamic capabilities framework is particularly useful because it explains competitive advantage in terms of </w:t>
      </w:r>
      <w:r w:rsidRPr="006E0F19">
        <w:rPr>
          <w:b/>
          <w:bCs/>
        </w:rPr>
        <w:t>sensing</w:t>
      </w:r>
      <w:r w:rsidRPr="006E0F19">
        <w:t xml:space="preserve">, </w:t>
      </w:r>
      <w:r w:rsidRPr="006E0F19">
        <w:rPr>
          <w:b/>
          <w:bCs/>
        </w:rPr>
        <w:t>seizing</w:t>
      </w:r>
      <w:r w:rsidRPr="006E0F19">
        <w:t xml:space="preserve"> and </w:t>
      </w:r>
      <w:r w:rsidRPr="006E0F19">
        <w:rPr>
          <w:b/>
          <w:bCs/>
        </w:rPr>
        <w:t>reconfiguring</w:t>
      </w:r>
      <w:r w:rsidRPr="006E0F19">
        <w:t xml:space="preserve">. In China Life’s case, </w:t>
      </w:r>
      <w:r w:rsidRPr="006E0F19">
        <w:rPr>
          <w:b/>
          <w:bCs/>
        </w:rPr>
        <w:t>sensing</w:t>
      </w:r>
      <w:r w:rsidRPr="006E0F19">
        <w:t xml:space="preserve"> is visible in its recognition of demographic ageing, pension reform and changing health-protection needs as major strategic signals. </w:t>
      </w:r>
      <w:r w:rsidRPr="006E0F19">
        <w:rPr>
          <w:b/>
          <w:bCs/>
        </w:rPr>
        <w:t>Seizing</w:t>
      </w:r>
      <w:r w:rsidRPr="006E0F19">
        <w:t xml:space="preserve"> is reflected in concrete commitment: leadership in third-pillar pension insurance, expansion of commercial annuity business, and investment in 17 elderly-care projects across 14 cities. </w:t>
      </w:r>
      <w:r w:rsidRPr="006E0F19">
        <w:rPr>
          <w:b/>
          <w:bCs/>
        </w:rPr>
        <w:t>Reconfiguring</w:t>
      </w:r>
      <w:r w:rsidRPr="006E0F19">
        <w:t xml:space="preserve"> is evident in the firm’s efforts to </w:t>
      </w:r>
      <w:proofErr w:type="spellStart"/>
      <w:r w:rsidRPr="006E0F19">
        <w:t>digitalise</w:t>
      </w:r>
      <w:proofErr w:type="spellEnd"/>
      <w:r w:rsidRPr="006E0F19">
        <w:t xml:space="preserve"> service operations, strengthen the China Life App, and reform the agent system so that traditional distribution can work alongside digital channels and service ecosystems. This perspective matters because it shows that China Life’s future advantage will depend less on choosing the “right box” in BCG or Ansoff, and more on whether it can repeatedly adapt its resources and </w:t>
      </w:r>
      <w:proofErr w:type="spellStart"/>
      <w:r w:rsidRPr="006E0F19">
        <w:t>organisation</w:t>
      </w:r>
      <w:proofErr w:type="spellEnd"/>
      <w:r w:rsidRPr="006E0F19">
        <w:t xml:space="preserve"> to structural market change. </w:t>
      </w:r>
    </w:p>
    <w:p w14:paraId="354D808E" w14:textId="77777777" w:rsidR="006E0F19" w:rsidRPr="006E0F19" w:rsidRDefault="006E0F19" w:rsidP="006E0F19">
      <w:r w:rsidRPr="006E0F19">
        <w:t>Therefore, the two matrices should be treated as first-stage framing tools. They help structure strategic choices, but the real test is whether China Life has the capabilities to convert those choices into durable value creation.</w:t>
      </w:r>
    </w:p>
    <w:p w14:paraId="79498579" w14:textId="77777777" w:rsidR="006E0F19" w:rsidRPr="006E0F19" w:rsidRDefault="006E0F19" w:rsidP="006E0F19">
      <w:pPr>
        <w:rPr>
          <w:b/>
          <w:bCs/>
        </w:rPr>
      </w:pPr>
      <w:r w:rsidRPr="006E0F19">
        <w:rPr>
          <w:b/>
          <w:bCs/>
        </w:rPr>
        <w:t>6. Conclusion</w:t>
      </w:r>
    </w:p>
    <w:p w14:paraId="518C7B50" w14:textId="784DAAE1" w:rsidR="006E0F19" w:rsidRPr="006E0F19" w:rsidRDefault="006E0F19" w:rsidP="006E0F19">
      <w:pPr>
        <w:rPr>
          <w:rFonts w:hint="eastAsia"/>
        </w:rPr>
      </w:pPr>
      <w:r w:rsidRPr="006E0F19">
        <w:t xml:space="preserve">China Life should be understood not as a conventional product portfolio, but as a set of interrelated business and service platforms. On that basis, its core life and annuity franchise remains the company’s principal cash-generating base, while pension, health and senior-care activities form its most credible next-decade growth platform. The BCG analysis supports resource concentration rather than even allocation, and the Ansoff analysis shows that the strongest path is not unrelated diversification, but product development and related diversification built on the existing core. </w:t>
      </w:r>
    </w:p>
    <w:p w14:paraId="15638EF9" w14:textId="77777777" w:rsidR="006E0F19" w:rsidRPr="006E0F19" w:rsidRDefault="006E0F19" w:rsidP="006E0F19">
      <w:r w:rsidRPr="006E0F19">
        <w:t xml:space="preserve">The most defensible strategic conclusion is therefore clear: China Life should preserve and refine the traditional core, selectively shift investment towards a retirement-health-service ecosystem, and strengthen the channel and digital capabilities needed to make that shift effective. This is more convincing than generic expansion because it is </w:t>
      </w:r>
      <w:r w:rsidRPr="006E0F19">
        <w:lastRenderedPageBreak/>
        <w:t>selective, capability-based and aligned with the structural evolution of both the company and the Chinese life insurance market.</w:t>
      </w:r>
    </w:p>
    <w:p w14:paraId="0E075A12" w14:textId="38FB6E33" w:rsidR="00623FFF" w:rsidRPr="008C6A34" w:rsidRDefault="00623FFF" w:rsidP="00250F80">
      <w:pPr>
        <w:rPr>
          <w:rFonts w:hint="eastAsia"/>
        </w:rPr>
      </w:pPr>
    </w:p>
    <w:sectPr w:rsidR="00623FFF" w:rsidRPr="008C6A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B2C3" w14:textId="77777777" w:rsidR="008B2754" w:rsidRDefault="008B2754" w:rsidP="00FB5DDF">
      <w:pPr>
        <w:spacing w:after="0" w:line="240" w:lineRule="auto"/>
        <w:rPr>
          <w:rFonts w:hint="eastAsia"/>
        </w:rPr>
      </w:pPr>
      <w:r>
        <w:separator/>
      </w:r>
    </w:p>
  </w:endnote>
  <w:endnote w:type="continuationSeparator" w:id="0">
    <w:p w14:paraId="48657C94" w14:textId="77777777" w:rsidR="008B2754" w:rsidRDefault="008B2754" w:rsidP="00FB5D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6E4C" w14:textId="77777777" w:rsidR="008B2754" w:rsidRDefault="008B2754" w:rsidP="00FB5DDF">
      <w:pPr>
        <w:spacing w:after="0" w:line="240" w:lineRule="auto"/>
        <w:rPr>
          <w:rFonts w:hint="eastAsia"/>
        </w:rPr>
      </w:pPr>
      <w:r>
        <w:separator/>
      </w:r>
    </w:p>
  </w:footnote>
  <w:footnote w:type="continuationSeparator" w:id="0">
    <w:p w14:paraId="21EE9465" w14:textId="77777777" w:rsidR="008B2754" w:rsidRDefault="008B2754" w:rsidP="00FB5D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0D5E"/>
    <w:multiLevelType w:val="multilevel"/>
    <w:tmpl w:val="1F5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05308"/>
    <w:multiLevelType w:val="multilevel"/>
    <w:tmpl w:val="49B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B07D4"/>
    <w:multiLevelType w:val="multilevel"/>
    <w:tmpl w:val="DFE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F7549"/>
    <w:multiLevelType w:val="multilevel"/>
    <w:tmpl w:val="A576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49203">
    <w:abstractNumId w:val="3"/>
  </w:num>
  <w:num w:numId="2" w16cid:durableId="79379490">
    <w:abstractNumId w:val="1"/>
  </w:num>
  <w:num w:numId="3" w16cid:durableId="794445912">
    <w:abstractNumId w:val="2"/>
  </w:num>
  <w:num w:numId="4" w16cid:durableId="207654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9B"/>
    <w:rsid w:val="00012B50"/>
    <w:rsid w:val="0016519B"/>
    <w:rsid w:val="00250F80"/>
    <w:rsid w:val="00376B3B"/>
    <w:rsid w:val="00623FFF"/>
    <w:rsid w:val="006E0F19"/>
    <w:rsid w:val="00754113"/>
    <w:rsid w:val="007A7A85"/>
    <w:rsid w:val="008B2754"/>
    <w:rsid w:val="008C6A34"/>
    <w:rsid w:val="008E75FC"/>
    <w:rsid w:val="009D1D6E"/>
    <w:rsid w:val="00C95706"/>
    <w:rsid w:val="00E06BDC"/>
    <w:rsid w:val="00E353E5"/>
    <w:rsid w:val="00F34ABE"/>
    <w:rsid w:val="00FB5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5BEAD"/>
  <w15:chartTrackingRefBased/>
  <w15:docId w15:val="{226B125A-38A0-4275-B240-3455E0D5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51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51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51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51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51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51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51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51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51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51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51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51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519B"/>
    <w:rPr>
      <w:rFonts w:cstheme="majorBidi"/>
      <w:color w:val="0F4761" w:themeColor="accent1" w:themeShade="BF"/>
      <w:sz w:val="28"/>
      <w:szCs w:val="28"/>
    </w:rPr>
  </w:style>
  <w:style w:type="character" w:customStyle="1" w:styleId="50">
    <w:name w:val="标题 5 字符"/>
    <w:basedOn w:val="a0"/>
    <w:link w:val="5"/>
    <w:uiPriority w:val="9"/>
    <w:semiHidden/>
    <w:rsid w:val="0016519B"/>
    <w:rPr>
      <w:rFonts w:cstheme="majorBidi"/>
      <w:color w:val="0F4761" w:themeColor="accent1" w:themeShade="BF"/>
      <w:sz w:val="24"/>
    </w:rPr>
  </w:style>
  <w:style w:type="character" w:customStyle="1" w:styleId="60">
    <w:name w:val="标题 6 字符"/>
    <w:basedOn w:val="a0"/>
    <w:link w:val="6"/>
    <w:uiPriority w:val="9"/>
    <w:semiHidden/>
    <w:rsid w:val="0016519B"/>
    <w:rPr>
      <w:rFonts w:cstheme="majorBidi"/>
      <w:b/>
      <w:bCs/>
      <w:color w:val="0F4761" w:themeColor="accent1" w:themeShade="BF"/>
    </w:rPr>
  </w:style>
  <w:style w:type="character" w:customStyle="1" w:styleId="70">
    <w:name w:val="标题 7 字符"/>
    <w:basedOn w:val="a0"/>
    <w:link w:val="7"/>
    <w:uiPriority w:val="9"/>
    <w:semiHidden/>
    <w:rsid w:val="0016519B"/>
    <w:rPr>
      <w:rFonts w:cstheme="majorBidi"/>
      <w:b/>
      <w:bCs/>
      <w:color w:val="595959" w:themeColor="text1" w:themeTint="A6"/>
    </w:rPr>
  </w:style>
  <w:style w:type="character" w:customStyle="1" w:styleId="80">
    <w:name w:val="标题 8 字符"/>
    <w:basedOn w:val="a0"/>
    <w:link w:val="8"/>
    <w:uiPriority w:val="9"/>
    <w:semiHidden/>
    <w:rsid w:val="0016519B"/>
    <w:rPr>
      <w:rFonts w:cstheme="majorBidi"/>
      <w:color w:val="595959" w:themeColor="text1" w:themeTint="A6"/>
    </w:rPr>
  </w:style>
  <w:style w:type="character" w:customStyle="1" w:styleId="90">
    <w:name w:val="标题 9 字符"/>
    <w:basedOn w:val="a0"/>
    <w:link w:val="9"/>
    <w:uiPriority w:val="9"/>
    <w:semiHidden/>
    <w:rsid w:val="0016519B"/>
    <w:rPr>
      <w:rFonts w:eastAsiaTheme="majorEastAsia" w:cstheme="majorBidi"/>
      <w:color w:val="595959" w:themeColor="text1" w:themeTint="A6"/>
    </w:rPr>
  </w:style>
  <w:style w:type="paragraph" w:styleId="a3">
    <w:name w:val="Title"/>
    <w:basedOn w:val="a"/>
    <w:next w:val="a"/>
    <w:link w:val="a4"/>
    <w:uiPriority w:val="10"/>
    <w:qFormat/>
    <w:rsid w:val="001651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51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51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51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519B"/>
    <w:pPr>
      <w:spacing w:before="160"/>
      <w:jc w:val="center"/>
    </w:pPr>
    <w:rPr>
      <w:i/>
      <w:iCs/>
      <w:color w:val="404040" w:themeColor="text1" w:themeTint="BF"/>
    </w:rPr>
  </w:style>
  <w:style w:type="character" w:customStyle="1" w:styleId="a8">
    <w:name w:val="引用 字符"/>
    <w:basedOn w:val="a0"/>
    <w:link w:val="a7"/>
    <w:uiPriority w:val="29"/>
    <w:rsid w:val="0016519B"/>
    <w:rPr>
      <w:i/>
      <w:iCs/>
      <w:color w:val="404040" w:themeColor="text1" w:themeTint="BF"/>
    </w:rPr>
  </w:style>
  <w:style w:type="paragraph" w:styleId="a9">
    <w:name w:val="List Paragraph"/>
    <w:basedOn w:val="a"/>
    <w:uiPriority w:val="34"/>
    <w:qFormat/>
    <w:rsid w:val="0016519B"/>
    <w:pPr>
      <w:ind w:left="720"/>
      <w:contextualSpacing/>
    </w:pPr>
  </w:style>
  <w:style w:type="character" w:styleId="aa">
    <w:name w:val="Intense Emphasis"/>
    <w:basedOn w:val="a0"/>
    <w:uiPriority w:val="21"/>
    <w:qFormat/>
    <w:rsid w:val="0016519B"/>
    <w:rPr>
      <w:i/>
      <w:iCs/>
      <w:color w:val="0F4761" w:themeColor="accent1" w:themeShade="BF"/>
    </w:rPr>
  </w:style>
  <w:style w:type="paragraph" w:styleId="ab">
    <w:name w:val="Intense Quote"/>
    <w:basedOn w:val="a"/>
    <w:next w:val="a"/>
    <w:link w:val="ac"/>
    <w:uiPriority w:val="30"/>
    <w:qFormat/>
    <w:rsid w:val="00165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519B"/>
    <w:rPr>
      <w:i/>
      <w:iCs/>
      <w:color w:val="0F4761" w:themeColor="accent1" w:themeShade="BF"/>
    </w:rPr>
  </w:style>
  <w:style w:type="character" w:styleId="ad">
    <w:name w:val="Intense Reference"/>
    <w:basedOn w:val="a0"/>
    <w:uiPriority w:val="32"/>
    <w:qFormat/>
    <w:rsid w:val="0016519B"/>
    <w:rPr>
      <w:b/>
      <w:bCs/>
      <w:smallCaps/>
      <w:color w:val="0F4761" w:themeColor="accent1" w:themeShade="BF"/>
      <w:spacing w:val="5"/>
    </w:rPr>
  </w:style>
  <w:style w:type="paragraph" w:styleId="ae">
    <w:name w:val="header"/>
    <w:basedOn w:val="a"/>
    <w:link w:val="af"/>
    <w:uiPriority w:val="99"/>
    <w:unhideWhenUsed/>
    <w:rsid w:val="00FB5D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B5DDF"/>
    <w:rPr>
      <w:sz w:val="18"/>
      <w:szCs w:val="18"/>
    </w:rPr>
  </w:style>
  <w:style w:type="paragraph" w:styleId="af0">
    <w:name w:val="footer"/>
    <w:basedOn w:val="a"/>
    <w:link w:val="af1"/>
    <w:uiPriority w:val="99"/>
    <w:unhideWhenUsed/>
    <w:rsid w:val="00FB5D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B5D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2504</TotalTime>
  <Pages>6</Pages>
  <Words>2093</Words>
  <Characters>11935</Characters>
  <Application>Microsoft Office Word</Application>
  <DocSecurity>0</DocSecurity>
  <Lines>99</Lines>
  <Paragraphs>27</Paragraphs>
  <ScaleCrop>false</ScaleCrop>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丰睿 甘</dc:creator>
  <cp:keywords/>
  <dc:description/>
  <cp:lastModifiedBy>丰睿 甘</cp:lastModifiedBy>
  <cp:revision>7</cp:revision>
  <dcterms:created xsi:type="dcterms:W3CDTF">2026-03-31T14:48:00Z</dcterms:created>
  <dcterms:modified xsi:type="dcterms:W3CDTF">2026-04-04T10:53:00Z</dcterms:modified>
</cp:coreProperties>
</file>