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China Life's Product and Service Portfolio: A Strategic Evaluation through the BCG Matrix and the Ansoff Matrix</w:t>
      </w:r>
    </w:p>
    <w:p>
      <w:pPr>
        <w:jc w:val="center"/>
      </w:pPr>
      <w:r>
        <w:rPr>
          <w:rFonts w:ascii="Times New Roman" w:hAnsi="Times New Roman" w:eastAsia="Times New Roman"/>
          <w:sz w:val="24"/>
        </w:rPr>
        <w:t>Word count (main body, excluding references and appendix): 1988</w:t>
      </w:r>
    </w:p>
    <w:p>
      <w:pPr>
        <w:pStyle w:val="Heading1"/>
        <w:jc w:val="left"/>
      </w:pPr>
      <w:r>
        <w:rPr>
          <w:rFonts w:ascii="Times New Roman" w:hAnsi="Times New Roman" w:eastAsia="Times New Roman"/>
          <w:b/>
          <w:sz w:val="24"/>
        </w:rPr>
        <w:t>1. Introduction and Methodological Justification</w:t>
      </w:r>
    </w:p>
    <w:p>
      <w:pPr>
        <w:ind w:firstLine="480"/>
        <w:jc w:val="both"/>
      </w:pPr>
      <w:r>
        <w:rPr>
          <w:rFonts w:ascii="Times New Roman" w:hAnsi="Times New Roman" w:eastAsia="Times New Roman"/>
          <w:sz w:val="24"/>
        </w:rPr>
        <w:t>China Life is a useful portfolio case because it is a dominant incumbent in a large market. In 2024, China’s insurance industry generated RMB5.7 trillion in premium income and held RMB35.91 trillion in total assets (China Insurance Association, 2025). China Life reported gross written premiums of RMB671,457 million, embedded value of RMB1,401,146 million, about 326 million long-term policies in force and a sales force of 666,000 people (China Life Insurance Company Limited, 2025a). The issue is how resources should be reallocated as ageing, pension reform, health demand and channel transformation reshape Chinese life insurance.</w:t>
      </w:r>
    </w:p>
    <w:p>
      <w:pPr>
        <w:ind w:firstLine="480"/>
        <w:jc w:val="both"/>
      </w:pPr>
      <w:r>
        <w:rPr>
          <w:rFonts w:ascii="Times New Roman" w:hAnsi="Times New Roman" w:eastAsia="Times New Roman"/>
          <w:sz w:val="24"/>
        </w:rPr>
        <w:t>The report retains the BCG Matrix and the Ansoff Matrix, but only after narrowing their use. BCG is imperfect in insurance because relative market share and market growth do not map neatly onto value creation: persistence, claims experience, distribution quality and capital intensity also matter (Armstrong &amp; Brodie, 1994; Morrison &amp; Wensley, 1991). However, it remains useful as a resource-ordering heuristic if the units are defined carefully. For that reason, this report uses only China Life’s four formally disclosed insurance categories as BCG units: life insurance, annuity insurance, health insurance and accident insurance (China Life Insurance Company Limited, 2025a). The senior-care ecosystem is excluded from the BCG matrix and treated instead as a related-diversification platform under Ansoff. This is preferable to overlapping ecosystem clusters because it produces cleaner units.</w:t>
      </w:r>
    </w:p>
    <w:p>
      <w:pPr>
        <w:ind w:firstLine="480"/>
        <w:jc w:val="both"/>
      </w:pPr>
      <w:r>
        <w:rPr>
          <w:rFonts w:ascii="Times New Roman" w:hAnsi="Times New Roman" w:eastAsia="Times New Roman"/>
          <w:sz w:val="24"/>
        </w:rPr>
        <w:t>The classification follows three rules. First, the scale or relative-share proxy is judged through disclosed market position, business scale and peer comparison. Second, the growth proxy is judged through external demand or policy evidence rather than management aspiration alone. Third, profitability and capital discipline act as a caveat, so a line is not treated as a full Star unless growth is matched by at least some evidence of defensible position and manageable economics. This does not turn BCG into a line-by-line valuation model, but it does make it usable for resource ordering. Classification confidence is therefore highest for life insurance, moderate for annuity and health insurance, and lowest for accident insurance.</w:t>
      </w:r>
    </w:p>
    <w:p>
      <w:pPr>
        <w:pStyle w:val="Heading1"/>
        <w:jc w:val="left"/>
      </w:pPr>
      <w:r>
        <w:rPr>
          <w:rFonts w:ascii="Times New Roman" w:hAnsi="Times New Roman" w:eastAsia="Times New Roman"/>
          <w:b/>
          <w:sz w:val="24"/>
        </w:rPr>
        <w:t>2. BCG Matrix Analysis</w:t>
      </w:r>
    </w:p>
    <w:p>
      <w:pPr>
        <w:ind w:firstLine="480"/>
        <w:jc w:val="both"/>
      </w:pPr>
      <w:r>
        <w:rPr>
          <w:rFonts w:ascii="Times New Roman" w:hAnsi="Times New Roman" w:eastAsia="Times New Roman"/>
          <w:sz w:val="24"/>
        </w:rPr>
        <w:t>Using four disclosed insurance categories creates a cleaner portfolio framework than earlier mixed units.</w:t>
      </w:r>
    </w:p>
    <w:p>
      <w:pPr>
        <w:ind w:firstLine="480"/>
        <w:jc w:val="both"/>
      </w:pPr>
      <w:r>
        <w:rPr>
          <w:rFonts w:ascii="Times New Roman" w:hAnsi="Times New Roman" w:eastAsia="Times New Roman"/>
          <w:sz w:val="24"/>
        </w:rPr>
        <w:t>### Life Insurance: Cash Cow</w:t>
      </w:r>
    </w:p>
    <w:p>
      <w:pPr>
        <w:ind w:firstLine="480"/>
        <w:jc w:val="both"/>
      </w:pPr>
      <w:r>
        <w:rPr>
          <w:rFonts w:ascii="Times New Roman" w:hAnsi="Times New Roman" w:eastAsia="Times New Roman"/>
          <w:sz w:val="24"/>
        </w:rPr>
        <w:t>Life insurance is the clearest Cash Cow. China Life remains a leading life insurer, and its scale, embedded value and distribution capacity indicate a mature but highly productive core (China Life Insurance Company Limited, 2025a). External evidence supports that reading. The China Insurance Association (2024) reported that life insurers’ premium income grew by 8.85% in 2023 and that 13-month policy persistency reached 93.47%, suggesting that the sector’s challenge is quality and efficiency rather than explosive growth. McKinsey &amp; Company (2024) likewise argues that life insurers are searching for relevance beyond traditional products. The line is therefore large and fund-generating, but not the strongest source of future growth.</w:t>
      </w:r>
    </w:p>
    <w:p>
      <w:pPr>
        <w:ind w:firstLine="480"/>
        <w:jc w:val="both"/>
      </w:pPr>
      <w:r>
        <w:rPr>
          <w:rFonts w:ascii="Times New Roman" w:hAnsi="Times New Roman" w:eastAsia="Times New Roman"/>
          <w:sz w:val="24"/>
        </w:rPr>
        <w:t>Ping An and CPIC have moved further into health and retirement ecosystem monetisation, which implies that China Life’s clearest edge still lies in the traditional life core (China Pacific Insurance (Group) Co., Ltd., 2025; Ping An Insurance (Group) Company of China, Ltd., 2025a, 2025b). The counterargument is that weaker interest-rate conditions or lower agent productivity could reduce cash-generation quality. Cash Cow should therefore mean disciplined defence, not assumed stability.</w:t>
      </w:r>
    </w:p>
    <w:p>
      <w:pPr>
        <w:ind w:firstLine="480"/>
        <w:jc w:val="both"/>
      </w:pPr>
      <w:r>
        <w:rPr>
          <w:rFonts w:ascii="Times New Roman" w:hAnsi="Times New Roman" w:eastAsia="Times New Roman"/>
          <w:sz w:val="24"/>
        </w:rPr>
        <w:t>### Annuity Insurance: Star Candidate</w:t>
      </w:r>
    </w:p>
    <w:p>
      <w:pPr>
        <w:ind w:firstLine="480"/>
        <w:jc w:val="both"/>
      </w:pPr>
      <w:r>
        <w:rPr>
          <w:rFonts w:ascii="Times New Roman" w:hAnsi="Times New Roman" w:eastAsia="Times New Roman"/>
          <w:sz w:val="24"/>
        </w:rPr>
        <w:t>Annuity insurance is the strongest Star candidate. China Life states that its third-pillar private pension and commercial annuity insurance businesses ranked first in the industry and that commercial annuity insurance accelerated in 2024 (China Life Insurance Company Limited, 2025a). In late 2024, the State Council highlighted commercial insurance annuities as a core third-pillar category and confirmed that the personal pension system would be implemented nationwide from December 15, 2024 (State Council of the People’s Republic of China, 2024a, 2024b). Population ageing and the underdevelopment of the third pillar continue to support retirement-related demand (Chen et al., 2023; Cousins, 2025).</w:t>
      </w:r>
    </w:p>
    <w:p>
      <w:pPr>
        <w:ind w:firstLine="480"/>
        <w:jc w:val="both"/>
      </w:pPr>
      <w:r>
        <w:rPr>
          <w:rFonts w:ascii="Times New Roman" w:hAnsi="Times New Roman" w:eastAsia="Times New Roman"/>
          <w:sz w:val="24"/>
        </w:rPr>
        <w:t>The label remains conditional rather than absolute. A full Star would require clearer external proof of both growth and relative strength. China Life appears strongest at the product level, but Ping An and CPIC have moved further across the wider retirement-service chain (China Pacific Insurance (Group) Co., Ltd., 2025; Ping An Insurance (Group) Company of China, Ltd., 2025a, 2025b). If pension demand does not convert into profitable cross-sell and retention, annuity insurance may behave more like a Question Mark than a Star. It is persuasive for resource ordering, but not strong enough to remove the qualifier.</w:t>
      </w:r>
    </w:p>
    <w:p>
      <w:pPr>
        <w:ind w:firstLine="480"/>
        <w:jc w:val="both"/>
      </w:pPr>
      <w:r>
        <w:rPr>
          <w:rFonts w:ascii="Times New Roman" w:hAnsi="Times New Roman" w:eastAsia="Times New Roman"/>
          <w:sz w:val="24"/>
        </w:rPr>
        <w:t>### Health Insurance: Question Mark</w:t>
      </w:r>
    </w:p>
    <w:p>
      <w:pPr>
        <w:ind w:firstLine="480"/>
        <w:jc w:val="both"/>
      </w:pPr>
      <w:r>
        <w:rPr>
          <w:rFonts w:ascii="Times New Roman" w:hAnsi="Times New Roman" w:eastAsia="Times New Roman"/>
          <w:sz w:val="24"/>
        </w:rPr>
        <w:t>Health insurance is best classified as a Question Mark. Commercial health insurance, LTCI-related insurance and supplementary medical protection remain structurally important as China ages and public-private care arrangements deepen (Choi et al., 2018; Cousins, 2025; Yang et al., 2023; Zhu &amp; Bai, 2025). Recent policy direction reinforces the opportunity: the National Healthcare Security Administration (2026) describes long-term care insurance as moving from pilot exploration to accelerated institutionalisation. In 2024 China Life participated in over 200 supplementary major medical expense programs, 80 long-term care insurance programs and over 130 city-customised commercial medical insurance projects (China Life Insurance Company Limited, 2025a). The growth logic is therefore strong.</w:t>
      </w:r>
    </w:p>
    <w:p>
      <w:pPr>
        <w:ind w:firstLine="480"/>
        <w:jc w:val="both"/>
      </w:pPr>
      <w:r>
        <w:rPr>
          <w:rFonts w:ascii="Times New Roman" w:hAnsi="Times New Roman" w:eastAsia="Times New Roman"/>
          <w:sz w:val="24"/>
        </w:rPr>
        <w:t>What this does not prove is stable dominance or attractive economics. Choi et al. (2018) show that the Chinese commercial health insurance market is shaped by claims management, product design and policy conditions as much as by scale. Regulation points in the same direction: a 2025 NFRA notice on city commercial medical insurance stressed precise pricing, commercial sustainability and actuarial discipline rather than growth at any cost (State Council of the People’s Republic of China, 2025). If underwriting, claims management and digital pricing improve, health insurance could evolve toward Star status; if they do not, growth may create complexity rather than value.</w:t>
      </w:r>
    </w:p>
    <w:p>
      <w:pPr>
        <w:ind w:firstLine="480"/>
        <w:jc w:val="both"/>
      </w:pPr>
      <w:r>
        <w:rPr>
          <w:rFonts w:ascii="Times New Roman" w:hAnsi="Times New Roman" w:eastAsia="Times New Roman"/>
          <w:sz w:val="24"/>
        </w:rPr>
        <w:t>### Accident Insurance: Dog-Like Support Line</w:t>
      </w:r>
    </w:p>
    <w:p>
      <w:pPr>
        <w:ind w:firstLine="480"/>
        <w:jc w:val="both"/>
      </w:pPr>
      <w:r>
        <w:rPr>
          <w:rFonts w:ascii="Times New Roman" w:hAnsi="Times New Roman" w:eastAsia="Times New Roman"/>
          <w:sz w:val="24"/>
        </w:rPr>
        <w:t>Accident insurance is the weakest line in BCG terms and is best treated as a Dog-like support line. China Life still offers it as part of a wider protection portfolio, which gives it value for bundling, cross-selling and inclusion (China Life Insurance Company Limited, 2025a, 2025b). However, there is little evidence of stand-alone growth leadership or clear differentiation relative to life, annuity or health insurance. Its strategic role is mainly portfolio completion rather than independent value creation. The main counterargument is that accident cover could deserve more attention if bundling economics were shown to lift retention and cross-sell materially. For now, the label is mainly useful for resource ordering rather than precise stand-alone valuation.</w:t>
      </w:r>
    </w:p>
    <w:p>
      <w:pPr>
        <w:pStyle w:val="Heading1"/>
        <w:jc w:val="left"/>
      </w:pPr>
      <w:r>
        <w:rPr>
          <w:rFonts w:ascii="Times New Roman" w:hAnsi="Times New Roman" w:eastAsia="Times New Roman"/>
          <w:b/>
          <w:sz w:val="24"/>
        </w:rPr>
        <w:t>3. Ansoff Matrix Analysis and Ranked Strategic Choice</w:t>
      </w:r>
    </w:p>
    <w:p>
      <w:pPr>
        <w:ind w:firstLine="480"/>
        <w:jc w:val="both"/>
      </w:pPr>
      <w:r>
        <w:rPr>
          <w:rFonts w:ascii="Times New Roman" w:hAnsi="Times New Roman" w:eastAsia="Times New Roman"/>
          <w:sz w:val="24"/>
        </w:rPr>
        <w:t>The Ansoff Matrix is more useful here as a ranking framework than as four parallel descriptions. In this case, market penetration means existing products to existing customers, product development means adapted or new insurance solutions for the existing customer base, market development means extending current capabilities into new customer segments and adjacent demand spaces, and related diversification means moving into service adjacencies beyond the core insurance product. Each option is judged against the same criteria: strategic fit with the BCG outcome, likely return horizon, capability stretch and implementation burden. On that basis, the most defensible ranking is: 1) product development, 2) related diversification, 3) market development, and 4) market penetration.</w:t>
      </w:r>
    </w:p>
    <w:p>
      <w:pPr>
        <w:ind w:firstLine="480"/>
        <w:jc w:val="both"/>
      </w:pPr>
      <w:r>
        <w:rPr>
          <w:rFonts w:ascii="Times New Roman" w:hAnsi="Times New Roman" w:eastAsia="Times New Roman"/>
          <w:sz w:val="24"/>
        </w:rPr>
        <w:t>### 1. Product Development</w:t>
      </w:r>
    </w:p>
    <w:p>
      <w:pPr>
        <w:ind w:firstLine="480"/>
        <w:jc w:val="both"/>
      </w:pPr>
      <w:r>
        <w:rPr>
          <w:rFonts w:ascii="Times New Roman" w:hAnsi="Times New Roman" w:eastAsia="Times New Roman"/>
          <w:sz w:val="24"/>
        </w:rPr>
        <w:t>Product development ranks first because it offers the strongest near-term return with the lowest capability stretch. China Life already upgraded more than 100 products in 2024 and can use its installed customer base, channels and trust to extend annuity and health offerings (China Life Insurance Company Limited, 2025a). McKinsey &amp; Company (2024) argues that life carriers need new avenues beyond traditional life and that customer experience has become a competitive differentiator. Product development is therefore the strongest immediate route because China Life’s main bottleneck is product-service relevance within an already extensive customer base, not lack of reach.</w:t>
      </w:r>
    </w:p>
    <w:p>
      <w:pPr>
        <w:ind w:firstLine="480"/>
        <w:jc w:val="both"/>
      </w:pPr>
      <w:r>
        <w:rPr>
          <w:rFonts w:ascii="Times New Roman" w:hAnsi="Times New Roman" w:eastAsia="Times New Roman"/>
          <w:sz w:val="24"/>
        </w:rPr>
        <w:t>### 2. Related Diversification</w:t>
      </w:r>
    </w:p>
    <w:p>
      <w:pPr>
        <w:ind w:firstLine="480"/>
        <w:jc w:val="both"/>
      </w:pPr>
      <w:r>
        <w:rPr>
          <w:rFonts w:ascii="Times New Roman" w:hAnsi="Times New Roman" w:eastAsia="Times New Roman"/>
          <w:sz w:val="24"/>
        </w:rPr>
        <w:t>Related diversification ranks second because the strategic upside is high, but the return horizon is longer and the implementation burden is materially higher. The senior-care ecosystem belongs here. It cuts across annuity and health insurance, yet it can deepen customer value and differentiate retirement-related offerings. China Life already has 17 institutional elderly-care projects across 14 cities and three senior-care product lines in operation (China Life Insurance Company Limited, 2025a, 2025b). It ranks below product development not because the upside is lower, but because capability stretch, capital exposure and payback uncertainty are materially higher. China Life’s most defensible path is therefore not to copy Ping An’s ecosystem model wholesale, but to extend from scale-and-pension strength into selectively integrated service adjacencies.</w:t>
      </w:r>
    </w:p>
    <w:p>
      <w:pPr>
        <w:ind w:firstLine="480"/>
        <w:jc w:val="both"/>
      </w:pPr>
      <w:r>
        <w:rPr>
          <w:rFonts w:ascii="Times New Roman" w:hAnsi="Times New Roman" w:eastAsia="Times New Roman"/>
          <w:sz w:val="24"/>
        </w:rPr>
        <w:t>### 3. Market Development</w:t>
      </w:r>
    </w:p>
    <w:p>
      <w:pPr>
        <w:ind w:firstLine="480"/>
        <w:jc w:val="both"/>
      </w:pPr>
      <w:r>
        <w:rPr>
          <w:rFonts w:ascii="Times New Roman" w:hAnsi="Times New Roman" w:eastAsia="Times New Roman"/>
          <w:sz w:val="24"/>
        </w:rPr>
        <w:t>Market development ranks third because the fit is selective and the likely return is moderate. China Life can broaden reach into pre-retirement households, older customers, community channels, bancassurance-led retirement segments and public-private health schemes. Yet the company is already deeply embedded in the domestic market. The issue is whether current capabilities can be adapted to new segments without margin dilution.</w:t>
      </w:r>
    </w:p>
    <w:p>
      <w:pPr>
        <w:ind w:firstLine="480"/>
        <w:jc w:val="both"/>
      </w:pPr>
      <w:r>
        <w:rPr>
          <w:rFonts w:ascii="Times New Roman" w:hAnsi="Times New Roman" w:eastAsia="Times New Roman"/>
          <w:sz w:val="24"/>
        </w:rPr>
        <w:t>### 4. Market Penetration</w:t>
      </w:r>
    </w:p>
    <w:p>
      <w:pPr>
        <w:ind w:firstLine="480"/>
        <w:jc w:val="both"/>
      </w:pPr>
      <w:r>
        <w:rPr>
          <w:rFonts w:ascii="Times New Roman" w:hAnsi="Times New Roman" w:eastAsia="Times New Roman"/>
          <w:sz w:val="24"/>
        </w:rPr>
        <w:t>Market penetration ranks fourth because its implementation burden is lowest, but its strategic upside is also lowest. It can improve the Cash Cow through better retention, agent productivity and claims service. Even so, penetration remains defensive rather than transformative.</w:t>
      </w:r>
    </w:p>
    <w:p>
      <w:pPr>
        <w:pStyle w:val="Heading1"/>
        <w:jc w:val="left"/>
      </w:pPr>
      <w:r>
        <w:rPr>
          <w:rFonts w:ascii="Times New Roman" w:hAnsi="Times New Roman" w:eastAsia="Times New Roman"/>
          <w:b/>
          <w:sz w:val="24"/>
        </w:rPr>
        <w:t>4. Strategic Direction, Organisational Learning and Action Priorities</w:t>
      </w:r>
    </w:p>
    <w:p>
      <w:pPr>
        <w:ind w:firstLine="480"/>
        <w:jc w:val="both"/>
      </w:pPr>
      <w:r>
        <w:rPr>
          <w:rFonts w:ascii="Times New Roman" w:hAnsi="Times New Roman" w:eastAsia="Times New Roman"/>
          <w:sz w:val="24"/>
        </w:rPr>
        <w:t>The combined logic of BCG and Ansoff produces a clear recommendation. China Life should defend life insurance as a Cash Cow and funding base; prioritise annuity and health product development; use the senior-care ecosystem as a related-diversification platform rather than a stand-alone growth line; and avoid overcommitting capital to accident insurance beyond its bundling and inclusion role.</w:t>
      </w:r>
    </w:p>
    <w:p>
      <w:pPr>
        <w:ind w:firstLine="480"/>
        <w:jc w:val="both"/>
      </w:pPr>
      <w:r>
        <w:rPr>
          <w:rFonts w:ascii="Times New Roman" w:hAnsi="Times New Roman" w:eastAsia="Times New Roman"/>
          <w:sz w:val="24"/>
        </w:rPr>
        <w:t>Organisational learning is not just an implementation detail here; it helps shape the strategy itself. Barney (1991) suggests that resources matter only when firms can deploy them in ways rivals cannot easily match. China Life’s scale, brand and sales force are valuable, but they do not automatically create a defensible retirement-care ecosystem. The company therefore needs learning loops to test whether annuity-health bundles improve retention and conversion, whether claims and service data sharpen pricing discipline, and whether partnership delivery can create value without asset-heavy drag. Strong evidence should deepen commitment, mixed evidence should keep pilots capped, and weak evidence should redirect spending back toward product-led growth.</w:t>
      </w:r>
    </w:p>
    <w:p>
      <w:pPr>
        <w:ind w:firstLine="480"/>
        <w:jc w:val="both"/>
      </w:pPr>
      <w:r>
        <w:rPr>
          <w:rFonts w:ascii="Times New Roman" w:hAnsi="Times New Roman" w:eastAsia="Times New Roman"/>
          <w:sz w:val="24"/>
        </w:rPr>
        <w:t>The action plan should be phased. In the next 12 months, China Life should treat the life insurance core as a performance engine, cap capital reallocation to ecosystem pilots, and standardise customer data, claims workflows and service referral processes in cities where it already operates elderly-care projects. From months 12 to 24, it should pilot bundled propositions combining annuity, health cover and care-related services, while a selected cohort of agents receives retirement-planning certification and the China Life App integrates claims and targeted cross-sell prompts. From months 24 to 36, rollout should scale only if evidence improves.</w:t>
      </w:r>
    </w:p>
    <w:p>
      <w:pPr>
        <w:ind w:firstLine="480"/>
        <w:jc w:val="both"/>
      </w:pPr>
      <w:r>
        <w:rPr>
          <w:rFonts w:ascii="Times New Roman" w:hAnsi="Times New Roman" w:eastAsia="Times New Roman"/>
          <w:sz w:val="24"/>
        </w:rPr>
        <w:t>KPIs should be explicit. Core metrics should include value of one year’s sales, persistence, agent productivity and capital efficiency. Ecosystem pilots should be judged through cross-sell ratio, ecosystem-linked new business, elderly retention, claims turnaround time and customer satisfaction. Go/no-go rules should also be clear: if core efficiency fails to improve after 12 months, expansionary initiatives should pause; if ecosystem pilots show only partial improvement, rollout should remain limited and partnership-led; if channel integration improves digital usage but damages agent productivity, incentives should be redesigned before wider rollout.</w:t>
      </w:r>
    </w:p>
    <w:p>
      <w:pPr>
        <w:pStyle w:val="Heading1"/>
        <w:jc w:val="left"/>
      </w:pPr>
      <w:r>
        <w:rPr>
          <w:rFonts w:ascii="Times New Roman" w:hAnsi="Times New Roman" w:eastAsia="Times New Roman"/>
          <w:b/>
          <w:sz w:val="24"/>
        </w:rPr>
        <w:t>5. Conclusion</w:t>
      </w:r>
    </w:p>
    <w:p>
      <w:pPr>
        <w:ind w:firstLine="480"/>
        <w:jc w:val="both"/>
      </w:pPr>
      <w:r>
        <w:rPr>
          <w:rFonts w:ascii="Times New Roman" w:hAnsi="Times New Roman" w:eastAsia="Times New Roman"/>
          <w:sz w:val="24"/>
        </w:rPr>
        <w:t>In BCG terms, life insurance is the clearest Cash Cow, annuity insurance is the strongest Star candidate, health insurance is a Question Mark, and accident insurance should remain a Dog-like support line. The senior-care ecosystem should not be treated as a separate BCG unit, but as a related-diversification platform under Ansoff.</w:t>
      </w:r>
    </w:p>
    <w:p>
      <w:pPr>
        <w:ind w:firstLine="480"/>
        <w:jc w:val="both"/>
      </w:pPr>
      <w:r>
        <w:rPr>
          <w:rFonts w:ascii="Times New Roman" w:hAnsi="Times New Roman" w:eastAsia="Times New Roman"/>
          <w:sz w:val="24"/>
        </w:rPr>
        <w:t>The strategic direction is therefore clear. China Life should prioritise annuity and health product development now because that is the highest-fit and shortest-horizon growth route; invest in senior-care diversification selectively and on a partnership-led basis; defend but not overfund the mature life core; and avoid treating accident insurance as an independent growth engine. This is not the lowest-risk path, but it is the most defensible one under China Life’s resource profile and the current structure of the Chinese life insurance market.</w:t>
      </w:r>
    </w:p>
    <w:p>
      <w:pPr>
        <w:pStyle w:val="Heading1"/>
        <w:jc w:val="left"/>
      </w:pPr>
      <w:r>
        <w:rPr>
          <w:rFonts w:ascii="Times New Roman" w:hAnsi="Times New Roman" w:eastAsia="Times New Roman"/>
          <w:b/>
          <w:sz w:val="24"/>
        </w:rPr>
        <w:t>References</w:t>
      </w:r>
    </w:p>
    <w:p>
      <w:pPr>
        <w:ind w:left="720" w:hanging="720"/>
        <w:jc w:val="both"/>
      </w:pPr>
      <w:r>
        <w:rPr>
          <w:rFonts w:ascii="Times New Roman" w:hAnsi="Times New Roman" w:eastAsia="Times New Roman"/>
          <w:sz w:val="24"/>
        </w:rPr>
        <w:t xml:space="preserve">Ansoff, H. I. (1957). Strategies for diversification. </w:t>
      </w:r>
      <w:r>
        <w:rPr>
          <w:rFonts w:ascii="Times New Roman" w:hAnsi="Times New Roman" w:eastAsia="Times New Roman"/>
          <w:i/>
          <w:sz w:val="24"/>
        </w:rPr>
        <w:t>Harvard Business Review, 35</w:t>
      </w:r>
      <w:r>
        <w:rPr>
          <w:rFonts w:ascii="Times New Roman" w:hAnsi="Times New Roman" w:eastAsia="Times New Roman"/>
          <w:sz w:val="24"/>
        </w:rPr>
        <w:t>(5), 113-124.</w:t>
      </w:r>
    </w:p>
    <w:p>
      <w:pPr>
        <w:ind w:left="720" w:hanging="720"/>
        <w:jc w:val="both"/>
      </w:pPr>
      <w:r>
        <w:rPr>
          <w:rFonts w:ascii="Times New Roman" w:hAnsi="Times New Roman" w:eastAsia="Times New Roman"/>
          <w:sz w:val="24"/>
        </w:rPr>
        <w:t xml:space="preserve">Armstrong, J. S., &amp; Brodie, R. J. (1994). Effects of portfolio planning methods on decision making: Experimental results. </w:t>
      </w:r>
      <w:r>
        <w:rPr>
          <w:rFonts w:ascii="Times New Roman" w:hAnsi="Times New Roman" w:eastAsia="Times New Roman"/>
          <w:i/>
          <w:sz w:val="24"/>
        </w:rPr>
        <w:t>International Journal of Research in Marketing, 11</w:t>
      </w:r>
      <w:r>
        <w:rPr>
          <w:rFonts w:ascii="Times New Roman" w:hAnsi="Times New Roman" w:eastAsia="Times New Roman"/>
          <w:sz w:val="24"/>
        </w:rPr>
        <w:t>(1), 73-84. https://doi.org/10.1016/0167-8116(94)90035-3</w:t>
      </w:r>
    </w:p>
    <w:p>
      <w:pPr>
        <w:ind w:left="720" w:hanging="720"/>
        <w:jc w:val="both"/>
      </w:pPr>
      <w:r>
        <w:rPr>
          <w:rFonts w:ascii="Times New Roman" w:hAnsi="Times New Roman" w:eastAsia="Times New Roman"/>
          <w:sz w:val="24"/>
        </w:rPr>
        <w:t xml:space="preserve">Barney, J. (1991). Firm resources and sustained competitive advantage. </w:t>
      </w:r>
      <w:r>
        <w:rPr>
          <w:rFonts w:ascii="Times New Roman" w:hAnsi="Times New Roman" w:eastAsia="Times New Roman"/>
          <w:i/>
          <w:sz w:val="24"/>
        </w:rPr>
        <w:t>Journal of Management, 17</w:t>
      </w:r>
      <w:r>
        <w:rPr>
          <w:rFonts w:ascii="Times New Roman" w:hAnsi="Times New Roman" w:eastAsia="Times New Roman"/>
          <w:sz w:val="24"/>
        </w:rPr>
        <w:t>(1), 99-120. https://doi.org/10.1177/014920639101700108</w:t>
      </w:r>
    </w:p>
    <w:p>
      <w:pPr>
        <w:ind w:left="720" w:hanging="720"/>
        <w:jc w:val="both"/>
      </w:pPr>
      <w:r>
        <w:rPr>
          <w:rFonts w:ascii="Times New Roman" w:hAnsi="Times New Roman" w:eastAsia="Times New Roman"/>
          <w:sz w:val="24"/>
        </w:rPr>
        <w:t xml:space="preserve">Chen, S., Li, L., Jiao, L., &amp; Wang, C. (2023). Long-term care insurance and the future of healthy aging in China. </w:t>
      </w:r>
      <w:r>
        <w:rPr>
          <w:rFonts w:ascii="Times New Roman" w:hAnsi="Times New Roman" w:eastAsia="Times New Roman"/>
          <w:i/>
          <w:sz w:val="24"/>
        </w:rPr>
        <w:t>Nature Aging, 3</w:t>
      </w:r>
      <w:r>
        <w:rPr>
          <w:rFonts w:ascii="Times New Roman" w:hAnsi="Times New Roman" w:eastAsia="Times New Roman"/>
          <w:sz w:val="24"/>
        </w:rPr>
        <w:t>(12), 1465-1468. https://doi.org/10.1038/s43587-023-00540-9</w:t>
      </w:r>
    </w:p>
    <w:p>
      <w:pPr>
        <w:ind w:left="720" w:hanging="720"/>
        <w:jc w:val="both"/>
      </w:pPr>
      <w:r>
        <w:rPr>
          <w:rFonts w:ascii="Times New Roman" w:hAnsi="Times New Roman" w:eastAsia="Times New Roman"/>
          <w:sz w:val="24"/>
        </w:rPr>
        <w:t>China Insurance Association. (2024, December 31). 2023年度保险公司法人机构经营状况数据解读 [Interpretation of 2023 operating data of legal-entity insurance companies]. https://www.iachina.cn/art/2024/12/31/art_22_108139.html</w:t>
      </w:r>
    </w:p>
    <w:p>
      <w:pPr>
        <w:ind w:left="720" w:hanging="720"/>
        <w:jc w:val="both"/>
      </w:pPr>
      <w:r>
        <w:rPr>
          <w:rFonts w:ascii="Times New Roman" w:hAnsi="Times New Roman" w:eastAsia="Times New Roman"/>
          <w:sz w:val="24"/>
        </w:rPr>
        <w:t>China Insurance Association. (2025, April 27). 中国保险行业协会发布“中国保险业2024年度十件大事” [China Insurance Association releases the top ten events of China’s insurance industry in 2024]. https://www.iachina.cn/art/2025/4/27/art_22_108350.html</w:t>
      </w:r>
    </w:p>
    <w:p>
      <w:pPr>
        <w:ind w:left="720" w:hanging="720"/>
        <w:jc w:val="both"/>
      </w:pPr>
      <w:r>
        <w:rPr>
          <w:rFonts w:ascii="Times New Roman" w:hAnsi="Times New Roman" w:eastAsia="Times New Roman"/>
          <w:sz w:val="24"/>
        </w:rPr>
        <w:t xml:space="preserve">China Life Insurance Company Limited. (2025a, April 23). </w:t>
      </w:r>
      <w:r>
        <w:rPr>
          <w:rFonts w:ascii="Times New Roman" w:hAnsi="Times New Roman" w:eastAsia="Times New Roman"/>
          <w:i/>
          <w:sz w:val="24"/>
        </w:rPr>
        <w:t>Annual report 2024</w:t>
      </w:r>
      <w:r>
        <w:rPr>
          <w:rFonts w:ascii="Times New Roman" w:hAnsi="Times New Roman" w:eastAsia="Times New Roman"/>
          <w:sz w:val="24"/>
        </w:rPr>
        <w:t>. https://www1.hkexnews.hk/listedco/listconews/sehk/2025/0423/2025042300417.pdf</w:t>
      </w:r>
    </w:p>
    <w:p>
      <w:pPr>
        <w:ind w:left="720" w:hanging="720"/>
        <w:jc w:val="both"/>
      </w:pPr>
      <w:r>
        <w:rPr>
          <w:rFonts w:ascii="Times New Roman" w:hAnsi="Times New Roman" w:eastAsia="Times New Roman"/>
          <w:sz w:val="24"/>
        </w:rPr>
        <w:t xml:space="preserve">China Life Insurance Company Limited. (2025b, March 26). </w:t>
      </w:r>
      <w:r>
        <w:rPr>
          <w:rFonts w:ascii="Times New Roman" w:hAnsi="Times New Roman" w:eastAsia="Times New Roman"/>
          <w:i/>
          <w:sz w:val="24"/>
        </w:rPr>
        <w:t>2024 ESG &amp; social responsibility report</w:t>
      </w:r>
      <w:r>
        <w:rPr>
          <w:rFonts w:ascii="Times New Roman" w:hAnsi="Times New Roman" w:eastAsia="Times New Roman"/>
          <w:sz w:val="24"/>
        </w:rPr>
        <w:t>. https://www.e-chinalife.com/upload/resources/file/2025/03/26/1.pdf</w:t>
      </w:r>
    </w:p>
    <w:p>
      <w:pPr>
        <w:ind w:left="720" w:hanging="720"/>
        <w:jc w:val="both"/>
      </w:pPr>
      <w:r>
        <w:rPr>
          <w:rFonts w:ascii="Times New Roman" w:hAnsi="Times New Roman" w:eastAsia="Times New Roman"/>
          <w:sz w:val="24"/>
        </w:rPr>
        <w:t xml:space="preserve">China Pacific Insurance (Group) Co., Ltd. (2025, April 22). </w:t>
      </w:r>
      <w:r>
        <w:rPr>
          <w:rFonts w:ascii="Times New Roman" w:hAnsi="Times New Roman" w:eastAsia="Times New Roman"/>
          <w:i/>
          <w:sz w:val="24"/>
        </w:rPr>
        <w:t>2024 annual report</w:t>
      </w:r>
      <w:r>
        <w:rPr>
          <w:rFonts w:ascii="Times New Roman" w:hAnsi="Times New Roman" w:eastAsia="Times New Roman"/>
          <w:sz w:val="24"/>
        </w:rPr>
        <w:t>. https://www.cpic.com.cn/upload/resources/file/2025/04/22/86279.pdf</w:t>
      </w:r>
    </w:p>
    <w:p>
      <w:pPr>
        <w:ind w:left="720" w:hanging="720"/>
        <w:jc w:val="both"/>
      </w:pPr>
      <w:r>
        <w:rPr>
          <w:rFonts w:ascii="Times New Roman" w:hAnsi="Times New Roman" w:eastAsia="Times New Roman"/>
          <w:sz w:val="24"/>
        </w:rPr>
        <w:t xml:space="preserve">Choi, W. I., Shi, H., Bian, Y., &amp; Hu, H. (2018). Development of commercial health insurance in China: A systematic literature review. </w:t>
      </w:r>
      <w:r>
        <w:rPr>
          <w:rFonts w:ascii="Times New Roman" w:hAnsi="Times New Roman" w:eastAsia="Times New Roman"/>
          <w:i/>
          <w:sz w:val="24"/>
        </w:rPr>
        <w:t>BioMed Research International, 2018</w:t>
      </w:r>
      <w:r>
        <w:rPr>
          <w:rFonts w:ascii="Times New Roman" w:hAnsi="Times New Roman" w:eastAsia="Times New Roman"/>
          <w:sz w:val="24"/>
        </w:rPr>
        <w:t>, Article 3163746. https://doi.org/10.1155/2018/3163746</w:t>
      </w:r>
    </w:p>
    <w:p>
      <w:pPr>
        <w:ind w:left="720" w:hanging="720"/>
        <w:jc w:val="both"/>
      </w:pPr>
      <w:r>
        <w:rPr>
          <w:rFonts w:ascii="Times New Roman" w:hAnsi="Times New Roman" w:eastAsia="Times New Roman"/>
          <w:sz w:val="24"/>
        </w:rPr>
        <w:t xml:space="preserve">Cousins, M. (2025). Developing long-term care insurance in China: A review of structure, impact and future directions. </w:t>
      </w:r>
      <w:r>
        <w:rPr>
          <w:rFonts w:ascii="Times New Roman" w:hAnsi="Times New Roman" w:eastAsia="Times New Roman"/>
          <w:i/>
          <w:sz w:val="24"/>
        </w:rPr>
        <w:t>International Social Security Review, 78</w:t>
      </w:r>
      <w:r>
        <w:rPr>
          <w:rFonts w:ascii="Times New Roman" w:hAnsi="Times New Roman" w:eastAsia="Times New Roman"/>
          <w:sz w:val="24"/>
        </w:rPr>
        <w:t>(1), 83-103. https://doi.org/10.1111/issr.12383</w:t>
      </w:r>
    </w:p>
    <w:p>
      <w:pPr>
        <w:ind w:left="720" w:hanging="720"/>
        <w:jc w:val="both"/>
      </w:pPr>
      <w:r>
        <w:rPr>
          <w:rFonts w:ascii="Times New Roman" w:hAnsi="Times New Roman" w:eastAsia="Times New Roman"/>
          <w:sz w:val="24"/>
        </w:rPr>
        <w:t xml:space="preserve">Day, G. S. (1994). The capabilities of market-driven organizations. </w:t>
      </w:r>
      <w:r>
        <w:rPr>
          <w:rFonts w:ascii="Times New Roman" w:hAnsi="Times New Roman" w:eastAsia="Times New Roman"/>
          <w:i/>
          <w:sz w:val="24"/>
        </w:rPr>
        <w:t>Journal of Marketing, 58</w:t>
      </w:r>
      <w:r>
        <w:rPr>
          <w:rFonts w:ascii="Times New Roman" w:hAnsi="Times New Roman" w:eastAsia="Times New Roman"/>
          <w:sz w:val="24"/>
        </w:rPr>
        <w:t>(4), 37-52. https://doi.org/10.1177/002224299405800404</w:t>
      </w:r>
    </w:p>
    <w:p>
      <w:pPr>
        <w:ind w:left="720" w:hanging="720"/>
        <w:jc w:val="both"/>
      </w:pPr>
      <w:r>
        <w:rPr>
          <w:rFonts w:ascii="Times New Roman" w:hAnsi="Times New Roman" w:eastAsia="Times New Roman"/>
          <w:sz w:val="24"/>
        </w:rPr>
        <w:t xml:space="preserve">McKinsey &amp; Company. (2024, November 19). </w:t>
      </w:r>
      <w:r>
        <w:rPr>
          <w:rFonts w:ascii="Times New Roman" w:hAnsi="Times New Roman" w:eastAsia="Times New Roman"/>
          <w:i/>
          <w:sz w:val="24"/>
        </w:rPr>
        <w:t>Global insurance report 2025: Growth and relevance in life and beyond</w:t>
      </w:r>
      <w:r>
        <w:rPr>
          <w:rFonts w:ascii="Times New Roman" w:hAnsi="Times New Roman" w:eastAsia="Times New Roman"/>
          <w:sz w:val="24"/>
        </w:rPr>
        <w:t>. https://www.mckinsey.com/industries/financial-services/our-insights/global-insurance-report-2025-growth-and-relevance-in-life-and-beyond</w:t>
      </w:r>
    </w:p>
    <w:p>
      <w:pPr>
        <w:ind w:left="720" w:hanging="720"/>
        <w:jc w:val="both"/>
      </w:pPr>
      <w:r>
        <w:rPr>
          <w:rFonts w:ascii="Times New Roman" w:hAnsi="Times New Roman" w:eastAsia="Times New Roman"/>
          <w:sz w:val="24"/>
        </w:rPr>
        <w:t xml:space="preserve">Morrison, A., &amp; Wensley, R. (1991). Boxing up or boxed in? A short history of the Boston Consulting Group share/growth matrix. </w:t>
      </w:r>
      <w:r>
        <w:rPr>
          <w:rFonts w:ascii="Times New Roman" w:hAnsi="Times New Roman" w:eastAsia="Times New Roman"/>
          <w:i/>
          <w:sz w:val="24"/>
        </w:rPr>
        <w:t>Journal of Marketing Management, 7</w:t>
      </w:r>
      <w:r>
        <w:rPr>
          <w:rFonts w:ascii="Times New Roman" w:hAnsi="Times New Roman" w:eastAsia="Times New Roman"/>
          <w:sz w:val="24"/>
        </w:rPr>
        <w:t>(2), 105-129. https://doi.org/10.1080/0267257X.1991.9964145</w:t>
      </w:r>
    </w:p>
    <w:p>
      <w:pPr>
        <w:ind w:left="720" w:hanging="720"/>
        <w:jc w:val="both"/>
      </w:pPr>
      <w:r>
        <w:rPr>
          <w:rFonts w:ascii="Times New Roman" w:hAnsi="Times New Roman" w:eastAsia="Times New Roman"/>
          <w:sz w:val="24"/>
        </w:rPr>
        <w:t>National Healthcare Security Administration. (2026, March 30). 加快建立长期护理保险制度 [Accelerating the establishment of the long-term care insurance system]. https://www.nhsa.gov.cn/art/2026/3/30/art_14_20061.html</w:t>
      </w:r>
    </w:p>
    <w:p>
      <w:pPr>
        <w:ind w:left="720" w:hanging="720"/>
        <w:jc w:val="both"/>
      </w:pPr>
      <w:r>
        <w:rPr>
          <w:rFonts w:ascii="Times New Roman" w:hAnsi="Times New Roman" w:eastAsia="Times New Roman"/>
          <w:sz w:val="24"/>
        </w:rPr>
        <w:t xml:space="preserve">Ping An Insurance (Group) Company of China, Ltd. (2025a, March 19). </w:t>
      </w:r>
      <w:r>
        <w:rPr>
          <w:rFonts w:ascii="Times New Roman" w:hAnsi="Times New Roman" w:eastAsia="Times New Roman"/>
          <w:i/>
          <w:sz w:val="24"/>
        </w:rPr>
        <w:t>Annual report 2024</w:t>
      </w:r>
      <w:r>
        <w:rPr>
          <w:rFonts w:ascii="Times New Roman" w:hAnsi="Times New Roman" w:eastAsia="Times New Roman"/>
          <w:sz w:val="24"/>
        </w:rPr>
        <w:t>. https://group.pingan.com/resource/pingan/IR-Docs/2025/pingan-ar24-report.pdf</w:t>
      </w:r>
    </w:p>
    <w:p>
      <w:pPr>
        <w:ind w:left="720" w:hanging="720"/>
        <w:jc w:val="both"/>
      </w:pPr>
      <w:r>
        <w:rPr>
          <w:rFonts w:ascii="Times New Roman" w:hAnsi="Times New Roman" w:eastAsia="Times New Roman"/>
          <w:sz w:val="24"/>
        </w:rPr>
        <w:t xml:space="preserve">Ping An Insurance (Group) Company of China, Ltd. (2025b, April 7). </w:t>
      </w:r>
      <w:r>
        <w:rPr>
          <w:rFonts w:ascii="Times New Roman" w:hAnsi="Times New Roman" w:eastAsia="Times New Roman"/>
          <w:i/>
          <w:sz w:val="24"/>
        </w:rPr>
        <w:t>Ping An releases 2024 sustainability report</w:t>
      </w:r>
      <w:r>
        <w:rPr>
          <w:rFonts w:ascii="Times New Roman" w:hAnsi="Times New Roman" w:eastAsia="Times New Roman"/>
          <w:sz w:val="24"/>
        </w:rPr>
        <w:t>. https://group.pingan.com/media/news/2025/pingan-releases-2024-sustainability-report.html</w:t>
      </w:r>
    </w:p>
    <w:p>
      <w:pPr>
        <w:ind w:left="720" w:hanging="720"/>
        <w:jc w:val="both"/>
      </w:pPr>
      <w:r>
        <w:rPr>
          <w:rFonts w:ascii="Times New Roman" w:hAnsi="Times New Roman" w:eastAsia="Times New Roman"/>
          <w:sz w:val="24"/>
        </w:rPr>
        <w:t>State Council of the People’s Republic of China. (2024a, October 14). 商业保险年金满足多样保障需求 [Commercial insurance annuities meet diverse protection needs]. https://www.gov.cn/zhengce/202410/content_6979770.htm</w:t>
      </w:r>
    </w:p>
    <w:p>
      <w:pPr>
        <w:ind w:left="720" w:hanging="720"/>
        <w:jc w:val="both"/>
      </w:pPr>
      <w:r>
        <w:rPr>
          <w:rFonts w:ascii="Times New Roman" w:hAnsi="Times New Roman" w:eastAsia="Times New Roman"/>
          <w:sz w:val="24"/>
        </w:rPr>
        <w:t>State Council of the People’s Republic of China. (2024b, December 13). 个人养老金制度在全国范围内实施 [Personal pension system implemented nationwide]. https://www.gov.cn/lianbo/bumen/202412/content_6992312.htm</w:t>
      </w:r>
    </w:p>
    <w:p>
      <w:pPr>
        <w:ind w:left="720" w:hanging="720"/>
        <w:jc w:val="both"/>
      </w:pPr>
      <w:r>
        <w:rPr>
          <w:rFonts w:ascii="Times New Roman" w:hAnsi="Times New Roman" w:eastAsia="Times New Roman"/>
          <w:sz w:val="24"/>
        </w:rPr>
        <w:t>State Council of the People’s Republic of China. (2025, July 31). 金融监管总局发文要求城市商业医疗险坚守商业属性规范精准定价 [NFRA requires city commercial medical insurance to follow commercial discipline and precise pricing]. https://www.gov.cn/lianbo/bumen/202507/content_7034687.htm</w:t>
      </w:r>
    </w:p>
    <w:p>
      <w:pPr>
        <w:ind w:left="720" w:hanging="720"/>
        <w:jc w:val="both"/>
      </w:pPr>
      <w:r>
        <w:rPr>
          <w:rFonts w:ascii="Times New Roman" w:hAnsi="Times New Roman" w:eastAsia="Times New Roman"/>
          <w:sz w:val="24"/>
        </w:rPr>
        <w:t xml:space="preserve">Teece, D. J. (2007). Explicating dynamic capabilities: The nature and microfoundations of (sustainable) enterprise performance. </w:t>
      </w:r>
      <w:r>
        <w:rPr>
          <w:rFonts w:ascii="Times New Roman" w:hAnsi="Times New Roman" w:eastAsia="Times New Roman"/>
          <w:i/>
          <w:sz w:val="24"/>
        </w:rPr>
        <w:t>Strategic Management Journal, 28</w:t>
      </w:r>
      <w:r>
        <w:rPr>
          <w:rFonts w:ascii="Times New Roman" w:hAnsi="Times New Roman" w:eastAsia="Times New Roman"/>
          <w:sz w:val="24"/>
        </w:rPr>
        <w:t>(13), 1319-1350. https://doi.org/10.1002/smj.640</w:t>
      </w:r>
    </w:p>
    <w:p>
      <w:pPr>
        <w:ind w:left="720" w:hanging="720"/>
        <w:jc w:val="both"/>
      </w:pPr>
      <w:r>
        <w:rPr>
          <w:rFonts w:ascii="Times New Roman" w:hAnsi="Times New Roman" w:eastAsia="Times New Roman"/>
          <w:sz w:val="24"/>
        </w:rPr>
        <w:t xml:space="preserve">Yang, S., Guo, D., Bi, S., &amp; Chen, Y. (2023). The effect of long-term care insurance on healthcare utilization of middle-aged and older adults: Evidence from China Health and Retirement Longitudinal Study. </w:t>
      </w:r>
      <w:r>
        <w:rPr>
          <w:rFonts w:ascii="Times New Roman" w:hAnsi="Times New Roman" w:eastAsia="Times New Roman"/>
          <w:i/>
          <w:sz w:val="24"/>
        </w:rPr>
        <w:t>International Journal for Equity in Health, 22</w:t>
      </w:r>
      <w:r>
        <w:rPr>
          <w:rFonts w:ascii="Times New Roman" w:hAnsi="Times New Roman" w:eastAsia="Times New Roman"/>
          <w:sz w:val="24"/>
        </w:rPr>
        <w:t>, Article 228. https://doi.org/10.1186/s12939-023-02042-x</w:t>
      </w:r>
    </w:p>
    <w:p>
      <w:pPr>
        <w:ind w:left="720" w:hanging="720"/>
        <w:jc w:val="both"/>
      </w:pPr>
      <w:r>
        <w:rPr>
          <w:rFonts w:ascii="Times New Roman" w:hAnsi="Times New Roman" w:eastAsia="Times New Roman"/>
          <w:sz w:val="24"/>
        </w:rPr>
        <w:t xml:space="preserve">Zhu, Z., &amp; Bai, C. (2025). Assessing the role of long-term care insurance in shaping living arrangements of older adults: Evidence from China. </w:t>
      </w:r>
      <w:r>
        <w:rPr>
          <w:rFonts w:ascii="Times New Roman" w:hAnsi="Times New Roman" w:eastAsia="Times New Roman"/>
          <w:i/>
          <w:sz w:val="24"/>
        </w:rPr>
        <w:t>Health Policy and Planning, 40</w:t>
      </w:r>
      <w:r>
        <w:rPr>
          <w:rFonts w:ascii="Times New Roman" w:hAnsi="Times New Roman" w:eastAsia="Times New Roman"/>
          <w:sz w:val="24"/>
        </w:rPr>
        <w:t>(6), 641-651. https://doi.org/10.1093/heapol/czaf027</w:t>
      </w:r>
    </w:p>
    <w:p>
      <w:pPr>
        <w:pStyle w:val="Heading1"/>
        <w:jc w:val="left"/>
      </w:pPr>
      <w:r>
        <w:rPr>
          <w:rFonts w:ascii="Times New Roman" w:hAnsi="Times New Roman" w:eastAsia="Times New Roman"/>
          <w:b/>
          <w:sz w:val="24"/>
        </w:rPr>
        <w:t>Appendix A. BCG Proxy Matrix</w:t>
      </w:r>
    </w:p>
    <w:tbl>
      <w:tblPr>
        <w:tblStyle w:val="TableGrid"/>
        <w:tblW w:type="auto" w:w="0"/>
        <w:jc w:val="center"/>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left"/>
            </w:pPr>
            <w:r/>
            <w:r>
              <w:rPr>
                <w:rFonts w:ascii="Times New Roman" w:hAnsi="Times New Roman" w:eastAsia="Times New Roman"/>
                <w:b/>
                <w:sz w:val="20"/>
              </w:rPr>
              <w:t>Business Unit</w:t>
            </w:r>
          </w:p>
        </w:tc>
        <w:tc>
          <w:tcPr>
            <w:tcW w:type="dxa" w:w="1234"/>
          </w:tcPr>
          <w:p>
            <w:pPr>
              <w:jc w:val="left"/>
            </w:pPr>
            <w:r/>
            <w:r>
              <w:rPr>
                <w:rFonts w:ascii="Times New Roman" w:hAnsi="Times New Roman" w:eastAsia="Times New Roman"/>
                <w:b/>
                <w:sz w:val="20"/>
              </w:rPr>
              <w:t>Scale / Share Evidence</w:t>
            </w:r>
          </w:p>
        </w:tc>
        <w:tc>
          <w:tcPr>
            <w:tcW w:type="dxa" w:w="1234"/>
          </w:tcPr>
          <w:p>
            <w:pPr>
              <w:jc w:val="left"/>
            </w:pPr>
            <w:r/>
            <w:r>
              <w:rPr>
                <w:rFonts w:ascii="Times New Roman" w:hAnsi="Times New Roman" w:eastAsia="Times New Roman"/>
                <w:b/>
                <w:sz w:val="20"/>
              </w:rPr>
              <w:t>Growth Evidence</w:t>
            </w:r>
          </w:p>
        </w:tc>
        <w:tc>
          <w:tcPr>
            <w:tcW w:type="dxa" w:w="1234"/>
          </w:tcPr>
          <w:p>
            <w:pPr>
              <w:jc w:val="left"/>
            </w:pPr>
            <w:r/>
            <w:r>
              <w:rPr>
                <w:rFonts w:ascii="Times New Roman" w:hAnsi="Times New Roman" w:eastAsia="Times New Roman"/>
                <w:b/>
                <w:sz w:val="20"/>
              </w:rPr>
              <w:t>BCG Position</w:t>
            </w:r>
          </w:p>
        </w:tc>
        <w:tc>
          <w:tcPr>
            <w:tcW w:type="dxa" w:w="1234"/>
          </w:tcPr>
          <w:p>
            <w:pPr>
              <w:jc w:val="left"/>
            </w:pPr>
            <w:r/>
            <w:r>
              <w:rPr>
                <w:rFonts w:ascii="Times New Roman" w:hAnsi="Times New Roman" w:eastAsia="Times New Roman"/>
                <w:b/>
                <w:sz w:val="20"/>
              </w:rPr>
              <w:t>Classification Confidence</w:t>
            </w:r>
          </w:p>
        </w:tc>
        <w:tc>
          <w:tcPr>
            <w:tcW w:type="dxa" w:w="1234"/>
          </w:tcPr>
          <w:p>
            <w:pPr>
              <w:jc w:val="left"/>
            </w:pPr>
            <w:r/>
            <w:r>
              <w:rPr>
                <w:rFonts w:ascii="Times New Roman" w:hAnsi="Times New Roman" w:eastAsia="Times New Roman"/>
                <w:b/>
                <w:sz w:val="20"/>
              </w:rPr>
              <w:t>Why Not Another Quadrant?</w:t>
            </w:r>
          </w:p>
        </w:tc>
        <w:tc>
          <w:tcPr>
            <w:tcW w:type="dxa" w:w="1234"/>
          </w:tcPr>
          <w:p>
            <w:pPr>
              <w:jc w:val="left"/>
            </w:pPr>
            <w:r/>
            <w:r>
              <w:rPr>
                <w:rFonts w:ascii="Times New Roman" w:hAnsi="Times New Roman" w:eastAsia="Times New Roman"/>
                <w:b/>
                <w:sz w:val="20"/>
              </w:rPr>
              <w:t>Main Caveat</w:t>
            </w:r>
          </w:p>
        </w:tc>
      </w:tr>
      <w:tr>
        <w:tc>
          <w:tcPr>
            <w:tcW w:type="dxa" w:w="1234"/>
          </w:tcPr>
          <w:p>
            <w:pPr>
              <w:jc w:val="left"/>
            </w:pPr>
            <w:r/>
            <w:r>
              <w:rPr>
                <w:rFonts w:ascii="Times New Roman" w:hAnsi="Times New Roman" w:eastAsia="Times New Roman"/>
                <w:sz w:val="20"/>
              </w:rPr>
              <w:t>Life insurance</w:t>
            </w:r>
          </w:p>
        </w:tc>
        <w:tc>
          <w:tcPr>
            <w:tcW w:type="dxa" w:w="1234"/>
          </w:tcPr>
          <w:p>
            <w:pPr>
              <w:jc w:val="left"/>
            </w:pPr>
            <w:r/>
            <w:r>
              <w:rPr>
                <w:rFonts w:ascii="Times New Roman" w:hAnsi="Times New Roman" w:eastAsia="Times New Roman"/>
                <w:sz w:val="20"/>
              </w:rPr>
              <w:t>China Life is a leading life insurer with industry-leading scale and embedded value</w:t>
            </w:r>
          </w:p>
        </w:tc>
        <w:tc>
          <w:tcPr>
            <w:tcW w:type="dxa" w:w="1234"/>
          </w:tcPr>
          <w:p>
            <w:pPr>
              <w:jc w:val="left"/>
            </w:pPr>
            <w:r/>
            <w:r>
              <w:rPr>
                <w:rFonts w:ascii="Times New Roman" w:hAnsi="Times New Roman" w:eastAsia="Times New Roman"/>
                <w:sz w:val="20"/>
              </w:rPr>
              <w:t>Mature line; external industry data show emphasis on persistency and quality rather than explosive growth</w:t>
            </w:r>
          </w:p>
        </w:tc>
        <w:tc>
          <w:tcPr>
            <w:tcW w:type="dxa" w:w="1234"/>
          </w:tcPr>
          <w:p>
            <w:pPr>
              <w:jc w:val="left"/>
            </w:pPr>
            <w:r/>
            <w:r>
              <w:rPr>
                <w:rFonts w:ascii="Times New Roman" w:hAnsi="Times New Roman" w:eastAsia="Times New Roman"/>
                <w:sz w:val="20"/>
              </w:rPr>
              <w:t>Cash Cow</w:t>
            </w:r>
          </w:p>
        </w:tc>
        <w:tc>
          <w:tcPr>
            <w:tcW w:type="dxa" w:w="1234"/>
          </w:tcPr>
          <w:p>
            <w:pPr>
              <w:jc w:val="left"/>
            </w:pPr>
            <w:r/>
            <w:r>
              <w:rPr>
                <w:rFonts w:ascii="Times New Roman" w:hAnsi="Times New Roman" w:eastAsia="Times New Roman"/>
                <w:sz w:val="20"/>
              </w:rPr>
              <w:t>High</w:t>
            </w:r>
          </w:p>
        </w:tc>
        <w:tc>
          <w:tcPr>
            <w:tcW w:type="dxa" w:w="1234"/>
          </w:tcPr>
          <w:p>
            <w:pPr>
              <w:jc w:val="left"/>
            </w:pPr>
            <w:r/>
            <w:r>
              <w:rPr>
                <w:rFonts w:ascii="Times New Roman" w:hAnsi="Times New Roman" w:eastAsia="Times New Roman"/>
                <w:sz w:val="20"/>
              </w:rPr>
              <w:t>Not a Star because growth is lower than annuity and health-related adjacencies; not a Question Mark because relative position is already strong</w:t>
            </w:r>
          </w:p>
        </w:tc>
        <w:tc>
          <w:tcPr>
            <w:tcW w:type="dxa" w:w="1234"/>
          </w:tcPr>
          <w:p>
            <w:pPr>
              <w:jc w:val="left"/>
            </w:pPr>
            <w:r/>
            <w:r>
              <w:rPr>
                <w:rFonts w:ascii="Times New Roman" w:hAnsi="Times New Roman" w:eastAsia="Times New Roman"/>
                <w:sz w:val="20"/>
              </w:rPr>
              <w:t>Cash generation could weaken if productivity or capital quality deteriorates</w:t>
            </w:r>
          </w:p>
        </w:tc>
      </w:tr>
      <w:tr>
        <w:tc>
          <w:tcPr>
            <w:tcW w:type="dxa" w:w="1234"/>
          </w:tcPr>
          <w:p>
            <w:pPr>
              <w:jc w:val="left"/>
            </w:pPr>
            <w:r/>
            <w:r>
              <w:rPr>
                <w:rFonts w:ascii="Times New Roman" w:hAnsi="Times New Roman" w:eastAsia="Times New Roman"/>
                <w:sz w:val="20"/>
              </w:rPr>
              <w:t>Annuity / pension insurance</w:t>
            </w:r>
          </w:p>
        </w:tc>
        <w:tc>
          <w:tcPr>
            <w:tcW w:type="dxa" w:w="1234"/>
          </w:tcPr>
          <w:p>
            <w:pPr>
              <w:jc w:val="left"/>
            </w:pPr>
            <w:r/>
            <w:r>
              <w:rPr>
                <w:rFonts w:ascii="Times New Roman" w:hAnsi="Times New Roman" w:eastAsia="Times New Roman"/>
                <w:sz w:val="20"/>
              </w:rPr>
              <w:t>China Life states that third-pillar private pension and commercial annuity businesses ranked first in the industry</w:t>
            </w:r>
          </w:p>
        </w:tc>
        <w:tc>
          <w:tcPr>
            <w:tcW w:type="dxa" w:w="1234"/>
          </w:tcPr>
          <w:p>
            <w:pPr>
              <w:jc w:val="left"/>
            </w:pPr>
            <w:r/>
            <w:r>
              <w:rPr>
                <w:rFonts w:ascii="Times New Roman" w:hAnsi="Times New Roman" w:eastAsia="Times New Roman"/>
                <w:sz w:val="20"/>
              </w:rPr>
              <w:t>Strong demographic and policy tailwinds from ageing, pension reform and nationwide personal pension implementation</w:t>
            </w:r>
          </w:p>
        </w:tc>
        <w:tc>
          <w:tcPr>
            <w:tcW w:type="dxa" w:w="1234"/>
          </w:tcPr>
          <w:p>
            <w:pPr>
              <w:jc w:val="left"/>
            </w:pPr>
            <w:r/>
            <w:r>
              <w:rPr>
                <w:rFonts w:ascii="Times New Roman" w:hAnsi="Times New Roman" w:eastAsia="Times New Roman"/>
                <w:sz w:val="20"/>
              </w:rPr>
              <w:t>Star candidate</w:t>
            </w:r>
          </w:p>
        </w:tc>
        <w:tc>
          <w:tcPr>
            <w:tcW w:type="dxa" w:w="1234"/>
          </w:tcPr>
          <w:p>
            <w:pPr>
              <w:jc w:val="left"/>
            </w:pPr>
            <w:r/>
            <w:r>
              <w:rPr>
                <w:rFonts w:ascii="Times New Roman" w:hAnsi="Times New Roman" w:eastAsia="Times New Roman"/>
                <w:sz w:val="20"/>
              </w:rPr>
              <w:t>Medium</w:t>
            </w:r>
          </w:p>
        </w:tc>
        <w:tc>
          <w:tcPr>
            <w:tcW w:type="dxa" w:w="1234"/>
          </w:tcPr>
          <w:p>
            <w:pPr>
              <w:jc w:val="left"/>
            </w:pPr>
            <w:r/>
            <w:r>
              <w:rPr>
                <w:rFonts w:ascii="Times New Roman" w:hAnsi="Times New Roman" w:eastAsia="Times New Roman"/>
                <w:sz w:val="20"/>
              </w:rPr>
              <w:t>Not a full Star because relative strength is clearer at product level than across the wider retirement value chain</w:t>
            </w:r>
          </w:p>
        </w:tc>
        <w:tc>
          <w:tcPr>
            <w:tcW w:type="dxa" w:w="1234"/>
          </w:tcPr>
          <w:p>
            <w:pPr>
              <w:jc w:val="left"/>
            </w:pPr>
            <w:r/>
            <w:r>
              <w:rPr>
                <w:rFonts w:ascii="Times New Roman" w:hAnsi="Times New Roman" w:eastAsia="Times New Roman"/>
                <w:sz w:val="20"/>
              </w:rPr>
              <w:t>Competitor ecosystems may capture service value outside the product line</w:t>
            </w:r>
          </w:p>
        </w:tc>
      </w:tr>
      <w:tr>
        <w:tc>
          <w:tcPr>
            <w:tcW w:type="dxa" w:w="1234"/>
          </w:tcPr>
          <w:p>
            <w:pPr>
              <w:jc w:val="left"/>
            </w:pPr>
            <w:r/>
            <w:r>
              <w:rPr>
                <w:rFonts w:ascii="Times New Roman" w:hAnsi="Times New Roman" w:eastAsia="Times New Roman"/>
                <w:sz w:val="20"/>
              </w:rPr>
              <w:t>Health / LTCI-related insurance</w:t>
            </w:r>
          </w:p>
        </w:tc>
        <w:tc>
          <w:tcPr>
            <w:tcW w:type="dxa" w:w="1234"/>
          </w:tcPr>
          <w:p>
            <w:pPr>
              <w:jc w:val="left"/>
            </w:pPr>
            <w:r/>
            <w:r>
              <w:rPr>
                <w:rFonts w:ascii="Times New Roman" w:hAnsi="Times New Roman" w:eastAsia="Times New Roman"/>
                <w:sz w:val="20"/>
              </w:rPr>
              <w:t>China Life operates at scale in supplementary medical, LTCI and city-customised health programs</w:t>
            </w:r>
          </w:p>
        </w:tc>
        <w:tc>
          <w:tcPr>
            <w:tcW w:type="dxa" w:w="1234"/>
          </w:tcPr>
          <w:p>
            <w:pPr>
              <w:jc w:val="left"/>
            </w:pPr>
            <w:r/>
            <w:r>
              <w:rPr>
                <w:rFonts w:ascii="Times New Roman" w:hAnsi="Times New Roman" w:eastAsia="Times New Roman"/>
                <w:sz w:val="20"/>
              </w:rPr>
              <w:t>Strong demand growth, but uncertain profitability and claims discipline</w:t>
            </w:r>
          </w:p>
        </w:tc>
        <w:tc>
          <w:tcPr>
            <w:tcW w:type="dxa" w:w="1234"/>
          </w:tcPr>
          <w:p>
            <w:pPr>
              <w:jc w:val="left"/>
            </w:pPr>
            <w:r/>
            <w:r>
              <w:rPr>
                <w:rFonts w:ascii="Times New Roman" w:hAnsi="Times New Roman" w:eastAsia="Times New Roman"/>
                <w:sz w:val="20"/>
              </w:rPr>
              <w:t>Question Mark</w:t>
            </w:r>
          </w:p>
        </w:tc>
        <w:tc>
          <w:tcPr>
            <w:tcW w:type="dxa" w:w="1234"/>
          </w:tcPr>
          <w:p>
            <w:pPr>
              <w:jc w:val="left"/>
            </w:pPr>
            <w:r/>
            <w:r>
              <w:rPr>
                <w:rFonts w:ascii="Times New Roman" w:hAnsi="Times New Roman" w:eastAsia="Times New Roman"/>
                <w:sz w:val="20"/>
              </w:rPr>
              <w:t>Medium</w:t>
            </w:r>
          </w:p>
        </w:tc>
        <w:tc>
          <w:tcPr>
            <w:tcW w:type="dxa" w:w="1234"/>
          </w:tcPr>
          <w:p>
            <w:pPr>
              <w:jc w:val="left"/>
            </w:pPr>
            <w:r/>
            <w:r>
              <w:rPr>
                <w:rFonts w:ascii="Times New Roman" w:hAnsi="Times New Roman" w:eastAsia="Times New Roman"/>
                <w:sz w:val="20"/>
              </w:rPr>
              <w:t>Not a Star because scale does not prove profitable dominance; not a Dog because growth and policy relevance remain high</w:t>
            </w:r>
          </w:p>
        </w:tc>
        <w:tc>
          <w:tcPr>
            <w:tcW w:type="dxa" w:w="1234"/>
          </w:tcPr>
          <w:p>
            <w:pPr>
              <w:jc w:val="left"/>
            </w:pPr>
            <w:r/>
            <w:r>
              <w:rPr>
                <w:rFonts w:ascii="Times New Roman" w:hAnsi="Times New Roman" w:eastAsia="Times New Roman"/>
                <w:sz w:val="20"/>
              </w:rPr>
              <w:t>Economics depend heavily on claims, pricing and regulation</w:t>
            </w:r>
          </w:p>
        </w:tc>
      </w:tr>
      <w:tr>
        <w:tc>
          <w:tcPr>
            <w:tcW w:type="dxa" w:w="1234"/>
          </w:tcPr>
          <w:p>
            <w:pPr>
              <w:jc w:val="left"/>
            </w:pPr>
            <w:r/>
            <w:r>
              <w:rPr>
                <w:rFonts w:ascii="Times New Roman" w:hAnsi="Times New Roman" w:eastAsia="Times New Roman"/>
                <w:sz w:val="20"/>
              </w:rPr>
              <w:t>Accident / short-term protection</w:t>
            </w:r>
          </w:p>
        </w:tc>
        <w:tc>
          <w:tcPr>
            <w:tcW w:type="dxa" w:w="1234"/>
          </w:tcPr>
          <w:p>
            <w:pPr>
              <w:jc w:val="left"/>
            </w:pPr>
            <w:r/>
            <w:r>
              <w:rPr>
                <w:rFonts w:ascii="Times New Roman" w:hAnsi="Times New Roman" w:eastAsia="Times New Roman"/>
                <w:sz w:val="20"/>
              </w:rPr>
              <w:t>Included in the company’s protection portfolio, but weak stand-alone evidence of growth leadership or differentiation</w:t>
            </w:r>
          </w:p>
        </w:tc>
        <w:tc>
          <w:tcPr>
            <w:tcW w:type="dxa" w:w="1234"/>
          </w:tcPr>
          <w:p>
            <w:pPr>
              <w:jc w:val="left"/>
            </w:pPr>
            <w:r/>
            <w:r>
              <w:rPr>
                <w:rFonts w:ascii="Times New Roman" w:hAnsi="Times New Roman" w:eastAsia="Times New Roman"/>
                <w:sz w:val="20"/>
              </w:rPr>
              <w:t>Limited structural growth signal compared with other lines</w:t>
            </w:r>
          </w:p>
        </w:tc>
        <w:tc>
          <w:tcPr>
            <w:tcW w:type="dxa" w:w="1234"/>
          </w:tcPr>
          <w:p>
            <w:pPr>
              <w:jc w:val="left"/>
            </w:pPr>
            <w:r/>
            <w:r>
              <w:rPr>
                <w:rFonts w:ascii="Times New Roman" w:hAnsi="Times New Roman" w:eastAsia="Times New Roman"/>
                <w:sz w:val="20"/>
              </w:rPr>
              <w:t>Dog-like support line</w:t>
            </w:r>
          </w:p>
        </w:tc>
        <w:tc>
          <w:tcPr>
            <w:tcW w:type="dxa" w:w="1234"/>
          </w:tcPr>
          <w:p>
            <w:pPr>
              <w:jc w:val="left"/>
            </w:pPr>
            <w:r/>
            <w:r>
              <w:rPr>
                <w:rFonts w:ascii="Times New Roman" w:hAnsi="Times New Roman" w:eastAsia="Times New Roman"/>
                <w:sz w:val="20"/>
              </w:rPr>
              <w:t>Low</w:t>
            </w:r>
          </w:p>
        </w:tc>
        <w:tc>
          <w:tcPr>
            <w:tcW w:type="dxa" w:w="1234"/>
          </w:tcPr>
          <w:p>
            <w:pPr>
              <w:jc w:val="left"/>
            </w:pPr>
            <w:r/>
            <w:r>
              <w:rPr>
                <w:rFonts w:ascii="Times New Roman" w:hAnsi="Times New Roman" w:eastAsia="Times New Roman"/>
                <w:sz w:val="20"/>
              </w:rPr>
              <w:t>Not fully discarded because it supports bundling, inclusion and cross-selling</w:t>
            </w:r>
          </w:p>
        </w:tc>
        <w:tc>
          <w:tcPr>
            <w:tcW w:type="dxa" w:w="1234"/>
          </w:tcPr>
          <w:p>
            <w:pPr>
              <w:jc w:val="left"/>
            </w:pPr>
            <w:r/>
            <w:r>
              <w:rPr>
                <w:rFonts w:ascii="Times New Roman" w:hAnsi="Times New Roman" w:eastAsia="Times New Roman"/>
                <w:sz w:val="20"/>
              </w:rPr>
              <w:t>The classification is mainly for resource ordering, not precise stand-alone valuation</w:t>
            </w:r>
          </w:p>
        </w:tc>
      </w:tr>
    </w:tbl>
    <w:p/>
    <w:p>
      <w:pPr>
        <w:pStyle w:val="Heading1"/>
        <w:jc w:val="left"/>
      </w:pPr>
      <w:r>
        <w:rPr>
          <w:rFonts w:ascii="Times New Roman" w:hAnsi="Times New Roman" w:eastAsia="Times New Roman"/>
          <w:b/>
          <w:sz w:val="24"/>
        </w:rPr>
        <w:t>Appendix B. Ansoff Ranking</w:t>
      </w:r>
    </w:p>
    <w:tbl>
      <w:tblPr>
        <w:tblStyle w:val="TableGrid"/>
        <w:tblW w:type="auto" w:w="0"/>
        <w:jc w:val="center"/>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left"/>
            </w:pPr>
            <w:r/>
            <w:r>
              <w:rPr>
                <w:rFonts w:ascii="Times New Roman" w:hAnsi="Times New Roman" w:eastAsia="Times New Roman"/>
                <w:b/>
                <w:sz w:val="20"/>
              </w:rPr>
              <w:t>Ansoff Option</w:t>
            </w:r>
          </w:p>
        </w:tc>
        <w:tc>
          <w:tcPr>
            <w:tcW w:type="dxa" w:w="1234"/>
          </w:tcPr>
          <w:p>
            <w:pPr>
              <w:jc w:val="left"/>
            </w:pPr>
            <w:r/>
            <w:r>
              <w:rPr>
                <w:rFonts w:ascii="Times New Roman" w:hAnsi="Times New Roman" w:eastAsia="Times New Roman"/>
                <w:b/>
                <w:sz w:val="20"/>
              </w:rPr>
              <w:t>Matrix Logic</w:t>
            </w:r>
          </w:p>
        </w:tc>
        <w:tc>
          <w:tcPr>
            <w:tcW w:type="dxa" w:w="1234"/>
          </w:tcPr>
          <w:p>
            <w:pPr>
              <w:jc w:val="left"/>
            </w:pPr>
            <w:r/>
            <w:r>
              <w:rPr>
                <w:rFonts w:ascii="Times New Roman" w:hAnsi="Times New Roman" w:eastAsia="Times New Roman"/>
                <w:b/>
                <w:sz w:val="20"/>
              </w:rPr>
              <w:t>Strategic Fit with BCG Results</w:t>
            </w:r>
          </w:p>
        </w:tc>
        <w:tc>
          <w:tcPr>
            <w:tcW w:type="dxa" w:w="1234"/>
          </w:tcPr>
          <w:p>
            <w:pPr>
              <w:jc w:val="left"/>
            </w:pPr>
            <w:r/>
            <w:r>
              <w:rPr>
                <w:rFonts w:ascii="Times New Roman" w:hAnsi="Times New Roman" w:eastAsia="Times New Roman"/>
                <w:b/>
                <w:sz w:val="20"/>
              </w:rPr>
              <w:t>Return Horizon</w:t>
            </w:r>
          </w:p>
        </w:tc>
        <w:tc>
          <w:tcPr>
            <w:tcW w:type="dxa" w:w="1234"/>
          </w:tcPr>
          <w:p>
            <w:pPr>
              <w:jc w:val="left"/>
            </w:pPr>
            <w:r/>
            <w:r>
              <w:rPr>
                <w:rFonts w:ascii="Times New Roman" w:hAnsi="Times New Roman" w:eastAsia="Times New Roman"/>
                <w:b/>
                <w:sz w:val="20"/>
              </w:rPr>
              <w:t>Implementation Burden</w:t>
            </w:r>
          </w:p>
        </w:tc>
        <w:tc>
          <w:tcPr>
            <w:tcW w:type="dxa" w:w="1234"/>
          </w:tcPr>
          <w:p>
            <w:pPr>
              <w:jc w:val="left"/>
            </w:pPr>
            <w:r/>
            <w:r>
              <w:rPr>
                <w:rFonts w:ascii="Times New Roman" w:hAnsi="Times New Roman" w:eastAsia="Times New Roman"/>
                <w:b/>
                <w:sz w:val="20"/>
              </w:rPr>
              <w:t>Priority Rationale</w:t>
            </w:r>
          </w:p>
        </w:tc>
        <w:tc>
          <w:tcPr>
            <w:tcW w:type="dxa" w:w="1234"/>
          </w:tcPr>
          <w:p>
            <w:pPr>
              <w:jc w:val="left"/>
            </w:pPr>
            <w:r/>
            <w:r>
              <w:rPr>
                <w:rFonts w:ascii="Times New Roman" w:hAnsi="Times New Roman" w:eastAsia="Times New Roman"/>
                <w:b/>
                <w:sz w:val="20"/>
              </w:rPr>
              <w:t>Final Priority</w:t>
            </w:r>
          </w:p>
        </w:tc>
      </w:tr>
      <w:tr>
        <w:tc>
          <w:tcPr>
            <w:tcW w:type="dxa" w:w="1234"/>
          </w:tcPr>
          <w:p>
            <w:pPr>
              <w:jc w:val="left"/>
            </w:pPr>
            <w:r/>
            <w:r>
              <w:rPr>
                <w:rFonts w:ascii="Times New Roman" w:hAnsi="Times New Roman" w:eastAsia="Times New Roman"/>
                <w:sz w:val="20"/>
              </w:rPr>
              <w:t>Product development</w:t>
            </w:r>
          </w:p>
        </w:tc>
        <w:tc>
          <w:tcPr>
            <w:tcW w:type="dxa" w:w="1234"/>
          </w:tcPr>
          <w:p>
            <w:pPr>
              <w:jc w:val="left"/>
            </w:pPr>
            <w:r/>
            <w:r>
              <w:rPr>
                <w:rFonts w:ascii="Times New Roman" w:hAnsi="Times New Roman" w:eastAsia="Times New Roman"/>
                <w:sz w:val="20"/>
              </w:rPr>
              <w:t>New or adapted products for the existing customer base</w:t>
            </w:r>
          </w:p>
        </w:tc>
        <w:tc>
          <w:tcPr>
            <w:tcW w:type="dxa" w:w="1234"/>
          </w:tcPr>
          <w:p>
            <w:pPr>
              <w:jc w:val="left"/>
            </w:pPr>
            <w:r/>
            <w:r>
              <w:rPr>
                <w:rFonts w:ascii="Times New Roman" w:hAnsi="Times New Roman" w:eastAsia="Times New Roman"/>
                <w:sz w:val="20"/>
              </w:rPr>
              <w:t>Strongest fit with annuity and health opportunities while using existing channels and customer base</w:t>
            </w:r>
          </w:p>
        </w:tc>
        <w:tc>
          <w:tcPr>
            <w:tcW w:type="dxa" w:w="1234"/>
          </w:tcPr>
          <w:p>
            <w:pPr>
              <w:jc w:val="left"/>
            </w:pPr>
            <w:r/>
            <w:r>
              <w:rPr>
                <w:rFonts w:ascii="Times New Roman" w:hAnsi="Times New Roman" w:eastAsia="Times New Roman"/>
                <w:sz w:val="20"/>
              </w:rPr>
              <w:t>Short</w:t>
            </w:r>
          </w:p>
        </w:tc>
        <w:tc>
          <w:tcPr>
            <w:tcW w:type="dxa" w:w="1234"/>
          </w:tcPr>
          <w:p>
            <w:pPr>
              <w:jc w:val="left"/>
            </w:pPr>
            <w:r/>
            <w:r>
              <w:rPr>
                <w:rFonts w:ascii="Times New Roman" w:hAnsi="Times New Roman" w:eastAsia="Times New Roman"/>
                <w:sz w:val="20"/>
              </w:rPr>
              <w:t>Moderate</w:t>
            </w:r>
          </w:p>
        </w:tc>
        <w:tc>
          <w:tcPr>
            <w:tcW w:type="dxa" w:w="1234"/>
          </w:tcPr>
          <w:p>
            <w:pPr>
              <w:jc w:val="left"/>
            </w:pPr>
            <w:r/>
            <w:r>
              <w:rPr>
                <w:rFonts w:ascii="Times New Roman" w:hAnsi="Times New Roman" w:eastAsia="Times New Roman"/>
                <w:sz w:val="20"/>
              </w:rPr>
              <w:t>Best near-term return with the lowest capability stretch</w:t>
            </w:r>
          </w:p>
        </w:tc>
        <w:tc>
          <w:tcPr>
            <w:tcW w:type="dxa" w:w="1234"/>
          </w:tcPr>
          <w:p>
            <w:pPr>
              <w:jc w:val="left"/>
            </w:pPr>
            <w:r/>
            <w:r>
              <w:rPr>
                <w:rFonts w:ascii="Times New Roman" w:hAnsi="Times New Roman" w:eastAsia="Times New Roman"/>
                <w:sz w:val="20"/>
              </w:rPr>
              <w:t>1</w:t>
            </w:r>
          </w:p>
        </w:tc>
      </w:tr>
      <w:tr>
        <w:tc>
          <w:tcPr>
            <w:tcW w:type="dxa" w:w="1234"/>
          </w:tcPr>
          <w:p>
            <w:pPr>
              <w:jc w:val="left"/>
            </w:pPr>
            <w:r/>
            <w:r>
              <w:rPr>
                <w:rFonts w:ascii="Times New Roman" w:hAnsi="Times New Roman" w:eastAsia="Times New Roman"/>
                <w:sz w:val="20"/>
              </w:rPr>
              <w:t>Related diversification</w:t>
            </w:r>
          </w:p>
        </w:tc>
        <w:tc>
          <w:tcPr>
            <w:tcW w:type="dxa" w:w="1234"/>
          </w:tcPr>
          <w:p>
            <w:pPr>
              <w:jc w:val="left"/>
            </w:pPr>
            <w:r/>
            <w:r>
              <w:rPr>
                <w:rFonts w:ascii="Times New Roman" w:hAnsi="Times New Roman" w:eastAsia="Times New Roman"/>
                <w:sz w:val="20"/>
              </w:rPr>
              <w:t>New service adjacency beyond the core insurance offering</w:t>
            </w:r>
          </w:p>
        </w:tc>
        <w:tc>
          <w:tcPr>
            <w:tcW w:type="dxa" w:w="1234"/>
          </w:tcPr>
          <w:p>
            <w:pPr>
              <w:jc w:val="left"/>
            </w:pPr>
            <w:r/>
            <w:r>
              <w:rPr>
                <w:rFonts w:ascii="Times New Roman" w:hAnsi="Times New Roman" w:eastAsia="Times New Roman"/>
                <w:sz w:val="20"/>
              </w:rPr>
              <w:t>Supports annuity and health through senior-care and service adjacencies</w:t>
            </w:r>
          </w:p>
        </w:tc>
        <w:tc>
          <w:tcPr>
            <w:tcW w:type="dxa" w:w="1234"/>
          </w:tcPr>
          <w:p>
            <w:pPr>
              <w:jc w:val="left"/>
            </w:pPr>
            <w:r/>
            <w:r>
              <w:rPr>
                <w:rFonts w:ascii="Times New Roman" w:hAnsi="Times New Roman" w:eastAsia="Times New Roman"/>
                <w:sz w:val="20"/>
              </w:rPr>
              <w:t>Longer</w:t>
            </w:r>
          </w:p>
        </w:tc>
        <w:tc>
          <w:tcPr>
            <w:tcW w:type="dxa" w:w="1234"/>
          </w:tcPr>
          <w:p>
            <w:pPr>
              <w:jc w:val="left"/>
            </w:pPr>
            <w:r/>
            <w:r>
              <w:rPr>
                <w:rFonts w:ascii="Times New Roman" w:hAnsi="Times New Roman" w:eastAsia="Times New Roman"/>
                <w:sz w:val="20"/>
              </w:rPr>
              <w:t>High</w:t>
            </w:r>
          </w:p>
        </w:tc>
        <w:tc>
          <w:tcPr>
            <w:tcW w:type="dxa" w:w="1234"/>
          </w:tcPr>
          <w:p>
            <w:pPr>
              <w:jc w:val="left"/>
            </w:pPr>
            <w:r/>
            <w:r>
              <w:rPr>
                <w:rFonts w:ascii="Times New Roman" w:hAnsi="Times New Roman" w:eastAsia="Times New Roman"/>
                <w:sz w:val="20"/>
              </w:rPr>
              <w:t>High upside, but capability stretch, capital exposure and payback uncertainty are materially higher</w:t>
            </w:r>
          </w:p>
        </w:tc>
        <w:tc>
          <w:tcPr>
            <w:tcW w:type="dxa" w:w="1234"/>
          </w:tcPr>
          <w:p>
            <w:pPr>
              <w:jc w:val="left"/>
            </w:pPr>
            <w:r/>
            <w:r>
              <w:rPr>
                <w:rFonts w:ascii="Times New Roman" w:hAnsi="Times New Roman" w:eastAsia="Times New Roman"/>
                <w:sz w:val="20"/>
              </w:rPr>
              <w:t>2</w:t>
            </w:r>
          </w:p>
        </w:tc>
      </w:tr>
      <w:tr>
        <w:tc>
          <w:tcPr>
            <w:tcW w:type="dxa" w:w="1234"/>
          </w:tcPr>
          <w:p>
            <w:pPr>
              <w:jc w:val="left"/>
            </w:pPr>
            <w:r/>
            <w:r>
              <w:rPr>
                <w:rFonts w:ascii="Times New Roman" w:hAnsi="Times New Roman" w:eastAsia="Times New Roman"/>
                <w:sz w:val="20"/>
              </w:rPr>
              <w:t>Market development</w:t>
            </w:r>
          </w:p>
        </w:tc>
        <w:tc>
          <w:tcPr>
            <w:tcW w:type="dxa" w:w="1234"/>
          </w:tcPr>
          <w:p>
            <w:pPr>
              <w:jc w:val="left"/>
            </w:pPr>
            <w:r/>
            <w:r>
              <w:rPr>
                <w:rFonts w:ascii="Times New Roman" w:hAnsi="Times New Roman" w:eastAsia="Times New Roman"/>
                <w:sz w:val="20"/>
              </w:rPr>
              <w:t>Existing capabilities into new customer segments and adjacent demand spaces</w:t>
            </w:r>
          </w:p>
        </w:tc>
        <w:tc>
          <w:tcPr>
            <w:tcW w:type="dxa" w:w="1234"/>
          </w:tcPr>
          <w:p>
            <w:pPr>
              <w:jc w:val="left"/>
            </w:pPr>
            <w:r/>
            <w:r>
              <w:rPr>
                <w:rFonts w:ascii="Times New Roman" w:hAnsi="Times New Roman" w:eastAsia="Times New Roman"/>
                <w:sz w:val="20"/>
              </w:rPr>
              <w:t>Useful for selected customer segments and public-private schemes</w:t>
            </w:r>
          </w:p>
        </w:tc>
        <w:tc>
          <w:tcPr>
            <w:tcW w:type="dxa" w:w="1234"/>
          </w:tcPr>
          <w:p>
            <w:pPr>
              <w:jc w:val="left"/>
            </w:pPr>
            <w:r/>
            <w:r>
              <w:rPr>
                <w:rFonts w:ascii="Times New Roman" w:hAnsi="Times New Roman" w:eastAsia="Times New Roman"/>
                <w:sz w:val="20"/>
              </w:rPr>
              <w:t>Medium</w:t>
            </w:r>
          </w:p>
        </w:tc>
        <w:tc>
          <w:tcPr>
            <w:tcW w:type="dxa" w:w="1234"/>
          </w:tcPr>
          <w:p>
            <w:pPr>
              <w:jc w:val="left"/>
            </w:pPr>
            <w:r/>
            <w:r>
              <w:rPr>
                <w:rFonts w:ascii="Times New Roman" w:hAnsi="Times New Roman" w:eastAsia="Times New Roman"/>
                <w:sz w:val="20"/>
              </w:rPr>
              <w:t>Moderate</w:t>
            </w:r>
          </w:p>
        </w:tc>
        <w:tc>
          <w:tcPr>
            <w:tcW w:type="dxa" w:w="1234"/>
          </w:tcPr>
          <w:p>
            <w:pPr>
              <w:jc w:val="left"/>
            </w:pPr>
            <w:r/>
            <w:r>
              <w:rPr>
                <w:rFonts w:ascii="Times New Roman" w:hAnsi="Times New Roman" w:eastAsia="Times New Roman"/>
                <w:sz w:val="20"/>
              </w:rPr>
              <w:t>Relevant, but less differentiating than product-led growth</w:t>
            </w:r>
          </w:p>
        </w:tc>
        <w:tc>
          <w:tcPr>
            <w:tcW w:type="dxa" w:w="1234"/>
          </w:tcPr>
          <w:p>
            <w:pPr>
              <w:jc w:val="left"/>
            </w:pPr>
            <w:r/>
            <w:r>
              <w:rPr>
                <w:rFonts w:ascii="Times New Roman" w:hAnsi="Times New Roman" w:eastAsia="Times New Roman"/>
                <w:sz w:val="20"/>
              </w:rPr>
              <w:t>3</w:t>
            </w:r>
          </w:p>
        </w:tc>
      </w:tr>
      <w:tr>
        <w:tc>
          <w:tcPr>
            <w:tcW w:type="dxa" w:w="1234"/>
          </w:tcPr>
          <w:p>
            <w:pPr>
              <w:jc w:val="left"/>
            </w:pPr>
            <w:r/>
            <w:r>
              <w:rPr>
                <w:rFonts w:ascii="Times New Roman" w:hAnsi="Times New Roman" w:eastAsia="Times New Roman"/>
                <w:sz w:val="20"/>
              </w:rPr>
              <w:t>Market penetration</w:t>
            </w:r>
          </w:p>
        </w:tc>
        <w:tc>
          <w:tcPr>
            <w:tcW w:type="dxa" w:w="1234"/>
          </w:tcPr>
          <w:p>
            <w:pPr>
              <w:jc w:val="left"/>
            </w:pPr>
            <w:r/>
            <w:r>
              <w:rPr>
                <w:rFonts w:ascii="Times New Roman" w:hAnsi="Times New Roman" w:eastAsia="Times New Roman"/>
                <w:sz w:val="20"/>
              </w:rPr>
              <w:t>Existing products to existing customers</w:t>
            </w:r>
          </w:p>
        </w:tc>
        <w:tc>
          <w:tcPr>
            <w:tcW w:type="dxa" w:w="1234"/>
          </w:tcPr>
          <w:p>
            <w:pPr>
              <w:jc w:val="left"/>
            </w:pPr>
            <w:r/>
            <w:r>
              <w:rPr>
                <w:rFonts w:ascii="Times New Roman" w:hAnsi="Times New Roman" w:eastAsia="Times New Roman"/>
                <w:sz w:val="20"/>
              </w:rPr>
              <w:t>Best suited to defending life insurance efficiency and retention</w:t>
            </w:r>
          </w:p>
        </w:tc>
        <w:tc>
          <w:tcPr>
            <w:tcW w:type="dxa" w:w="1234"/>
          </w:tcPr>
          <w:p>
            <w:pPr>
              <w:jc w:val="left"/>
            </w:pPr>
            <w:r/>
            <w:r>
              <w:rPr>
                <w:rFonts w:ascii="Times New Roman" w:hAnsi="Times New Roman" w:eastAsia="Times New Roman"/>
                <w:sz w:val="20"/>
              </w:rPr>
              <w:t>Short</w:t>
            </w:r>
          </w:p>
        </w:tc>
        <w:tc>
          <w:tcPr>
            <w:tcW w:type="dxa" w:w="1234"/>
          </w:tcPr>
          <w:p>
            <w:pPr>
              <w:jc w:val="left"/>
            </w:pPr>
            <w:r/>
            <w:r>
              <w:rPr>
                <w:rFonts w:ascii="Times New Roman" w:hAnsi="Times New Roman" w:eastAsia="Times New Roman"/>
                <w:sz w:val="20"/>
              </w:rPr>
              <w:t>Low</w:t>
            </w:r>
          </w:p>
        </w:tc>
        <w:tc>
          <w:tcPr>
            <w:tcW w:type="dxa" w:w="1234"/>
          </w:tcPr>
          <w:p>
            <w:pPr>
              <w:jc w:val="left"/>
            </w:pPr>
            <w:r/>
            <w:r>
              <w:rPr>
                <w:rFonts w:ascii="Times New Roman" w:hAnsi="Times New Roman" w:eastAsia="Times New Roman"/>
                <w:sz w:val="20"/>
              </w:rPr>
              <w:t>Necessary for core defence, but weakest transformative upside</w:t>
            </w:r>
          </w:p>
        </w:tc>
        <w:tc>
          <w:tcPr>
            <w:tcW w:type="dxa" w:w="1234"/>
          </w:tcPr>
          <w:p>
            <w:pPr>
              <w:jc w:val="left"/>
            </w:pPr>
            <w:r/>
            <w:r>
              <w:rPr>
                <w:rFonts w:ascii="Times New Roman" w:hAnsi="Times New Roman" w:eastAsia="Times New Roman"/>
                <w:sz w:val="20"/>
              </w:rPr>
              <w:t>4</w:t>
            </w:r>
          </w:p>
        </w:tc>
      </w:tr>
    </w:tbl>
    <w:p/>
    <w:p>
      <w:pPr>
        <w:pStyle w:val="Heading1"/>
        <w:jc w:val="left"/>
      </w:pPr>
      <w:r>
        <w:rPr>
          <w:rFonts w:ascii="Times New Roman" w:hAnsi="Times New Roman" w:eastAsia="Times New Roman"/>
          <w:b/>
          <w:sz w:val="24"/>
        </w:rPr>
        <w:t>Appendix C. Action Governance Framework</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tcPr>
          <w:p>
            <w:pPr>
              <w:jc w:val="left"/>
            </w:pPr>
            <w:r/>
            <w:r>
              <w:rPr>
                <w:rFonts w:ascii="Times New Roman" w:hAnsi="Times New Roman" w:eastAsia="Times New Roman"/>
                <w:b/>
                <w:sz w:val="20"/>
              </w:rPr>
              <w:t>Strategic action</w:t>
            </w:r>
          </w:p>
        </w:tc>
        <w:tc>
          <w:tcPr>
            <w:tcW w:type="dxa" w:w="1728"/>
          </w:tcPr>
          <w:p>
            <w:pPr>
              <w:jc w:val="left"/>
            </w:pPr>
            <w:r/>
            <w:r>
              <w:rPr>
                <w:rFonts w:ascii="Times New Roman" w:hAnsi="Times New Roman" w:eastAsia="Times New Roman"/>
                <w:b/>
                <w:sz w:val="20"/>
              </w:rPr>
              <w:t>Owner</w:t>
            </w:r>
          </w:p>
        </w:tc>
        <w:tc>
          <w:tcPr>
            <w:tcW w:type="dxa" w:w="1728"/>
          </w:tcPr>
          <w:p>
            <w:pPr>
              <w:jc w:val="left"/>
            </w:pPr>
            <w:r/>
            <w:r>
              <w:rPr>
                <w:rFonts w:ascii="Times New Roman" w:hAnsi="Times New Roman" w:eastAsia="Times New Roman"/>
                <w:b/>
                <w:sz w:val="20"/>
              </w:rPr>
              <w:t>Delivery mode</w:t>
            </w:r>
          </w:p>
        </w:tc>
        <w:tc>
          <w:tcPr>
            <w:tcW w:type="dxa" w:w="1728"/>
          </w:tcPr>
          <w:p>
            <w:pPr>
              <w:jc w:val="left"/>
            </w:pPr>
            <w:r/>
            <w:r>
              <w:rPr>
                <w:rFonts w:ascii="Times New Roman" w:hAnsi="Times New Roman" w:eastAsia="Times New Roman"/>
                <w:b/>
                <w:sz w:val="20"/>
              </w:rPr>
              <w:t>Go / no-go criteria</w:t>
            </w:r>
          </w:p>
        </w:tc>
        <w:tc>
          <w:tcPr>
            <w:tcW w:type="dxa" w:w="1728"/>
          </w:tcPr>
          <w:p>
            <w:pPr>
              <w:jc w:val="left"/>
            </w:pPr>
            <w:r/>
            <w:r>
              <w:rPr>
                <w:rFonts w:ascii="Times New Roman" w:hAnsi="Times New Roman" w:eastAsia="Times New Roman"/>
                <w:b/>
                <w:sz w:val="20"/>
              </w:rPr>
              <w:t>Key KPI focus</w:t>
            </w:r>
          </w:p>
        </w:tc>
      </w:tr>
      <w:tr>
        <w:tc>
          <w:tcPr>
            <w:tcW w:type="dxa" w:w="1728"/>
          </w:tcPr>
          <w:p>
            <w:pPr>
              <w:jc w:val="left"/>
            </w:pPr>
            <w:r/>
            <w:r>
              <w:rPr>
                <w:rFonts w:ascii="Times New Roman" w:hAnsi="Times New Roman" w:eastAsia="Times New Roman"/>
                <w:sz w:val="20"/>
              </w:rPr>
              <w:t>Upgrade life insurance performance engine</w:t>
            </w:r>
          </w:p>
        </w:tc>
        <w:tc>
          <w:tcPr>
            <w:tcW w:type="dxa" w:w="1728"/>
          </w:tcPr>
          <w:p>
            <w:pPr>
              <w:jc w:val="left"/>
            </w:pPr>
            <w:r/>
            <w:r>
              <w:rPr>
                <w:rFonts w:ascii="Times New Roman" w:hAnsi="Times New Roman" w:eastAsia="Times New Roman"/>
                <w:sz w:val="20"/>
              </w:rPr>
              <w:t>Sales reform team with finance and actuarial support</w:t>
            </w:r>
          </w:p>
        </w:tc>
        <w:tc>
          <w:tcPr>
            <w:tcW w:type="dxa" w:w="1728"/>
          </w:tcPr>
          <w:p>
            <w:pPr>
              <w:jc w:val="left"/>
            </w:pPr>
            <w:r/>
            <w:r>
              <w:rPr>
                <w:rFonts w:ascii="Times New Roman" w:hAnsi="Times New Roman" w:eastAsia="Times New Roman"/>
                <w:sz w:val="20"/>
              </w:rPr>
              <w:t>Mostly internal execution through pricing, product mix and agent productivity reform</w:t>
            </w:r>
          </w:p>
        </w:tc>
        <w:tc>
          <w:tcPr>
            <w:tcW w:type="dxa" w:w="1728"/>
          </w:tcPr>
          <w:p>
            <w:pPr>
              <w:jc w:val="left"/>
            </w:pPr>
            <w:r/>
            <w:r>
              <w:rPr>
                <w:rFonts w:ascii="Times New Roman" w:hAnsi="Times New Roman" w:eastAsia="Times New Roman"/>
                <w:sz w:val="20"/>
              </w:rPr>
              <w:t>If value of one year's sales, persistence and agent productivity do not improve after 12 months, pause expansionary initiatives and re-prioritise core efficiency</w:t>
            </w:r>
          </w:p>
        </w:tc>
        <w:tc>
          <w:tcPr>
            <w:tcW w:type="dxa" w:w="1728"/>
          </w:tcPr>
          <w:p>
            <w:pPr>
              <w:jc w:val="left"/>
            </w:pPr>
            <w:r/>
            <w:r>
              <w:rPr>
                <w:rFonts w:ascii="Times New Roman" w:hAnsi="Times New Roman" w:eastAsia="Times New Roman"/>
                <w:sz w:val="20"/>
              </w:rPr>
              <w:t>Value of one year's sales, persistence, agent productivity, capital efficiency</w:t>
            </w:r>
          </w:p>
        </w:tc>
      </w:tr>
      <w:tr>
        <w:tc>
          <w:tcPr>
            <w:tcW w:type="dxa" w:w="1728"/>
          </w:tcPr>
          <w:p>
            <w:pPr>
              <w:jc w:val="left"/>
            </w:pPr>
            <w:r/>
            <w:r>
              <w:rPr>
                <w:rFonts w:ascii="Times New Roman" w:hAnsi="Times New Roman" w:eastAsia="Times New Roman"/>
                <w:sz w:val="20"/>
              </w:rPr>
              <w:t>Scale annuity and health product development</w:t>
            </w:r>
          </w:p>
        </w:tc>
        <w:tc>
          <w:tcPr>
            <w:tcW w:type="dxa" w:w="1728"/>
          </w:tcPr>
          <w:p>
            <w:pPr>
              <w:jc w:val="left"/>
            </w:pPr>
            <w:r/>
            <w:r>
              <w:rPr>
                <w:rFonts w:ascii="Times New Roman" w:hAnsi="Times New Roman" w:eastAsia="Times New Roman"/>
                <w:sz w:val="20"/>
              </w:rPr>
              <w:t>Product, channel and claims teams</w:t>
            </w:r>
          </w:p>
        </w:tc>
        <w:tc>
          <w:tcPr>
            <w:tcW w:type="dxa" w:w="1728"/>
          </w:tcPr>
          <w:p>
            <w:pPr>
              <w:jc w:val="left"/>
            </w:pPr>
            <w:r/>
            <w:r>
              <w:rPr>
                <w:rFonts w:ascii="Times New Roman" w:hAnsi="Times New Roman" w:eastAsia="Times New Roman"/>
                <w:sz w:val="20"/>
              </w:rPr>
              <w:t>Internal product design with integrated claims and customer-data support</w:t>
            </w:r>
          </w:p>
        </w:tc>
        <w:tc>
          <w:tcPr>
            <w:tcW w:type="dxa" w:w="1728"/>
          </w:tcPr>
          <w:p>
            <w:pPr>
              <w:jc w:val="left"/>
            </w:pPr>
            <w:r/>
            <w:r>
              <w:rPr>
                <w:rFonts w:ascii="Times New Roman" w:hAnsi="Times New Roman" w:eastAsia="Times New Roman"/>
                <w:sz w:val="20"/>
              </w:rPr>
              <w:t>Expand only if conversion, retention and claims performance improve together</w:t>
            </w:r>
          </w:p>
        </w:tc>
        <w:tc>
          <w:tcPr>
            <w:tcW w:type="dxa" w:w="1728"/>
          </w:tcPr>
          <w:p>
            <w:pPr>
              <w:jc w:val="left"/>
            </w:pPr>
            <w:r/>
            <w:r>
              <w:rPr>
                <w:rFonts w:ascii="Times New Roman" w:hAnsi="Times New Roman" w:eastAsia="Times New Roman"/>
                <w:sz w:val="20"/>
              </w:rPr>
              <w:t>Cross-sell ratio, conversion, retention, claims performance</w:t>
            </w:r>
          </w:p>
        </w:tc>
      </w:tr>
      <w:tr>
        <w:tc>
          <w:tcPr>
            <w:tcW w:type="dxa" w:w="1728"/>
          </w:tcPr>
          <w:p>
            <w:pPr>
              <w:jc w:val="left"/>
            </w:pPr>
            <w:r/>
            <w:r>
              <w:rPr>
                <w:rFonts w:ascii="Times New Roman" w:hAnsi="Times New Roman" w:eastAsia="Times New Roman"/>
                <w:sz w:val="20"/>
              </w:rPr>
              <w:t>Pilot senior-care diversification in existing footprint</w:t>
            </w:r>
          </w:p>
        </w:tc>
        <w:tc>
          <w:tcPr>
            <w:tcW w:type="dxa" w:w="1728"/>
          </w:tcPr>
          <w:p>
            <w:pPr>
              <w:jc w:val="left"/>
            </w:pPr>
            <w:r/>
            <w:r>
              <w:rPr>
                <w:rFonts w:ascii="Times New Roman" w:hAnsi="Times New Roman" w:eastAsia="Times New Roman"/>
                <w:sz w:val="20"/>
              </w:rPr>
              <w:t>Dedicated ecosystem office spanning product, claims and digital operations</w:t>
            </w:r>
          </w:p>
        </w:tc>
        <w:tc>
          <w:tcPr>
            <w:tcW w:type="dxa" w:w="1728"/>
          </w:tcPr>
          <w:p>
            <w:pPr>
              <w:jc w:val="left"/>
            </w:pPr>
            <w:r/>
            <w:r>
              <w:rPr>
                <w:rFonts w:ascii="Times New Roman" w:hAnsi="Times New Roman" w:eastAsia="Times New Roman"/>
                <w:sz w:val="20"/>
              </w:rPr>
              <w:t>Hybrid model: internal insurance and data integration, but partnership-led for capital-heavy care capacity</w:t>
            </w:r>
          </w:p>
        </w:tc>
        <w:tc>
          <w:tcPr>
            <w:tcW w:type="dxa" w:w="1728"/>
          </w:tcPr>
          <w:p>
            <w:pPr>
              <w:jc w:val="left"/>
            </w:pPr>
            <w:r/>
            <w:r>
              <w:rPr>
                <w:rFonts w:ascii="Times New Roman" w:hAnsi="Times New Roman" w:eastAsia="Times New Roman"/>
                <w:sz w:val="20"/>
              </w:rPr>
              <w:t>Scale only if cross-sell, elderly retention and claims turnaround improve after the pilot period; if improvement is only partial, maintain limited rollout and prioritise partnership delivery over owned expansion</w:t>
            </w:r>
          </w:p>
        </w:tc>
        <w:tc>
          <w:tcPr>
            <w:tcW w:type="dxa" w:w="1728"/>
          </w:tcPr>
          <w:p>
            <w:pPr>
              <w:jc w:val="left"/>
            </w:pPr>
            <w:r/>
            <w:r>
              <w:rPr>
                <w:rFonts w:ascii="Times New Roman" w:hAnsi="Times New Roman" w:eastAsia="Times New Roman"/>
                <w:sz w:val="20"/>
              </w:rPr>
              <w:t>Ecosystem-linked new business, elderly-customer retention, claims turnaround time, customer satisfaction</w:t>
            </w:r>
          </w:p>
        </w:tc>
      </w:tr>
      <w:tr>
        <w:tc>
          <w:tcPr>
            <w:tcW w:type="dxa" w:w="1728"/>
          </w:tcPr>
          <w:p>
            <w:pPr>
              <w:jc w:val="left"/>
            </w:pPr>
            <w:r/>
            <w:r>
              <w:rPr>
                <w:rFonts w:ascii="Times New Roman" w:hAnsi="Times New Roman" w:eastAsia="Times New Roman"/>
                <w:sz w:val="20"/>
              </w:rPr>
              <w:t>Build dual-engine distribution and digital service model</w:t>
            </w:r>
          </w:p>
        </w:tc>
        <w:tc>
          <w:tcPr>
            <w:tcW w:type="dxa" w:w="1728"/>
          </w:tcPr>
          <w:p>
            <w:pPr>
              <w:jc w:val="left"/>
            </w:pPr>
            <w:r/>
            <w:r>
              <w:rPr>
                <w:rFonts w:ascii="Times New Roman" w:hAnsi="Times New Roman" w:eastAsia="Times New Roman"/>
                <w:sz w:val="20"/>
              </w:rPr>
              <w:t>Joint ownership between sales reform and digital operations</w:t>
            </w:r>
          </w:p>
        </w:tc>
        <w:tc>
          <w:tcPr>
            <w:tcW w:type="dxa" w:w="1728"/>
          </w:tcPr>
          <w:p>
            <w:pPr>
              <w:jc w:val="left"/>
            </w:pPr>
            <w:r/>
            <w:r>
              <w:rPr>
                <w:rFonts w:ascii="Times New Roman" w:hAnsi="Times New Roman" w:eastAsia="Times New Roman"/>
                <w:sz w:val="20"/>
              </w:rPr>
              <w:t>Hybrid advice-and-platform model with digital routing, agent certification and partner-based services</w:t>
            </w:r>
          </w:p>
        </w:tc>
        <w:tc>
          <w:tcPr>
            <w:tcW w:type="dxa" w:w="1728"/>
          </w:tcPr>
          <w:p>
            <w:pPr>
              <w:jc w:val="left"/>
            </w:pPr>
            <w:r/>
            <w:r>
              <w:rPr>
                <w:rFonts w:ascii="Times New Roman" w:hAnsi="Times New Roman" w:eastAsia="Times New Roman"/>
                <w:sz w:val="20"/>
              </w:rPr>
              <w:t>Continue rollout only if digital claims adoption and channel cross-sell rates improve without harming agent productivity; otherwise redesign incentives first</w:t>
            </w:r>
          </w:p>
        </w:tc>
        <w:tc>
          <w:tcPr>
            <w:tcW w:type="dxa" w:w="1728"/>
          </w:tcPr>
          <w:p>
            <w:pPr>
              <w:jc w:val="left"/>
            </w:pPr>
            <w:r/>
            <w:r>
              <w:rPr>
                <w:rFonts w:ascii="Times New Roman" w:hAnsi="Times New Roman" w:eastAsia="Times New Roman"/>
                <w:sz w:val="20"/>
              </w:rPr>
              <w:t>Digital claims adoption, channel cross-sell rate, app engagement, agent productivity, service satisfaction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