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China Life's Product and Service Portfolio: A Strategic Evaluation through the BCG Matrix and the Ansoff Matrix</w:t>
      </w:r>
    </w:p>
    <w:p>
      <w:pPr>
        <w:jc w:val="center"/>
      </w:pPr>
      <w:r>
        <w:rPr>
          <w:rFonts w:ascii="Times New Roman" w:hAnsi="Times New Roman" w:eastAsia="Times New Roman"/>
          <w:sz w:val="24"/>
        </w:rPr>
        <w:t>Word count (main body, excluding references): 1840</w:t>
      </w:r>
    </w:p>
    <w:p>
      <w:pPr>
        <w:pStyle w:val="Heading1"/>
        <w:jc w:val="left"/>
      </w:pPr>
      <w:r>
        <w:rPr>
          <w:rFonts w:ascii="Times New Roman" w:hAnsi="Times New Roman" w:eastAsia="Times New Roman"/>
          <w:b/>
          <w:sz w:val="24"/>
        </w:rPr>
        <w:t>1. Introduction and Company Overview</w:t>
      </w:r>
    </w:p>
    <w:p>
      <w:pPr>
        <w:ind w:firstLine="480"/>
        <w:jc w:val="both"/>
      </w:pPr>
      <w:r>
        <w:rPr>
          <w:rFonts w:ascii="Times New Roman" w:hAnsi="Times New Roman" w:eastAsia="Times New Roman"/>
          <w:sz w:val="24"/>
        </w:rPr>
        <w:t>China Life Insurance Company Limited is an appropriate case for portfolio analysis because it combines market leadership, product breadth and strong public disclosure. In 2024, the company reported gross written premiums of RMB 671,457 million, total assets of RMB 6,769,546 million and embedded value of RMB 1,401,146 million, while maintaining approximately 326 million long-term insurance policies in force (China Life Insurance Company Limited, 2025a). It also operated approximately 18,000 branches and had the largest sales force in the industry, at 666,000 people (China Life Insurance Company Limited, 2025a). These features make China Life strategically important: the question is not whether it can survive, but how it should reallocate resources to protect leadership and build a stronger next-decade growth platform. Market position matters here because China Life is not a niche entrant. Its annual report states that it maintained industry leadership in business scale and embedded value, while the ESG report shows that the firm handled 3.26 billion customer interactions during the year and maintained leading service-quality rankings (China Life Insurance Company Limited, 2025a, 2025b). Any shift in portfolio priorities therefore has wider significance for how a dominant incumbent responds to ageing, digitalisation and service integration.</w:t>
      </w:r>
    </w:p>
    <w:p>
      <w:pPr>
        <w:ind w:firstLine="480"/>
        <w:jc w:val="both"/>
      </w:pPr>
      <w:r>
        <w:rPr>
          <w:rFonts w:ascii="Times New Roman" w:hAnsi="Times New Roman" w:eastAsia="Times New Roman"/>
          <w:sz w:val="24"/>
        </w:rPr>
        <w:t>The external environment also makes China Life a useful case. China is ageing rapidly, commercial health insurance remains under development, and long-term care insurance is expanding through pilots and wider policy support (Choi et al., 2018; Cousins, 2025; Yang et al., 2023; Zhu &amp; Bai, 2025). As a result, the company is operating in a market where future value will depend less on selling standard policies at scale and more on meeting retirement, health and care-related needs through integrated products and services. Because of this, the concept of "portfolio" must be adapted. In insurance, strategic value depends not only on premium scale and growth, but also on persistence, capital intensity, channel quality and service integration. This report therefore analyses four broad clusters: core life and annuity insurance, health insurance, accident insurance, and the pension-health-senior-care ecosystem. The BCG Matrix is used to decide where resources should be concentrated, while the Ansoff Matrix is used to assess which growth path is most defensible for the next decade (Ansoff, 1957; Morrison &amp; Wensley, 1991).</w:t>
      </w:r>
    </w:p>
    <w:p>
      <w:pPr>
        <w:pStyle w:val="Heading1"/>
        <w:jc w:val="left"/>
      </w:pPr>
      <w:r>
        <w:rPr>
          <w:rFonts w:ascii="Times New Roman" w:hAnsi="Times New Roman" w:eastAsia="Times New Roman"/>
          <w:b/>
          <w:sz w:val="24"/>
        </w:rPr>
        <w:t>2. BCG Matrix Analysis</w:t>
      </w:r>
    </w:p>
    <w:p>
      <w:pPr>
        <w:ind w:firstLine="480"/>
        <w:jc w:val="both"/>
      </w:pPr>
      <w:r>
        <w:rPr>
          <w:rFonts w:ascii="Times New Roman" w:hAnsi="Times New Roman" w:eastAsia="Times New Roman"/>
          <w:sz w:val="24"/>
        </w:rPr>
        <w:t>The BCG Matrix is useful only if applied critically. Morrison and Wensley (1991) show that its appeal comes from reducing complex strategy questions to a simple share-growth framework, but that same simplicity can distort judgement when industries have uneven economics. This warning matters in insurance, where market share alone says little about profitability, capital consumption or service capability. For China Life, the most meaningful units of analysis are therefore not narrow retail products, but broader business and service clusters.</w:t>
      </w:r>
    </w:p>
    <w:p>
      <w:pPr>
        <w:ind w:firstLine="480"/>
        <w:jc w:val="both"/>
      </w:pPr>
      <w:r>
        <w:rPr>
          <w:rFonts w:ascii="Times New Roman" w:hAnsi="Times New Roman" w:eastAsia="Times New Roman"/>
          <w:sz w:val="24"/>
        </w:rPr>
        <w:t>China Life's core life and annuity franchise is the clearest Cash Cow. In 2024, gross written premiums reached RMB 671,457 million, embedded value exceeded RMB 1.4 trillion and the value of one year's sales reached RMB 33,709 million, while the company stated that it maintained industry leadership in both business scale and embedded value (China Life Insurance Company Limited, 2025a). Combined with 326 million long-term policies in force, 18,000 branches and a sales force of 666,000, the core franchise remains the company's funding base rather than a line to be passively harvested (China Life Insurance Company Limited, 2025a). The strategic implication is disciplined defence: China Life should keep improving product mix, persistence and capital efficiency so that the mature core continues to finance newer growth areas.</w:t>
      </w:r>
    </w:p>
    <w:p>
      <w:pPr>
        <w:ind w:firstLine="480"/>
        <w:jc w:val="both"/>
      </w:pPr>
      <w:r>
        <w:rPr>
          <w:rFonts w:ascii="Times New Roman" w:hAnsi="Times New Roman" w:eastAsia="Times New Roman"/>
          <w:sz w:val="24"/>
        </w:rPr>
        <w:t>The strongest Star is the pension, commercial annuity and senior-care ecosystem. China Life reported that its third-pillar private pension and commercial annuity businesses ranked first in the industry, that it accelerated the development of old-age finance, and that three senior-care product lines had gone into operation: retirement communities, retirement apartments, and healthcare and senior-care sojourn facilities (China Life Insurance Company Limited, 2025a). Its ESG report adds that the company had 17 institutional elderly-care projects across 14 cities (China Life Insurance Company Limited, 2025b). This strategic direction fits broader demographic and policy evidence. China faces rising long-term care needs, while long-term care insurance expansion is reshaping how ageing-related financial and service needs are met (Cousins, 2025; Yang et al., 2023; Zhu &amp; Bai, 2025). For that reason, this cluster deserves active investment.</w:t>
      </w:r>
    </w:p>
    <w:p>
      <w:pPr>
        <w:ind w:firstLine="480"/>
        <w:jc w:val="both"/>
      </w:pPr>
      <w:r>
        <w:rPr>
          <w:rFonts w:ascii="Times New Roman" w:hAnsi="Times New Roman" w:eastAsia="Times New Roman"/>
          <w:sz w:val="24"/>
        </w:rPr>
        <w:t>Health insurance is better classified as a Question Mark than as an automatic Star. Commercial health insurance in China clearly has structural growth potential, but its economics depend on underwriting discipline, claims management and service coordination rather than scale alone (Choi et al., 2018). China Life's 2024 annual report shows that it participated in over 200 supplementary major medical expenses insurance programs, 80 long-term care insurance programs and over 130 city-customised commercial medical insurance projects (China Life Insurance Company Limited, 2025a). That makes health strategically important, but it still requires selective expansion rather than indiscriminate scaling.</w:t>
      </w:r>
    </w:p>
    <w:p>
      <w:pPr>
        <w:ind w:firstLine="480"/>
        <w:jc w:val="both"/>
      </w:pPr>
      <w:r>
        <w:rPr>
          <w:rFonts w:ascii="Times New Roman" w:hAnsi="Times New Roman" w:eastAsia="Times New Roman"/>
          <w:sz w:val="24"/>
        </w:rPr>
        <w:t>Accident insurance is best seen as a Dog-like or low-priority segment. It still supports protection bundles and inclusive insurance objectives, but it is less central and less differentiated than the core life business or the ageing ecosystem. The BCG result is therefore a clear allocation hierarchy: defend the Cash Cow, invest behind the Star, test and scale the Question Mark selectively, and keep accident insurance in a supporting role.</w:t>
      </w:r>
    </w:p>
    <w:p>
      <w:pPr>
        <w:pStyle w:val="Heading1"/>
        <w:jc w:val="left"/>
      </w:pPr>
      <w:r>
        <w:rPr>
          <w:rFonts w:ascii="Times New Roman" w:hAnsi="Times New Roman" w:eastAsia="Times New Roman"/>
          <w:b/>
          <w:sz w:val="24"/>
        </w:rPr>
        <w:t>3. Ansoff Matrix Analysis</w:t>
      </w:r>
    </w:p>
    <w:p>
      <w:pPr>
        <w:ind w:firstLine="480"/>
        <w:jc w:val="both"/>
      </w:pPr>
      <w:r>
        <w:rPr>
          <w:rFonts w:ascii="Times New Roman" w:hAnsi="Times New Roman" w:eastAsia="Times New Roman"/>
          <w:sz w:val="24"/>
        </w:rPr>
        <w:t>If the BCG Matrix indicates where China Life should concentrate resources, the Ansoff Matrix clarifies how it should grow. Ansoff (1957) distinguishes market penetration, product development, market development and diversification, but the strategic issue is which of these routes best fits China Life's resources and market context.</w:t>
      </w:r>
    </w:p>
    <w:p>
      <w:pPr>
        <w:ind w:firstLine="480"/>
        <w:jc w:val="both"/>
      </w:pPr>
      <w:r>
        <w:rPr>
          <w:rFonts w:ascii="Times New Roman" w:hAnsi="Times New Roman" w:eastAsia="Times New Roman"/>
          <w:sz w:val="24"/>
        </w:rPr>
        <w:t>Market penetration remains necessary, but only as a supporting strategy. China Life still has room to extract more value from its existing base through better retention, stronger agent productivity and improved service quality. Its nationwide branch network and 160 million registered Life Insurance App users give it a large installed base that can be deepened through service and cross-selling (China Life Insurance Company Limited, 2025a, 2025b). Day (1994) argues that market-driven organisations compete through superior market sensing and customer-linking capabilities; applied here, penetration should mean raising customer lifetime value rather than merely pushing more traditional life policies into the same market.</w:t>
      </w:r>
    </w:p>
    <w:p>
      <w:pPr>
        <w:ind w:firstLine="480"/>
        <w:jc w:val="both"/>
      </w:pPr>
      <w:r>
        <w:rPr>
          <w:rFonts w:ascii="Times New Roman" w:hAnsi="Times New Roman" w:eastAsia="Times New Roman"/>
          <w:sz w:val="24"/>
        </w:rPr>
        <w:t>Product development is the strongest near-term route. In 2024, China Life newly developed and upgraded over a hundred products, explicitly linking innovation to changing protection and wealth-management needs (China Life Insurance Company Limited, 2025a). This is especially relevant in retirement finance, annuities and health-related offerings. Because China is ageing and its care system is still evolving, product innovation around retirement income, care funding and health management is more strategically aligned with demand than greater dependence on traditional savings-type life insurance alone (Choi et al., 2018; Cousins, 2025).</w:t>
      </w:r>
    </w:p>
    <w:p>
      <w:pPr>
        <w:ind w:firstLine="480"/>
        <w:jc w:val="both"/>
      </w:pPr>
      <w:r>
        <w:rPr>
          <w:rFonts w:ascii="Times New Roman" w:hAnsi="Times New Roman" w:eastAsia="Times New Roman"/>
          <w:sz w:val="24"/>
        </w:rPr>
        <w:t>Market development is relevant but secondary. China Life is already deeply embedded in China, so its main opportunity is not entry into new national markets but broader reach into under-served customer groups and use scenarios. Its participation in medical expense, long-term care and city-customised insurance schemes shows how existing capabilities can be extended into adjacent segments (China Life Insurance Company Limited, 2025a). This matters, but it is less decisive than product development because the firm's main advantage lies in tailoring integrated propositions rather than entering wholly new markets.</w:t>
      </w:r>
    </w:p>
    <w:p>
      <w:pPr>
        <w:ind w:firstLine="480"/>
        <w:jc w:val="both"/>
      </w:pPr>
      <w:r>
        <w:rPr>
          <w:rFonts w:ascii="Times New Roman" w:hAnsi="Times New Roman" w:eastAsia="Times New Roman"/>
          <w:sz w:val="24"/>
        </w:rPr>
        <w:t>Related diversification is the most important long-term route. The key word is related. China Life should not diversify into unrelated sectors; it should extend insurance into adjacent pension, health and senior-care services that deepen customer relevance. This route fits the resource-based view, which argues that advantage comes from valuable and hard-to-replicate resources rather than expansion alone (Barney, 1991). It also fits dynamic capabilities logic, because the company must sense new ageing-related needs, seize those opportunities, and reconfigure channels and services around them (Teece et al., 1997; Teece, 2007). The best reading of the Ansoff Matrix is therefore layered rather than symmetrical: penetration supports the base, product development drives the medium term, market development widens access, and related diversification provides the long-term growth platform.</w:t>
      </w:r>
    </w:p>
    <w:p>
      <w:pPr>
        <w:pStyle w:val="Heading1"/>
        <w:jc w:val="left"/>
      </w:pPr>
      <w:r>
        <w:rPr>
          <w:rFonts w:ascii="Times New Roman" w:hAnsi="Times New Roman" w:eastAsia="Times New Roman"/>
          <w:b/>
          <w:sz w:val="24"/>
        </w:rPr>
        <w:t>4. Strategic Direction and Recommendations</w:t>
      </w:r>
    </w:p>
    <w:p>
      <w:pPr>
        <w:ind w:firstLine="480"/>
        <w:jc w:val="both"/>
      </w:pPr>
      <w:r>
        <w:rPr>
          <w:rFonts w:ascii="Times New Roman" w:hAnsi="Times New Roman" w:eastAsia="Times New Roman"/>
          <w:sz w:val="24"/>
        </w:rPr>
        <w:t>The first recommendation is to defend and upgrade the core life and annuity franchise as the economic base for all other moves. China Life should keep using the mature core to generate cash, embedded value and renewal relationships, but management should focus on mix quality, persistence, asset-liability discipline and productivity rather than scale for its own sake.</w:t>
      </w:r>
    </w:p>
    <w:p>
      <w:pPr>
        <w:ind w:firstLine="480"/>
        <w:jc w:val="both"/>
      </w:pPr>
      <w:r>
        <w:rPr>
          <w:rFonts w:ascii="Times New Roman" w:hAnsi="Times New Roman" w:eastAsia="Times New Roman"/>
          <w:sz w:val="24"/>
        </w:rPr>
        <w:t>The second recommendation is to concentrate incremental investment on a pension-health-senior-care ecosystem. This is the most defensible growth platform because it sits at the intersection of demographic demand, policy direction and China Life's existing assets. The company already combines pension leadership, health program participation and a visible senior-care footprint; the next step is to connect these pieces into one life-cycle proposition instead of treating them as separate initiatives.</w:t>
      </w:r>
    </w:p>
    <w:p>
      <w:pPr>
        <w:ind w:firstLine="480"/>
        <w:jc w:val="both"/>
      </w:pPr>
      <w:r>
        <w:rPr>
          <w:rFonts w:ascii="Times New Roman" w:hAnsi="Times New Roman" w:eastAsia="Times New Roman"/>
          <w:sz w:val="24"/>
        </w:rPr>
        <w:t>The third recommendation is to build a dual-engine distribution model in which human advice and digital service reinforce one another. China Life's agency force remains important for trust-intensive products such as annuities, health cover and retirement planning, but scalable growth will also depend on digital claims, app-based service and better customer data. That combination should improve cross-selling, reduce friction and make the ecosystem commercially viable. Execution should be sequenced: first standardise customer data and claims processes, then bundle annuity, health and care services around targeted cohorts such as pre-retirement households and older policyholders.</w:t>
      </w:r>
    </w:p>
    <w:p>
      <w:pPr>
        <w:pStyle w:val="Heading1"/>
        <w:jc w:val="left"/>
      </w:pPr>
      <w:r>
        <w:rPr>
          <w:rFonts w:ascii="Times New Roman" w:hAnsi="Times New Roman" w:eastAsia="Times New Roman"/>
          <w:b/>
          <w:sz w:val="24"/>
        </w:rPr>
        <w:t>5. Limitations of the Strategy Tools</w:t>
      </w:r>
    </w:p>
    <w:p>
      <w:pPr>
        <w:ind w:firstLine="480"/>
        <w:jc w:val="both"/>
      </w:pPr>
      <w:r>
        <w:rPr>
          <w:rFonts w:ascii="Times New Roman" w:hAnsi="Times New Roman" w:eastAsia="Times New Roman"/>
          <w:sz w:val="24"/>
        </w:rPr>
        <w:t>These conclusions should not be read as a mechanical output of two matrices. The BCG Matrix assumes a stable relationship between market share, growth and cash generation, yet the literature has long questioned both its conceptual basis and its behavioural effects. Morrison and Wensley (1991) argue that the framework can confine strategic thinking, while Armstrong and Brodie (1994) found that exposure to BCG logic increased the likelihood of selecting the less profitable investment option. For insurance, the problem is sharper because solvency, capital intensity, claims volatility and customer persistence matter at least as much as share and growth.</w:t>
      </w:r>
    </w:p>
    <w:p>
      <w:pPr>
        <w:ind w:firstLine="480"/>
        <w:jc w:val="both"/>
      </w:pPr>
      <w:r>
        <w:rPr>
          <w:rFonts w:ascii="Times New Roman" w:hAnsi="Times New Roman" w:eastAsia="Times New Roman"/>
          <w:sz w:val="24"/>
        </w:rPr>
        <w:t>The Ansoff Matrix has a different weakness: it clarifies direction but says little about feasibility. A move from selling policies to building pension-health-service ecosystems demands new partnerships, claims-management routines, digital systems and organisational coordination. That is why China Life's strategic choice should also be judged through resource positions, market-driven capabilities and dynamic capabilities (Barney, 1991; Day, 1994; Teece et al., 1997; Teece, 2007). The real question is not only which quadrant is attractive, but whether the company can execute at scale without weakening profitability or focus.</w:t>
      </w:r>
    </w:p>
    <w:p>
      <w:pPr>
        <w:pStyle w:val="Heading1"/>
        <w:jc w:val="left"/>
      </w:pPr>
      <w:r>
        <w:rPr>
          <w:rFonts w:ascii="Times New Roman" w:hAnsi="Times New Roman" w:eastAsia="Times New Roman"/>
          <w:b/>
          <w:sz w:val="24"/>
        </w:rPr>
        <w:t>6. Conclusion</w:t>
      </w:r>
    </w:p>
    <w:p>
      <w:pPr>
        <w:ind w:firstLine="480"/>
        <w:jc w:val="both"/>
      </w:pPr>
      <w:r>
        <w:rPr>
          <w:rFonts w:ascii="Times New Roman" w:hAnsi="Times New Roman" w:eastAsia="Times New Roman"/>
          <w:sz w:val="24"/>
        </w:rPr>
        <w:t>China Life should be analysed as a portfolio of business and service platforms rather than as a loose set of insurance products. On that basis, its core life and annuity business remains the principal Cash Cow, while pension, commercial annuity, health and senior-care activities form the strongest platform for future growth. The BCG Matrix supports selective reallocation, and the Ansoff Matrix suggests that product development plus related diversification is more convincing than generic expansion. Overall, the most defensible strategy for the next decade is to preserve the economic power of the traditional core, invest more aggressively in an ageing-related ecosystem, and strengthen the channel and digital capabilities needed to turn that ecosystem into sustainable advantage.</w:t>
      </w:r>
    </w:p>
    <w:p>
      <w:pPr>
        <w:pStyle w:val="Heading1"/>
        <w:jc w:val="left"/>
      </w:pPr>
      <w:r>
        <w:rPr>
          <w:rFonts w:ascii="Times New Roman" w:hAnsi="Times New Roman" w:eastAsia="Times New Roman"/>
          <w:b/>
          <w:sz w:val="24"/>
        </w:rPr>
        <w:t>References</w:t>
      </w:r>
    </w:p>
    <w:p>
      <w:pPr>
        <w:ind w:left="720" w:hanging="720"/>
        <w:jc w:val="both"/>
      </w:pPr>
      <w:r>
        <w:rPr>
          <w:rFonts w:ascii="Times New Roman" w:hAnsi="Times New Roman" w:eastAsia="Times New Roman"/>
          <w:sz w:val="24"/>
        </w:rPr>
        <w:t xml:space="preserve">Ansoff, H. I. (1957). Strategies for diversification. </w:t>
      </w:r>
      <w:r>
        <w:rPr>
          <w:rFonts w:ascii="Times New Roman" w:hAnsi="Times New Roman" w:eastAsia="Times New Roman"/>
          <w:i/>
          <w:sz w:val="24"/>
        </w:rPr>
        <w:t>Harvard Business Review, 35</w:t>
      </w:r>
      <w:r>
        <w:rPr>
          <w:rFonts w:ascii="Times New Roman" w:hAnsi="Times New Roman" w:eastAsia="Times New Roman"/>
          <w:sz w:val="24"/>
        </w:rPr>
        <w:t>(5), 113-124.</w:t>
      </w:r>
    </w:p>
    <w:p>
      <w:pPr>
        <w:ind w:left="720" w:hanging="720"/>
        <w:jc w:val="both"/>
      </w:pPr>
      <w:r>
        <w:rPr>
          <w:rFonts w:ascii="Times New Roman" w:hAnsi="Times New Roman" w:eastAsia="Times New Roman"/>
          <w:sz w:val="24"/>
        </w:rPr>
        <w:t xml:space="preserve">Armstrong, J. S., &amp; Brodie, R. J. (1994). Effects of portfolio planning methods on decision making: Experimental results. </w:t>
      </w:r>
      <w:r>
        <w:rPr>
          <w:rFonts w:ascii="Times New Roman" w:hAnsi="Times New Roman" w:eastAsia="Times New Roman"/>
          <w:i/>
          <w:sz w:val="24"/>
        </w:rPr>
        <w:t>International Journal of Research in Marketing, 11</w:t>
      </w:r>
      <w:r>
        <w:rPr>
          <w:rFonts w:ascii="Times New Roman" w:hAnsi="Times New Roman" w:eastAsia="Times New Roman"/>
          <w:sz w:val="24"/>
        </w:rPr>
        <w:t>, 73-84.</w:t>
      </w:r>
    </w:p>
    <w:p>
      <w:pPr>
        <w:ind w:left="720" w:hanging="720"/>
        <w:jc w:val="both"/>
      </w:pPr>
      <w:r>
        <w:rPr>
          <w:rFonts w:ascii="Times New Roman" w:hAnsi="Times New Roman" w:eastAsia="Times New Roman"/>
          <w:sz w:val="24"/>
        </w:rPr>
        <w:t xml:space="preserve">Barney, J. (1991). Firm resources and sustained competitive advantage. </w:t>
      </w:r>
      <w:r>
        <w:rPr>
          <w:rFonts w:ascii="Times New Roman" w:hAnsi="Times New Roman" w:eastAsia="Times New Roman"/>
          <w:i/>
          <w:sz w:val="24"/>
        </w:rPr>
        <w:t>Journal of Management, 17</w:t>
      </w:r>
      <w:r>
        <w:rPr>
          <w:rFonts w:ascii="Times New Roman" w:hAnsi="Times New Roman" w:eastAsia="Times New Roman"/>
          <w:sz w:val="24"/>
        </w:rPr>
        <w:t>(1), 99-120.</w:t>
      </w:r>
    </w:p>
    <w:p>
      <w:pPr>
        <w:ind w:left="720" w:hanging="720"/>
        <w:jc w:val="both"/>
      </w:pPr>
      <w:r>
        <w:rPr>
          <w:rFonts w:ascii="Times New Roman" w:hAnsi="Times New Roman" w:eastAsia="Times New Roman"/>
          <w:sz w:val="24"/>
        </w:rPr>
        <w:t xml:space="preserve">China Life Insurance Company Limited. (2025a). </w:t>
      </w:r>
      <w:r>
        <w:rPr>
          <w:rFonts w:ascii="Times New Roman" w:hAnsi="Times New Roman" w:eastAsia="Times New Roman"/>
          <w:i/>
          <w:sz w:val="24"/>
        </w:rPr>
        <w:t>Annual report 2024</w:t>
      </w:r>
      <w:r>
        <w:rPr>
          <w:rFonts w:ascii="Times New Roman" w:hAnsi="Times New Roman" w:eastAsia="Times New Roman"/>
          <w:sz w:val="24"/>
        </w:rPr>
        <w:t>.</w:t>
      </w:r>
    </w:p>
    <w:p>
      <w:pPr>
        <w:ind w:left="720" w:hanging="720"/>
        <w:jc w:val="both"/>
      </w:pPr>
      <w:r>
        <w:rPr>
          <w:rFonts w:ascii="Times New Roman" w:hAnsi="Times New Roman" w:eastAsia="Times New Roman"/>
          <w:sz w:val="24"/>
        </w:rPr>
        <w:t xml:space="preserve">China Life Insurance Company Limited. (2025b). </w:t>
      </w:r>
      <w:r>
        <w:rPr>
          <w:rFonts w:ascii="Times New Roman" w:hAnsi="Times New Roman" w:eastAsia="Times New Roman"/>
          <w:i/>
          <w:sz w:val="24"/>
        </w:rPr>
        <w:t>2024 ESG &amp; social responsibility report</w:t>
      </w:r>
      <w:r>
        <w:rPr>
          <w:rFonts w:ascii="Times New Roman" w:hAnsi="Times New Roman" w:eastAsia="Times New Roman"/>
          <w:sz w:val="24"/>
        </w:rPr>
        <w:t>.</w:t>
      </w:r>
    </w:p>
    <w:p>
      <w:pPr>
        <w:ind w:left="720" w:hanging="720"/>
        <w:jc w:val="both"/>
      </w:pPr>
      <w:r>
        <w:rPr>
          <w:rFonts w:ascii="Times New Roman" w:hAnsi="Times New Roman" w:eastAsia="Times New Roman"/>
          <w:sz w:val="24"/>
        </w:rPr>
        <w:t xml:space="preserve">Choi, W. I., Shi, H., Bian, Y., &amp; Hu, H. (2018). Development of commercial health insurance in China: A systematic literature review. </w:t>
      </w:r>
      <w:r>
        <w:rPr>
          <w:rFonts w:ascii="Times New Roman" w:hAnsi="Times New Roman" w:eastAsia="Times New Roman"/>
          <w:i/>
          <w:sz w:val="24"/>
        </w:rPr>
        <w:t>BioMed Research International, 2018</w:t>
      </w:r>
      <w:r>
        <w:rPr>
          <w:rFonts w:ascii="Times New Roman" w:hAnsi="Times New Roman" w:eastAsia="Times New Roman"/>
          <w:sz w:val="24"/>
        </w:rPr>
        <w:t>, Article 3163746. https://doi.org/10.1155/2018/3163746</w:t>
      </w:r>
    </w:p>
    <w:p>
      <w:pPr>
        <w:ind w:left="720" w:hanging="720"/>
        <w:jc w:val="both"/>
      </w:pPr>
      <w:r>
        <w:rPr>
          <w:rFonts w:ascii="Times New Roman" w:hAnsi="Times New Roman" w:eastAsia="Times New Roman"/>
          <w:sz w:val="24"/>
        </w:rPr>
        <w:t xml:space="preserve">Cousins, M. (2025). Developing long-term care insurance in China: A review of structure, impact and future directions. </w:t>
      </w:r>
      <w:r>
        <w:rPr>
          <w:rFonts w:ascii="Times New Roman" w:hAnsi="Times New Roman" w:eastAsia="Times New Roman"/>
          <w:i/>
          <w:sz w:val="24"/>
        </w:rPr>
        <w:t>International Social Security Review, 78</w:t>
      </w:r>
      <w:r>
        <w:rPr>
          <w:rFonts w:ascii="Times New Roman" w:hAnsi="Times New Roman" w:eastAsia="Times New Roman"/>
          <w:sz w:val="24"/>
        </w:rPr>
        <w:t>(1), 83-103.</w:t>
      </w:r>
    </w:p>
    <w:p>
      <w:pPr>
        <w:ind w:left="720" w:hanging="720"/>
        <w:jc w:val="both"/>
      </w:pPr>
      <w:r>
        <w:rPr>
          <w:rFonts w:ascii="Times New Roman" w:hAnsi="Times New Roman" w:eastAsia="Times New Roman"/>
          <w:sz w:val="24"/>
        </w:rPr>
        <w:t xml:space="preserve">Day, G. S. (1994). The capabilities of market-driven organizations. </w:t>
      </w:r>
      <w:r>
        <w:rPr>
          <w:rFonts w:ascii="Times New Roman" w:hAnsi="Times New Roman" w:eastAsia="Times New Roman"/>
          <w:i/>
          <w:sz w:val="24"/>
        </w:rPr>
        <w:t>Journal of Marketing, 58</w:t>
      </w:r>
      <w:r>
        <w:rPr>
          <w:rFonts w:ascii="Times New Roman" w:hAnsi="Times New Roman" w:eastAsia="Times New Roman"/>
          <w:sz w:val="24"/>
        </w:rPr>
        <w:t>(4), 37-52.</w:t>
      </w:r>
    </w:p>
    <w:p>
      <w:pPr>
        <w:ind w:left="720" w:hanging="720"/>
        <w:jc w:val="both"/>
      </w:pPr>
      <w:r>
        <w:rPr>
          <w:rFonts w:ascii="Times New Roman" w:hAnsi="Times New Roman" w:eastAsia="Times New Roman"/>
          <w:sz w:val="24"/>
        </w:rPr>
        <w:t xml:space="preserve">Morrison, A., &amp; Wensley, R. (1991). Boxing up or boxed in? A short history of the Boston Consulting Group share/growth matrix. </w:t>
      </w:r>
      <w:r>
        <w:rPr>
          <w:rFonts w:ascii="Times New Roman" w:hAnsi="Times New Roman" w:eastAsia="Times New Roman"/>
          <w:i/>
          <w:sz w:val="24"/>
        </w:rPr>
        <w:t>Journal of Marketing Management, 7</w:t>
      </w:r>
      <w:r>
        <w:rPr>
          <w:rFonts w:ascii="Times New Roman" w:hAnsi="Times New Roman" w:eastAsia="Times New Roman"/>
          <w:sz w:val="24"/>
        </w:rPr>
        <w:t>(2), 105-129. https://doi.org/10.1080/0267257X.1991.9964145</w:t>
      </w:r>
    </w:p>
    <w:p>
      <w:pPr>
        <w:ind w:left="720" w:hanging="720"/>
        <w:jc w:val="both"/>
      </w:pPr>
      <w:r>
        <w:rPr>
          <w:rFonts w:ascii="Times New Roman" w:hAnsi="Times New Roman" w:eastAsia="Times New Roman"/>
          <w:sz w:val="24"/>
        </w:rPr>
        <w:t xml:space="preserve">Teece, D. J. (2007). Explicating dynamic capabilities: The nature and microfoundations of (sustainable) enterprise performance. </w:t>
      </w:r>
      <w:r>
        <w:rPr>
          <w:rFonts w:ascii="Times New Roman" w:hAnsi="Times New Roman" w:eastAsia="Times New Roman"/>
          <w:i/>
          <w:sz w:val="24"/>
        </w:rPr>
        <w:t>Strategic Management Journal, 28</w:t>
      </w:r>
      <w:r>
        <w:rPr>
          <w:rFonts w:ascii="Times New Roman" w:hAnsi="Times New Roman" w:eastAsia="Times New Roman"/>
          <w:sz w:val="24"/>
        </w:rPr>
        <w:t>(13), 1319-1350. https://doi.org/10.1002/smj.640</w:t>
      </w:r>
    </w:p>
    <w:p>
      <w:pPr>
        <w:ind w:left="720" w:hanging="720"/>
        <w:jc w:val="both"/>
      </w:pPr>
      <w:r>
        <w:rPr>
          <w:rFonts w:ascii="Times New Roman" w:hAnsi="Times New Roman" w:eastAsia="Times New Roman"/>
          <w:sz w:val="24"/>
        </w:rPr>
        <w:t xml:space="preserve">Teece, D. J., Pisano, G., &amp; Shuen, A. (1997). Dynamic capabilities and strategic management. </w:t>
      </w:r>
      <w:r>
        <w:rPr>
          <w:rFonts w:ascii="Times New Roman" w:hAnsi="Times New Roman" w:eastAsia="Times New Roman"/>
          <w:i/>
          <w:sz w:val="24"/>
        </w:rPr>
        <w:t>Strategic Management Journal, 18</w:t>
      </w:r>
      <w:r>
        <w:rPr>
          <w:rFonts w:ascii="Times New Roman" w:hAnsi="Times New Roman" w:eastAsia="Times New Roman"/>
          <w:sz w:val="24"/>
        </w:rPr>
        <w:t>(7), 509-533.</w:t>
      </w:r>
    </w:p>
    <w:p>
      <w:pPr>
        <w:ind w:left="720" w:hanging="720"/>
        <w:jc w:val="both"/>
      </w:pPr>
      <w:r>
        <w:rPr>
          <w:rFonts w:ascii="Times New Roman" w:hAnsi="Times New Roman" w:eastAsia="Times New Roman"/>
          <w:sz w:val="24"/>
        </w:rPr>
        <w:t xml:space="preserve">Yang, S., Guo, D., Bi, S., &amp; Chen, Y. (2023). The effect of long-term care insurance on healthcare utilization of middle-aged and older adults: Evidence from China Health and Retirement Longitudinal Study. </w:t>
      </w:r>
      <w:r>
        <w:rPr>
          <w:rFonts w:ascii="Times New Roman" w:hAnsi="Times New Roman" w:eastAsia="Times New Roman"/>
          <w:i/>
          <w:sz w:val="24"/>
        </w:rPr>
        <w:t>International Journal for Equity in Health, 22</w:t>
      </w:r>
      <w:r>
        <w:rPr>
          <w:rFonts w:ascii="Times New Roman" w:hAnsi="Times New Roman" w:eastAsia="Times New Roman"/>
          <w:sz w:val="24"/>
        </w:rPr>
        <w:t>, Article 228. https://doi.org/10.1186/s12939-023-02042-x</w:t>
      </w:r>
    </w:p>
    <w:p>
      <w:pPr>
        <w:ind w:left="720" w:hanging="720"/>
        <w:jc w:val="both"/>
      </w:pPr>
      <w:r>
        <w:rPr>
          <w:rFonts w:ascii="Times New Roman" w:hAnsi="Times New Roman" w:eastAsia="Times New Roman"/>
          <w:sz w:val="24"/>
        </w:rPr>
        <w:t xml:space="preserve">Zhu, Z., &amp; Bai, C. (2025). Assessing the role of long-term care insurance in shaping living arrangements of older adults: Evidence from China. </w:t>
      </w:r>
      <w:r>
        <w:rPr>
          <w:rFonts w:ascii="Times New Roman" w:hAnsi="Times New Roman" w:eastAsia="Times New Roman"/>
          <w:i/>
          <w:sz w:val="24"/>
        </w:rPr>
        <w:t>Health Policy and Planning, 40</w:t>
      </w:r>
      <w:r>
        <w:rPr>
          <w:rFonts w:ascii="Times New Roman" w:hAnsi="Times New Roman" w:eastAsia="Times New Roman"/>
          <w:sz w:val="24"/>
        </w:rPr>
        <w:t>(6), 641-651. https://doi.org/10.1093/heapol/czaf027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