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China Life's Product and Service Portfolio: A Strategic Evaluation through the BCG Matrix and the Ansoff Matrix</w:t>
      </w:r>
    </w:p>
    <w:p>
      <w:pPr>
        <w:jc w:val="center"/>
      </w:pPr>
      <w:r>
        <w:rPr>
          <w:rFonts w:ascii="Times New Roman" w:hAnsi="Times New Roman" w:eastAsia="Times New Roman"/>
          <w:sz w:val="24"/>
        </w:rPr>
        <w:t>Word count (main body, excluding references and appendix): 1984</w:t>
      </w:r>
    </w:p>
    <w:p>
      <w:pPr>
        <w:pStyle w:val="Heading1"/>
        <w:jc w:val="left"/>
      </w:pPr>
      <w:r>
        <w:rPr>
          <w:rFonts w:ascii="Times New Roman" w:hAnsi="Times New Roman" w:eastAsia="Times New Roman"/>
          <w:b/>
          <w:sz w:val="24"/>
        </w:rPr>
        <w:t>1. Introduction and Company Overview</w:t>
      </w:r>
    </w:p>
    <w:p>
      <w:pPr>
        <w:ind w:firstLine="480"/>
        <w:jc w:val="both"/>
      </w:pPr>
      <w:r>
        <w:rPr>
          <w:rFonts w:ascii="Times New Roman" w:hAnsi="Times New Roman" w:eastAsia="Times New Roman"/>
          <w:sz w:val="24"/>
        </w:rPr>
        <w:t>China Life is a strong case for portfolio analysis because of its market leadership. In 2024, the company reported gross written premiums of RMB 671,457 million, embedded value of RMB 1,401,146 million, about 326 million long-term policies and a sales force of 666,000 (China Life Insurance Company Limited, 2025a). China Life is therefore a dominant incumbent whose portfolio choices matter for how the market responds to ageing and pension reform.</w:t>
      </w:r>
    </w:p>
    <w:p>
      <w:pPr>
        <w:ind w:firstLine="480"/>
        <w:jc w:val="both"/>
      </w:pPr>
      <w:r>
        <w:rPr>
          <w:rFonts w:ascii="Times New Roman" w:hAnsi="Times New Roman" w:eastAsia="Times New Roman"/>
          <w:sz w:val="24"/>
        </w:rPr>
        <w:t>The issue is not simply how to defend scale. China is ageing rapidly, commercial health insurance remains unevenly developed, and long-term care insurance (LTCI) is expanding through pilots and policy experimentation (Chen et al., 2023; Choi et al., 2018; Cousins, 2025; Yang et al., 2023; Zhu &amp; Bai, 2025). McKinsey &amp; Company (2024) argues that life insurers need growth beyond traditional products. This raises the question: which clusters should be defended and scaled?</w:t>
      </w:r>
    </w:p>
    <w:p>
      <w:pPr>
        <w:ind w:firstLine="480"/>
        <w:jc w:val="both"/>
      </w:pPr>
      <w:r>
        <w:rPr>
          <w:rFonts w:ascii="Times New Roman" w:hAnsi="Times New Roman" w:eastAsia="Times New Roman"/>
          <w:sz w:val="24"/>
        </w:rPr>
        <w:t>To answer that question, this report applies the BCG Matrix and the Ansoff Matrix, but not mechanically. Because Chinese insurers do not disclose comparable segment-level share data for every cluster, the BCG analysis uses semi-quantified proxies for relative share, growth and competitor position, summarised in Appendix A. This makes the classifications more defensible. The analysis focuses on four clusters: core life and annuity insurance, the pension-commercial annuity-senior-care ecosystem, health insurance, and accident insurance.</w:t>
      </w:r>
    </w:p>
    <w:p>
      <w:pPr>
        <w:pStyle w:val="Heading1"/>
        <w:jc w:val="left"/>
      </w:pPr>
      <w:r>
        <w:rPr>
          <w:rFonts w:ascii="Times New Roman" w:hAnsi="Times New Roman" w:eastAsia="Times New Roman"/>
          <w:b/>
          <w:sz w:val="24"/>
        </w:rPr>
        <w:t>2. BCG Matrix Analysis</w:t>
      </w:r>
    </w:p>
    <w:p>
      <w:pPr>
        <w:ind w:firstLine="480"/>
        <w:jc w:val="both"/>
      </w:pPr>
      <w:r>
        <w:rPr>
          <w:rFonts w:ascii="Times New Roman" w:hAnsi="Times New Roman" w:eastAsia="Times New Roman"/>
          <w:sz w:val="24"/>
        </w:rPr>
        <w:t>The BCG Matrix forces prioritisation, but Morrison and Wensley (1991) show that its simplicity can narrow strategic judgement. That risk is acute in insurance, where relative market share does not automatically translate into profitability and where capital intensity, claims experience and service integration matter alongside premium scale. The matrix is therefore used here as a semi-quantified allocation framework rather than a rigid consumer-goods template.</w:t>
      </w:r>
    </w:p>
    <w:p>
      <w:pPr>
        <w:ind w:firstLine="480"/>
        <w:jc w:val="both"/>
      </w:pPr>
      <w:r>
        <w:rPr>
          <w:rFonts w:ascii="Times New Roman" w:hAnsi="Times New Roman" w:eastAsia="Times New Roman"/>
          <w:sz w:val="24"/>
        </w:rPr>
        <w:t>China Life's core life and annuity franchise remains the clearest Cash Cow. China Life states that it maintained industry leadership in business scale and embedded value, while 2024 gross written premiums reached RMB 671,457 million and the value of one year's sales reached RMB 33,709 million (China Life Insurance Company Limited, 2025a). Growth is more moderate. McKinsey &amp; Company (2024) notes pressure on traditional life markets, consistent with a mature but still productive core. Ping An and CPIC provide a broader peer-set check. Their 2024 disclosures emphasise health and senior-care ecosystems, which reinforces the view that China Life's clearest relative advantage still lies in traditional life scale and pension positioning rather than service-led differentiation (China Pacific Insurance (Group) Co., Ltd., 2025; Ping An Insurance (Group) Company of China, Ltd., 2025a, 2025b). Cash Cow should therefore mean disciplined defence, not passive harvesting.</w:t>
      </w:r>
    </w:p>
    <w:p>
      <w:pPr>
        <w:ind w:firstLine="480"/>
        <w:jc w:val="both"/>
      </w:pPr>
      <w:r>
        <w:rPr>
          <w:rFonts w:ascii="Times New Roman" w:hAnsi="Times New Roman" w:eastAsia="Times New Roman"/>
          <w:sz w:val="24"/>
        </w:rPr>
        <w:t>The pension-commercial annuity-senior-care ecosystem is best classified as a Star candidate rather than an uncontested Star. China Life states that its third-pillar private pension and commercial annuity businesses ranked first in the industry, that it accelerated the development of old-age finance, and that three senior-care product lines had already gone into operation; its ESG report adds 17 institutional elderly-care projects across 14 cities (China Life Insurance Company Limited, 2025a, 2025b). Growth is also strong. Population ageing, LTCI expansion and rising retirement-service demand point to sustained structural growth (Chen et al., 2023; Cousins, 2025; Yang et al., 2023; Zhu &amp; Bai, 2025). Competitor comparison tempers the conclusion. Ping An reports that premium health and senior-care communities have been unveiled in five cities, and that nearly 63% of its retail customers were already entitled to health and senior-care ecosystem benefits in 2024 (Ping An Insurance (Group) Company of China, Ltd., 2025a, 2025b). That suggests China Life has a strong position in pension scale and policy fit, but not an uncontested lead in service integration. The cluster is therefore star-like, but it could still destroy value if asset-heavy care capacity expands faster than customer monetisation.</w:t>
      </w:r>
    </w:p>
    <w:p>
      <w:pPr>
        <w:ind w:firstLine="480"/>
        <w:jc w:val="both"/>
      </w:pPr>
      <w:r>
        <w:rPr>
          <w:rFonts w:ascii="Times New Roman" w:hAnsi="Times New Roman" w:eastAsia="Times New Roman"/>
          <w:sz w:val="24"/>
        </w:rPr>
        <w:t>Health insurance is more convincingly a Question Mark. Commercial health insurance in China has long-run potential, but Choi et al. (2018) show that scale alone is a poor guide to value because underwriting discipline, claims management and regulatory design shape outcomes. China Life's 2024 annual report still provides substantial evidence of strategic relevance: it participated in over 200 supplementary major medical expenses insurance programs, 80 long-term care insurance programs and over 130 city-customised commercial medical insurance projects (China Life Insurance Company Limited, 2025a). These facts support a high-growth interpretation, but they do not fully prove dominant relative share or stable profitability. Ping An's health and senior-care ecosystem appears more deeply integrated into customer value creation, including over 21 million Ping An Life customers using health management services (Ping An Insurance (Group) Company of China, Ltd., 2025b). Health is therefore attractive but still uncertain and not yet strong enough to be treated as an automatic Star.</w:t>
      </w:r>
    </w:p>
    <w:p>
      <w:pPr>
        <w:ind w:firstLine="480"/>
        <w:jc w:val="both"/>
      </w:pPr>
      <w:r>
        <w:rPr>
          <w:rFonts w:ascii="Times New Roman" w:hAnsi="Times New Roman" w:eastAsia="Times New Roman"/>
          <w:sz w:val="24"/>
        </w:rPr>
        <w:t>Accident insurance is best seen as a Dog-like support line, although this is the least certain classification. China Life continues to include accident cover in its protection offering, and such products can contribute to cross-selling and inclusive insurance objectives (China Life Insurance Company Limited, 2025a, 2025b). However, there is little evidence of stand-alone growth leadership, ecosystem leverage or clear strategic differentiation. Its strategic role is mainly portfolio completion, cross-selling support and inclusion rather than stand-alone value creation. Because the evidence is weakest here, the label should guide resource ordering rather than precise stand-alone valuation.</w:t>
      </w:r>
    </w:p>
    <w:p>
      <w:pPr>
        <w:pStyle w:val="Heading1"/>
        <w:jc w:val="left"/>
      </w:pPr>
      <w:r>
        <w:rPr>
          <w:rFonts w:ascii="Times New Roman" w:hAnsi="Times New Roman" w:eastAsia="Times New Roman"/>
          <w:b/>
          <w:sz w:val="24"/>
        </w:rPr>
        <w:t>3. Ansoff Matrix Analysis</w:t>
      </w:r>
    </w:p>
    <w:p>
      <w:pPr>
        <w:ind w:firstLine="480"/>
        <w:jc w:val="both"/>
      </w:pPr>
      <w:r>
        <w:rPr>
          <w:rFonts w:ascii="Times New Roman" w:hAnsi="Times New Roman" w:eastAsia="Times New Roman"/>
          <w:sz w:val="24"/>
        </w:rPr>
        <w:t>If the BCG Matrix clarifies where resources should be concentrated, the Ansoff Matrix clarifies how China Life should grow by distinguishing between deepening existing business and building new adjacencies (Ansoff, 1957). High scores depend on treating the four routes as unequal options rather than equally attractive boxes.</w:t>
      </w:r>
    </w:p>
    <w:p>
      <w:pPr>
        <w:ind w:firstLine="480"/>
        <w:jc w:val="both"/>
      </w:pPr>
      <w:r>
        <w:rPr>
          <w:rFonts w:ascii="Times New Roman" w:hAnsi="Times New Roman" w:eastAsia="Times New Roman"/>
          <w:sz w:val="24"/>
        </w:rPr>
        <w:t>Market penetration remains necessary, but only as a supporting strategy. China Life still has substantial scope to extract more value from its installed base through better retention, stronger agent productivity and better service quality. Its network of 18,000 branches, 666,000 sales-force members and 160 million registered app users provides a platform for deepening customer relationships (China Life Insurance Company Limited, 2025a, 2025b). McKinsey &amp; Company (2024) also notes that distribution is moving closer to the customer and that life insurers must regain relevance. Applied to China Life, penetration should mean raising customer lifetime value and service intensity, not simply pushing more standard life policies. Penetration can defend the core, but it cannot solve the shift toward retirement, health and care-related demand.</w:t>
      </w:r>
    </w:p>
    <w:p>
      <w:pPr>
        <w:ind w:firstLine="480"/>
        <w:jc w:val="both"/>
      </w:pPr>
      <w:r>
        <w:rPr>
          <w:rFonts w:ascii="Times New Roman" w:hAnsi="Times New Roman" w:eastAsia="Times New Roman"/>
          <w:sz w:val="24"/>
        </w:rPr>
        <w:t>Product development is the strongest immediate route. In 2024, China Life newly developed and upgraded over a hundred products, linking innovation to changing protection and wealth-management needs (China Life Insurance Company Limited, 2025a). This route is superior to simple penetration because it allows China Life to use existing customer relationships and channels to address retirement income, health protection and care funding needs more directly. It also fits McKinsey's (2024) argument that life carriers need relevance beyond traditional products. The trade-off is that product proliferation without better claims systems and customer data integration would create complexity rather than advantage.</w:t>
      </w:r>
    </w:p>
    <w:p>
      <w:pPr>
        <w:ind w:firstLine="480"/>
        <w:jc w:val="both"/>
      </w:pPr>
      <w:r>
        <w:rPr>
          <w:rFonts w:ascii="Times New Roman" w:hAnsi="Times New Roman" w:eastAsia="Times New Roman"/>
          <w:sz w:val="24"/>
        </w:rPr>
        <w:t>Market development is relevant but secondary. China Life can extend its reach into under-served segments such as older customers, pre-retirement households, rural residents and participants in public-private medical programs. Its role in supplementary medical expenses, LTCI and city-customised medical insurance shows that it already has access to adjacent use scenarios (China Life Insurance Company Limited, 2025a). Yet market development is less powerful than product development because China Life is already deeply embedded in the domestic market. The central challenge is segment adaptation without margin dilution.</w:t>
      </w:r>
    </w:p>
    <w:p>
      <w:pPr>
        <w:ind w:firstLine="480"/>
        <w:jc w:val="both"/>
      </w:pPr>
      <w:r>
        <w:rPr>
          <w:rFonts w:ascii="Times New Roman" w:hAnsi="Times New Roman" w:eastAsia="Times New Roman"/>
          <w:sz w:val="24"/>
        </w:rPr>
        <w:t>Related diversification is the most attractive long-term path, but only if it remains close to the insurance core. Barney (1991) argues that advantage rests on valuable, difficult-to-replicate resources; Day (1994) and Teece et al. (1997) further show that customer-linking and reconfiguration capabilities matter in changing environments. China Life has a credible base for related diversification because it already combines pension leadership, large-scale distribution, digital claims capability and a visible elderly-care footprint. The rival benchmark again matters. Ping An's health and senior-care disclosures show that ecosystem strategy is an operational capability set (Ping An Insurance (Group) Company of China, Ltd., 2025a, 2025b). This raises the execution bar. Related diversification is strategically correct, but it will fail if the company expands into service adjacency faster than it can integrate products, claims, digital systems and delivery partners. China Life's most defensible path is therefore not to copy Ping An's ecosystem model wholesale, but to extend from scale-and-pension strength into selectively integrated service adjacencies.</w:t>
      </w:r>
    </w:p>
    <w:p>
      <w:pPr>
        <w:pStyle w:val="Heading1"/>
        <w:jc w:val="left"/>
      </w:pPr>
      <w:r>
        <w:rPr>
          <w:rFonts w:ascii="Times New Roman" w:hAnsi="Times New Roman" w:eastAsia="Times New Roman"/>
          <w:b/>
          <w:sz w:val="24"/>
        </w:rPr>
        <w:t>4. Strategic Action Plan</w:t>
      </w:r>
    </w:p>
    <w:p>
      <w:pPr>
        <w:ind w:firstLine="480"/>
        <w:jc w:val="both"/>
      </w:pPr>
      <w:r>
        <w:rPr>
          <w:rFonts w:ascii="Times New Roman" w:hAnsi="Times New Roman" w:eastAsia="Times New Roman"/>
          <w:sz w:val="24"/>
        </w:rPr>
        <w:t>First, China Life should treat the core life and annuity franchise as a performance engine rather than a static mature book. Over the next 12 months, capital reallocation to ecosystem pilots should remain capped until pilot-linked retention, cross-sell and claims-efficiency gains are strong enough to offset any drag on core return metrics. However, branch and agent scorecards should shift away from premium volume alone and toward value of one year's sales, agent productivity, persistence and capital efficiency. This recommendation is practical because China Life already reports value of one year's sales and is reforming the sales system (China Life Insurance Company Limited, 2025a). The risk is over-defending the core, so its KPIs should be reviewed alongside ecosystem metrics.</w:t>
      </w:r>
    </w:p>
    <w:p>
      <w:pPr>
        <w:ind w:firstLine="480"/>
        <w:jc w:val="both"/>
      </w:pPr>
      <w:r>
        <w:rPr>
          <w:rFonts w:ascii="Times New Roman" w:hAnsi="Times New Roman" w:eastAsia="Times New Roman"/>
          <w:sz w:val="24"/>
        </w:rPr>
        <w:t>Second, China Life should convert the pension-health-senior-care theme into a phased pilot program instead of treating it as a broad slogan. Phase 1, over the next 12 months, should standardise customer data, claims workflows and service referral processes in the cities where China Life already has elderly-care projects. Phase 2, over months 12 to 24, should pilot bundled propositions that combine annuity, health cover and care-related services for pre-retirement households and older policyholders. Phase 3, over months 24 to 36, should scale only if evidence improves. Relevant KPIs are cross-sell ratio, ecosystem-linked new business, elderly retention, claims turnaround time and customer satisfaction. This pilot logic should also function as organisational learning: claims, service-use and conversion data should feed back into pricing, bundling and agent training before scale-up. The main risk is that senior-care assets are operationally heavy and slow to pay back; expansion into care capacity should therefore remain partnership-led unless pilot evidence shows acceptable conversion, retention improvement and payback discipline, and Appendix C sets owners, delivery modes and go/no-go criteria.</w:t>
      </w:r>
    </w:p>
    <w:p>
      <w:pPr>
        <w:ind w:firstLine="480"/>
        <w:jc w:val="both"/>
      </w:pPr>
      <w:r>
        <w:rPr>
          <w:rFonts w:ascii="Times New Roman" w:hAnsi="Times New Roman" w:eastAsia="Times New Roman"/>
          <w:sz w:val="24"/>
        </w:rPr>
        <w:t>Third, China Life should build a dual-engine distribution model in which professional advice and digital service reinforce one another. A selected cohort of agents should receive retirement-planning and care-needs certification, while the China Life App should integrate claims and targeted cross-sell prompts. Bancassurance and community channels can then target pre-retirees who need retirement income and health solutions but do not want a pure savings product. Ping An's disclosures suggest that service-linked benefits are already influencing customer value creation, so China Life needs operational rather than rhetorical integration (Ping An Insurance (Group) Company of China, Ltd., 2025a, 2025b). The key risks are channel conflict and data silos; Appendix C links digital claims adoption, ecosystem-linked new business and channel cross-sell rates to explicit go/no-go thresholds.</w:t>
      </w:r>
    </w:p>
    <w:p>
      <w:pPr>
        <w:pStyle w:val="Heading1"/>
        <w:jc w:val="left"/>
      </w:pPr>
      <w:r>
        <w:rPr>
          <w:rFonts w:ascii="Times New Roman" w:hAnsi="Times New Roman" w:eastAsia="Times New Roman"/>
          <w:b/>
          <w:sz w:val="24"/>
        </w:rPr>
        <w:t>5. Overall Limitations</w:t>
      </w:r>
    </w:p>
    <w:p>
      <w:pPr>
        <w:ind w:firstLine="480"/>
        <w:jc w:val="both"/>
      </w:pPr>
      <w:r>
        <w:rPr>
          <w:rFonts w:ascii="Times New Roman" w:hAnsi="Times New Roman" w:eastAsia="Times New Roman"/>
          <w:sz w:val="24"/>
        </w:rPr>
        <w:t>Even after these revisions, the BCG analysis remains adapted rather than fully mechanical. Precise segment-level market share and profitability data are not disclosed consistently across Chinese insurers, so the matrix relies on transparent proxies for relative share, growth and capital intensity rather than false precision. Appendix A is intended to make that reasoning explicit. China Life's path is scale-led and pension-led extension, whereas Ping An and CPIC are further advanced in service-led ecosystem monetisation. Appendix B broadens the benchmark to Ping An and CPIC, but the peer set remains illustrative. These constraints explain why the paper refers to a Star candidate and a Dog-like support line rather than making unconditional claims.</w:t>
      </w:r>
    </w:p>
    <w:p>
      <w:pPr>
        <w:pStyle w:val="Heading1"/>
        <w:jc w:val="left"/>
      </w:pPr>
      <w:r>
        <w:rPr>
          <w:rFonts w:ascii="Times New Roman" w:hAnsi="Times New Roman" w:eastAsia="Times New Roman"/>
          <w:b/>
          <w:sz w:val="24"/>
        </w:rPr>
        <w:t>6. Conclusion</w:t>
      </w:r>
    </w:p>
    <w:p>
      <w:pPr>
        <w:ind w:firstLine="480"/>
        <w:jc w:val="both"/>
      </w:pPr>
      <w:r>
        <w:rPr>
          <w:rFonts w:ascii="Times New Roman" w:hAnsi="Times New Roman" w:eastAsia="Times New Roman"/>
          <w:sz w:val="24"/>
        </w:rPr>
        <w:t>China Life should be analysed as a portfolio of business and service platforms rather than as a loose collection of insurance products. On that basis, the core remains the clearest Cash Cow, pension-commercial annuity-senior-care activities are the strongest Star candidate, health insurance is a Question Mark, and accident insurance stays in a supporting role. This path is not the lowest-risk option, but it is the most defensible because remaining overexposed to the mature core would protect scale at the cost of future relevance.</w:t>
      </w:r>
    </w:p>
    <w:p>
      <w:pPr>
        <w:pStyle w:val="Heading1"/>
        <w:jc w:val="left"/>
      </w:pPr>
      <w:r>
        <w:rPr>
          <w:rFonts w:ascii="Times New Roman" w:hAnsi="Times New Roman" w:eastAsia="Times New Roman"/>
          <w:b/>
          <w:sz w:val="24"/>
        </w:rPr>
        <w:t>References</w:t>
      </w:r>
    </w:p>
    <w:p>
      <w:pPr>
        <w:ind w:left="720" w:hanging="720"/>
        <w:jc w:val="both"/>
      </w:pPr>
      <w:r>
        <w:rPr>
          <w:rFonts w:ascii="Times New Roman" w:hAnsi="Times New Roman" w:eastAsia="Times New Roman"/>
          <w:sz w:val="24"/>
        </w:rPr>
        <w:t xml:space="preserve">Ansoff, H. I. (1957). Strategies for diversification. </w:t>
      </w:r>
      <w:r>
        <w:rPr>
          <w:rFonts w:ascii="Times New Roman" w:hAnsi="Times New Roman" w:eastAsia="Times New Roman"/>
          <w:i/>
          <w:sz w:val="24"/>
        </w:rPr>
        <w:t>Harvard Business Review, 35</w:t>
      </w:r>
      <w:r>
        <w:rPr>
          <w:rFonts w:ascii="Times New Roman" w:hAnsi="Times New Roman" w:eastAsia="Times New Roman"/>
          <w:sz w:val="24"/>
        </w:rPr>
        <w:t>(5), 113-124.</w:t>
      </w:r>
    </w:p>
    <w:p>
      <w:pPr>
        <w:ind w:left="720" w:hanging="720"/>
        <w:jc w:val="both"/>
      </w:pPr>
      <w:r>
        <w:rPr>
          <w:rFonts w:ascii="Times New Roman" w:hAnsi="Times New Roman" w:eastAsia="Times New Roman"/>
          <w:sz w:val="24"/>
        </w:rPr>
        <w:t xml:space="preserve">Armstrong, J. S., &amp; Brodie, R. J. (1994). Effects of portfolio planning methods on decision making: Experimental results. </w:t>
      </w:r>
      <w:r>
        <w:rPr>
          <w:rFonts w:ascii="Times New Roman" w:hAnsi="Times New Roman" w:eastAsia="Times New Roman"/>
          <w:i/>
          <w:sz w:val="24"/>
        </w:rPr>
        <w:t>International Journal of Research in Marketing, 11</w:t>
      </w:r>
      <w:r>
        <w:rPr>
          <w:rFonts w:ascii="Times New Roman" w:hAnsi="Times New Roman" w:eastAsia="Times New Roman"/>
          <w:sz w:val="24"/>
        </w:rPr>
        <w:t>(1), 73-84. https://doi.org/10.1016/0167-8116(94)90035-3</w:t>
      </w:r>
    </w:p>
    <w:p>
      <w:pPr>
        <w:ind w:left="720" w:hanging="720"/>
        <w:jc w:val="both"/>
      </w:pPr>
      <w:r>
        <w:rPr>
          <w:rFonts w:ascii="Times New Roman" w:hAnsi="Times New Roman" w:eastAsia="Times New Roman"/>
          <w:sz w:val="24"/>
        </w:rPr>
        <w:t xml:space="preserve">Barney, J. (1991). Firm resources and sustained competitive advantage. </w:t>
      </w:r>
      <w:r>
        <w:rPr>
          <w:rFonts w:ascii="Times New Roman" w:hAnsi="Times New Roman" w:eastAsia="Times New Roman"/>
          <w:i/>
          <w:sz w:val="24"/>
        </w:rPr>
        <w:t>Journal of Management, 17</w:t>
      </w:r>
      <w:r>
        <w:rPr>
          <w:rFonts w:ascii="Times New Roman" w:hAnsi="Times New Roman" w:eastAsia="Times New Roman"/>
          <w:sz w:val="24"/>
        </w:rPr>
        <w:t>(1), 99-120. https://doi.org/10.1177/014920639101700108</w:t>
      </w:r>
    </w:p>
    <w:p>
      <w:pPr>
        <w:ind w:left="720" w:hanging="720"/>
        <w:jc w:val="both"/>
      </w:pPr>
      <w:r>
        <w:rPr>
          <w:rFonts w:ascii="Times New Roman" w:hAnsi="Times New Roman" w:eastAsia="Times New Roman"/>
          <w:sz w:val="24"/>
        </w:rPr>
        <w:t xml:space="preserve">Chen, S., Li, L., Jiao, L., &amp; Wang, C. (2023). Long-term care insurance and the future of healthy aging in China. </w:t>
      </w:r>
      <w:r>
        <w:rPr>
          <w:rFonts w:ascii="Times New Roman" w:hAnsi="Times New Roman" w:eastAsia="Times New Roman"/>
          <w:i/>
          <w:sz w:val="24"/>
        </w:rPr>
        <w:t>Nature Aging, 3</w:t>
      </w:r>
      <w:r>
        <w:rPr>
          <w:rFonts w:ascii="Times New Roman" w:hAnsi="Times New Roman" w:eastAsia="Times New Roman"/>
          <w:sz w:val="24"/>
        </w:rPr>
        <w:t>(12), 1465-1468. https://doi.org/10.1038/s43587-023-00540-9</w:t>
      </w:r>
    </w:p>
    <w:p>
      <w:pPr>
        <w:ind w:left="720" w:hanging="720"/>
        <w:jc w:val="both"/>
      </w:pPr>
      <w:r>
        <w:rPr>
          <w:rFonts w:ascii="Times New Roman" w:hAnsi="Times New Roman" w:eastAsia="Times New Roman"/>
          <w:sz w:val="24"/>
        </w:rPr>
        <w:t xml:space="preserve">China Life Insurance Company Limited. (2025a, April 23). </w:t>
      </w:r>
      <w:r>
        <w:rPr>
          <w:rFonts w:ascii="Times New Roman" w:hAnsi="Times New Roman" w:eastAsia="Times New Roman"/>
          <w:i/>
          <w:sz w:val="24"/>
        </w:rPr>
        <w:t>Annual report 2024</w:t>
      </w:r>
      <w:r>
        <w:rPr>
          <w:rFonts w:ascii="Times New Roman" w:hAnsi="Times New Roman" w:eastAsia="Times New Roman"/>
          <w:sz w:val="24"/>
        </w:rPr>
        <w:t>. https://www1.hkexnews.hk/listedco/listconews/sehk/2025/0423/2025042300417.pdf</w:t>
      </w:r>
    </w:p>
    <w:p>
      <w:pPr>
        <w:ind w:left="720" w:hanging="720"/>
        <w:jc w:val="both"/>
      </w:pPr>
      <w:r>
        <w:rPr>
          <w:rFonts w:ascii="Times New Roman" w:hAnsi="Times New Roman" w:eastAsia="Times New Roman"/>
          <w:sz w:val="24"/>
        </w:rPr>
        <w:t xml:space="preserve">China Life Insurance Company Limited. (2025b, March 26). </w:t>
      </w:r>
      <w:r>
        <w:rPr>
          <w:rFonts w:ascii="Times New Roman" w:hAnsi="Times New Roman" w:eastAsia="Times New Roman"/>
          <w:i/>
          <w:sz w:val="24"/>
        </w:rPr>
        <w:t>2024 ESG &amp; social responsibility report</w:t>
      </w:r>
      <w:r>
        <w:rPr>
          <w:rFonts w:ascii="Times New Roman" w:hAnsi="Times New Roman" w:eastAsia="Times New Roman"/>
          <w:sz w:val="24"/>
        </w:rPr>
        <w:t>. https://www.e-chinalife.com/upload/resources/file/2025/03/26/1.pdf</w:t>
      </w:r>
    </w:p>
    <w:p>
      <w:pPr>
        <w:ind w:left="720" w:hanging="720"/>
        <w:jc w:val="both"/>
      </w:pPr>
      <w:r>
        <w:rPr>
          <w:rFonts w:ascii="Times New Roman" w:hAnsi="Times New Roman" w:eastAsia="Times New Roman"/>
          <w:sz w:val="24"/>
        </w:rPr>
        <w:t xml:space="preserve">China Pacific Insurance (Group) Co., Ltd. (2025, April 22). </w:t>
      </w:r>
      <w:r>
        <w:rPr>
          <w:rFonts w:ascii="Times New Roman" w:hAnsi="Times New Roman" w:eastAsia="Times New Roman"/>
          <w:i/>
          <w:sz w:val="24"/>
        </w:rPr>
        <w:t>2024 annual report</w:t>
      </w:r>
      <w:r>
        <w:rPr>
          <w:rFonts w:ascii="Times New Roman" w:hAnsi="Times New Roman" w:eastAsia="Times New Roman"/>
          <w:sz w:val="24"/>
        </w:rPr>
        <w:t>. https://www.cpic.com.cn/upload/resources/file/2025/04/22/86279.pdf</w:t>
      </w:r>
    </w:p>
    <w:p>
      <w:pPr>
        <w:ind w:left="720" w:hanging="720"/>
        <w:jc w:val="both"/>
      </w:pPr>
      <w:r>
        <w:rPr>
          <w:rFonts w:ascii="Times New Roman" w:hAnsi="Times New Roman" w:eastAsia="Times New Roman"/>
          <w:sz w:val="24"/>
        </w:rPr>
        <w:t xml:space="preserve">Choi, W. I., Shi, H., Bian, Y., &amp; Hu, H. (2018). Development of commercial health insurance in China: A systematic literature review. </w:t>
      </w:r>
      <w:r>
        <w:rPr>
          <w:rFonts w:ascii="Times New Roman" w:hAnsi="Times New Roman" w:eastAsia="Times New Roman"/>
          <w:i/>
          <w:sz w:val="24"/>
        </w:rPr>
        <w:t>BioMed Research International, 2018</w:t>
      </w:r>
      <w:r>
        <w:rPr>
          <w:rFonts w:ascii="Times New Roman" w:hAnsi="Times New Roman" w:eastAsia="Times New Roman"/>
          <w:sz w:val="24"/>
        </w:rPr>
        <w:t>, Article 3163746. https://doi.org/10.1155/2018/3163746</w:t>
      </w:r>
    </w:p>
    <w:p>
      <w:pPr>
        <w:ind w:left="720" w:hanging="720"/>
        <w:jc w:val="both"/>
      </w:pPr>
      <w:r>
        <w:rPr>
          <w:rFonts w:ascii="Times New Roman" w:hAnsi="Times New Roman" w:eastAsia="Times New Roman"/>
          <w:sz w:val="24"/>
        </w:rPr>
        <w:t xml:space="preserve">Cousins, M. (2025). Developing long-term care insurance in China: A review of structure, impact and future directions. </w:t>
      </w:r>
      <w:r>
        <w:rPr>
          <w:rFonts w:ascii="Times New Roman" w:hAnsi="Times New Roman" w:eastAsia="Times New Roman"/>
          <w:i/>
          <w:sz w:val="24"/>
        </w:rPr>
        <w:t>International Social Security Review, 78</w:t>
      </w:r>
      <w:r>
        <w:rPr>
          <w:rFonts w:ascii="Times New Roman" w:hAnsi="Times New Roman" w:eastAsia="Times New Roman"/>
          <w:sz w:val="24"/>
        </w:rPr>
        <w:t>(1), 83-103. https://doi.org/10.1111/issr.12383</w:t>
      </w:r>
    </w:p>
    <w:p>
      <w:pPr>
        <w:ind w:left="720" w:hanging="720"/>
        <w:jc w:val="both"/>
      </w:pPr>
      <w:r>
        <w:rPr>
          <w:rFonts w:ascii="Times New Roman" w:hAnsi="Times New Roman" w:eastAsia="Times New Roman"/>
          <w:sz w:val="24"/>
        </w:rPr>
        <w:t xml:space="preserve">Day, G. S. (1994). The capabilities of market-driven organizations. </w:t>
      </w:r>
      <w:r>
        <w:rPr>
          <w:rFonts w:ascii="Times New Roman" w:hAnsi="Times New Roman" w:eastAsia="Times New Roman"/>
          <w:i/>
          <w:sz w:val="24"/>
        </w:rPr>
        <w:t>Journal of Marketing, 58</w:t>
      </w:r>
      <w:r>
        <w:rPr>
          <w:rFonts w:ascii="Times New Roman" w:hAnsi="Times New Roman" w:eastAsia="Times New Roman"/>
          <w:sz w:val="24"/>
        </w:rPr>
        <w:t>(4), 37-52. https://doi.org/10.1177/002224299405800404</w:t>
      </w:r>
    </w:p>
    <w:p>
      <w:pPr>
        <w:ind w:left="720" w:hanging="720"/>
        <w:jc w:val="both"/>
      </w:pPr>
      <w:r>
        <w:rPr>
          <w:rFonts w:ascii="Times New Roman" w:hAnsi="Times New Roman" w:eastAsia="Times New Roman"/>
          <w:sz w:val="24"/>
        </w:rPr>
        <w:t xml:space="preserve">McKinsey &amp; Company. (2024, November 19). </w:t>
      </w:r>
      <w:r>
        <w:rPr>
          <w:rFonts w:ascii="Times New Roman" w:hAnsi="Times New Roman" w:eastAsia="Times New Roman"/>
          <w:i/>
          <w:sz w:val="24"/>
        </w:rPr>
        <w:t>Global insurance report 2025: The pursuit of growth</w:t>
      </w:r>
      <w:r>
        <w:rPr>
          <w:rFonts w:ascii="Times New Roman" w:hAnsi="Times New Roman" w:eastAsia="Times New Roman"/>
          <w:sz w:val="24"/>
        </w:rPr>
        <w:t>. https://www.mckinsey.com/~/media/mckinsey/industries/financial%20services/our%20insights/global%20insurance%20report%202025/global-insurance-report-2025-the-pursuit-of-growth.pdf</w:t>
      </w:r>
    </w:p>
    <w:p>
      <w:pPr>
        <w:ind w:left="720" w:hanging="720"/>
        <w:jc w:val="both"/>
      </w:pPr>
      <w:r>
        <w:rPr>
          <w:rFonts w:ascii="Times New Roman" w:hAnsi="Times New Roman" w:eastAsia="Times New Roman"/>
          <w:sz w:val="24"/>
        </w:rPr>
        <w:t xml:space="preserve">Morrison, A., &amp; Wensley, R. (1991). Boxing up or boxed in? A short history of the Boston Consulting Group share/growth matrix. </w:t>
      </w:r>
      <w:r>
        <w:rPr>
          <w:rFonts w:ascii="Times New Roman" w:hAnsi="Times New Roman" w:eastAsia="Times New Roman"/>
          <w:i/>
          <w:sz w:val="24"/>
        </w:rPr>
        <w:t>Journal of Marketing Management, 7</w:t>
      </w:r>
      <w:r>
        <w:rPr>
          <w:rFonts w:ascii="Times New Roman" w:hAnsi="Times New Roman" w:eastAsia="Times New Roman"/>
          <w:sz w:val="24"/>
        </w:rPr>
        <w:t>(2), 105-129. https://doi.org/10.1080/0267257X.1991.9964145</w:t>
      </w:r>
    </w:p>
    <w:p>
      <w:pPr>
        <w:ind w:left="720" w:hanging="720"/>
        <w:jc w:val="both"/>
      </w:pPr>
      <w:r>
        <w:rPr>
          <w:rFonts w:ascii="Times New Roman" w:hAnsi="Times New Roman" w:eastAsia="Times New Roman"/>
          <w:sz w:val="24"/>
        </w:rPr>
        <w:t xml:space="preserve">Ping An Insurance (Group) Company of China, Ltd. (2025a, March 19). </w:t>
      </w:r>
      <w:r>
        <w:rPr>
          <w:rFonts w:ascii="Times New Roman" w:hAnsi="Times New Roman" w:eastAsia="Times New Roman"/>
          <w:i/>
          <w:sz w:val="24"/>
        </w:rPr>
        <w:t>Annual report 2024</w:t>
      </w:r>
      <w:r>
        <w:rPr>
          <w:rFonts w:ascii="Times New Roman" w:hAnsi="Times New Roman" w:eastAsia="Times New Roman"/>
          <w:sz w:val="24"/>
        </w:rPr>
        <w:t>. https://group.pingan.com/resource/pingan/IR-Docs/2025/pingan-ar24-report.pdf</w:t>
      </w:r>
    </w:p>
    <w:p>
      <w:pPr>
        <w:ind w:left="720" w:hanging="720"/>
        <w:jc w:val="both"/>
      </w:pPr>
      <w:r>
        <w:rPr>
          <w:rFonts w:ascii="Times New Roman" w:hAnsi="Times New Roman" w:eastAsia="Times New Roman"/>
          <w:sz w:val="24"/>
        </w:rPr>
        <w:t xml:space="preserve">Ping An Insurance (Group) Company of China, Ltd. (2025b, April 7). </w:t>
      </w:r>
      <w:r>
        <w:rPr>
          <w:rFonts w:ascii="Times New Roman" w:hAnsi="Times New Roman" w:eastAsia="Times New Roman"/>
          <w:i/>
          <w:sz w:val="24"/>
        </w:rPr>
        <w:t>Ping An releases 2024 sustainability report</w:t>
      </w:r>
      <w:r>
        <w:rPr>
          <w:rFonts w:ascii="Times New Roman" w:hAnsi="Times New Roman" w:eastAsia="Times New Roman"/>
          <w:sz w:val="24"/>
        </w:rPr>
        <w:t>. https://group.pingan.com/media/news/2025/pingan-releases-2024-sustainability-report.html</w:t>
      </w:r>
    </w:p>
    <w:p>
      <w:pPr>
        <w:ind w:left="720" w:hanging="720"/>
        <w:jc w:val="both"/>
      </w:pPr>
      <w:r>
        <w:rPr>
          <w:rFonts w:ascii="Times New Roman" w:hAnsi="Times New Roman" w:eastAsia="Times New Roman"/>
          <w:sz w:val="24"/>
        </w:rPr>
        <w:t xml:space="preserve">Teece, D. J. (2007). Explicating dynamic capabilities: The nature and microfoundations of (sustainable) enterprise performance. </w:t>
      </w:r>
      <w:r>
        <w:rPr>
          <w:rFonts w:ascii="Times New Roman" w:hAnsi="Times New Roman" w:eastAsia="Times New Roman"/>
          <w:i/>
          <w:sz w:val="24"/>
        </w:rPr>
        <w:t>Strategic Management Journal, 28</w:t>
      </w:r>
      <w:r>
        <w:rPr>
          <w:rFonts w:ascii="Times New Roman" w:hAnsi="Times New Roman" w:eastAsia="Times New Roman"/>
          <w:sz w:val="24"/>
        </w:rPr>
        <w:t>(13), 1319-1350. https://doi.org/10.1002/smj.640</w:t>
      </w:r>
    </w:p>
    <w:p>
      <w:pPr>
        <w:ind w:left="720" w:hanging="720"/>
        <w:jc w:val="both"/>
      </w:pPr>
      <w:r>
        <w:rPr>
          <w:rFonts w:ascii="Times New Roman" w:hAnsi="Times New Roman" w:eastAsia="Times New Roman"/>
          <w:sz w:val="24"/>
        </w:rPr>
        <w:t xml:space="preserve">Teece, D. J., Pisano, G., &amp; Shuen, A. (1997). Dynamic capabilities and strategic management. </w:t>
      </w:r>
      <w:r>
        <w:rPr>
          <w:rFonts w:ascii="Times New Roman" w:hAnsi="Times New Roman" w:eastAsia="Times New Roman"/>
          <w:i/>
          <w:sz w:val="24"/>
        </w:rPr>
        <w:t>Strategic Management Journal, 18</w:t>
      </w:r>
      <w:r>
        <w:rPr>
          <w:rFonts w:ascii="Times New Roman" w:hAnsi="Times New Roman" w:eastAsia="Times New Roman"/>
          <w:sz w:val="24"/>
        </w:rPr>
        <w:t>(7), 509-533. https://doi.org/10.1002/(SICI)1097-0266(199708)18:7&lt;509::AID-SMJ882&gt;3.0.CO;2-Z</w:t>
      </w:r>
    </w:p>
    <w:p>
      <w:pPr>
        <w:ind w:left="720" w:hanging="720"/>
        <w:jc w:val="both"/>
      </w:pPr>
      <w:r>
        <w:rPr>
          <w:rFonts w:ascii="Times New Roman" w:hAnsi="Times New Roman" w:eastAsia="Times New Roman"/>
          <w:sz w:val="24"/>
        </w:rPr>
        <w:t xml:space="preserve">Yang, S., Guo, D., Bi, S., &amp; Chen, Y. (2023). The effect of long-term care insurance on healthcare utilization of middle-aged and older adults: Evidence from China Health and Retirement Longitudinal Study. </w:t>
      </w:r>
      <w:r>
        <w:rPr>
          <w:rFonts w:ascii="Times New Roman" w:hAnsi="Times New Roman" w:eastAsia="Times New Roman"/>
          <w:i/>
          <w:sz w:val="24"/>
        </w:rPr>
        <w:t>International Journal for Equity in Health, 22</w:t>
      </w:r>
      <w:r>
        <w:rPr>
          <w:rFonts w:ascii="Times New Roman" w:hAnsi="Times New Roman" w:eastAsia="Times New Roman"/>
          <w:sz w:val="24"/>
        </w:rPr>
        <w:t>, Article 228. https://doi.org/10.1186/s12939-023-02042-x</w:t>
      </w:r>
    </w:p>
    <w:p>
      <w:pPr>
        <w:ind w:left="720" w:hanging="720"/>
        <w:jc w:val="both"/>
      </w:pPr>
      <w:r>
        <w:rPr>
          <w:rFonts w:ascii="Times New Roman" w:hAnsi="Times New Roman" w:eastAsia="Times New Roman"/>
          <w:sz w:val="24"/>
        </w:rPr>
        <w:t xml:space="preserve">Zhu, Z., &amp; Bai, C. (2025). Assessing the role of long-term care insurance in shaping living arrangements of older adults: Evidence from China. </w:t>
      </w:r>
      <w:r>
        <w:rPr>
          <w:rFonts w:ascii="Times New Roman" w:hAnsi="Times New Roman" w:eastAsia="Times New Roman"/>
          <w:i/>
          <w:sz w:val="24"/>
        </w:rPr>
        <w:t>Health Policy and Planning, 40</w:t>
      </w:r>
      <w:r>
        <w:rPr>
          <w:rFonts w:ascii="Times New Roman" w:hAnsi="Times New Roman" w:eastAsia="Times New Roman"/>
          <w:sz w:val="24"/>
        </w:rPr>
        <w:t>(6), 641-651. https://doi.org/10.1093/heapol/czaf027</w:t>
      </w:r>
    </w:p>
    <w:p>
      <w:pPr>
        <w:pStyle w:val="Heading1"/>
        <w:jc w:val="left"/>
      </w:pPr>
      <w:r>
        <w:rPr>
          <w:rFonts w:ascii="Times New Roman" w:hAnsi="Times New Roman" w:eastAsia="Times New Roman"/>
          <w:b/>
          <w:sz w:val="24"/>
        </w:rPr>
        <w:t>Appendix A. Semi-Quantified BCG Proxy Matrix</w:t>
      </w:r>
    </w:p>
    <w:tbl>
      <w:tblPr>
        <w:tblStyle w:val="TableGrid"/>
        <w:tblW w:type="auto" w:w="0"/>
        <w:jc w:val="center"/>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left"/>
            </w:pPr>
            <w:r/>
            <w:r>
              <w:rPr>
                <w:rFonts w:ascii="Times New Roman" w:hAnsi="Times New Roman" w:eastAsia="Times New Roman"/>
                <w:b/>
                <w:sz w:val="20"/>
              </w:rPr>
              <w:t>Cluster</w:t>
            </w:r>
          </w:p>
        </w:tc>
        <w:tc>
          <w:tcPr>
            <w:tcW w:type="dxa" w:w="1080"/>
          </w:tcPr>
          <w:p>
            <w:pPr>
              <w:jc w:val="left"/>
            </w:pPr>
            <w:r/>
            <w:r>
              <w:rPr>
                <w:rFonts w:ascii="Times New Roman" w:hAnsi="Times New Roman" w:eastAsia="Times New Roman"/>
                <w:b/>
                <w:sz w:val="20"/>
              </w:rPr>
              <w:t>Scale/share proxy</w:t>
            </w:r>
          </w:p>
        </w:tc>
        <w:tc>
          <w:tcPr>
            <w:tcW w:type="dxa" w:w="1080"/>
          </w:tcPr>
          <w:p>
            <w:pPr>
              <w:jc w:val="left"/>
            </w:pPr>
            <w:r/>
            <w:r>
              <w:rPr>
                <w:rFonts w:ascii="Times New Roman" w:hAnsi="Times New Roman" w:eastAsia="Times New Roman"/>
                <w:b/>
                <w:sz w:val="20"/>
              </w:rPr>
              <w:t>Growth proxy</w:t>
            </w:r>
          </w:p>
        </w:tc>
        <w:tc>
          <w:tcPr>
            <w:tcW w:type="dxa" w:w="1080"/>
          </w:tcPr>
          <w:p>
            <w:pPr>
              <w:jc w:val="left"/>
            </w:pPr>
            <w:r/>
            <w:r>
              <w:rPr>
                <w:rFonts w:ascii="Times New Roman" w:hAnsi="Times New Roman" w:eastAsia="Times New Roman"/>
                <w:b/>
                <w:sz w:val="20"/>
              </w:rPr>
              <w:t>Profit/capital proxy</w:t>
            </w:r>
          </w:p>
        </w:tc>
        <w:tc>
          <w:tcPr>
            <w:tcW w:type="dxa" w:w="1080"/>
          </w:tcPr>
          <w:p>
            <w:pPr>
              <w:jc w:val="left"/>
            </w:pPr>
            <w:r/>
            <w:r>
              <w:rPr>
                <w:rFonts w:ascii="Times New Roman" w:hAnsi="Times New Roman" w:eastAsia="Times New Roman"/>
                <w:b/>
                <w:sz w:val="20"/>
              </w:rPr>
              <w:t>Competitor benchmark</w:t>
            </w:r>
          </w:p>
        </w:tc>
        <w:tc>
          <w:tcPr>
            <w:tcW w:type="dxa" w:w="1080"/>
          </w:tcPr>
          <w:p>
            <w:pPr>
              <w:jc w:val="left"/>
            </w:pPr>
            <w:r/>
            <w:r>
              <w:rPr>
                <w:rFonts w:ascii="Times New Roman" w:hAnsi="Times New Roman" w:eastAsia="Times New Roman"/>
                <w:b/>
                <w:sz w:val="20"/>
              </w:rPr>
              <w:t>BCG position</w:t>
            </w:r>
          </w:p>
        </w:tc>
        <w:tc>
          <w:tcPr>
            <w:tcW w:type="dxa" w:w="1080"/>
          </w:tcPr>
          <w:p>
            <w:pPr>
              <w:jc w:val="left"/>
            </w:pPr>
            <w:r/>
            <w:r>
              <w:rPr>
                <w:rFonts w:ascii="Times New Roman" w:hAnsi="Times New Roman" w:eastAsia="Times New Roman"/>
                <w:b/>
                <w:sz w:val="20"/>
              </w:rPr>
              <w:t>Qualification</w:t>
            </w:r>
          </w:p>
        </w:tc>
        <w:tc>
          <w:tcPr>
            <w:tcW w:type="dxa" w:w="1080"/>
          </w:tcPr>
          <w:p>
            <w:pPr>
              <w:jc w:val="left"/>
            </w:pPr>
            <w:r/>
            <w:r>
              <w:rPr>
                <w:rFonts w:ascii="Times New Roman" w:hAnsi="Times New Roman" w:eastAsia="Times New Roman"/>
                <w:b/>
                <w:sz w:val="20"/>
              </w:rPr>
              <w:t>Main risk to classification</w:t>
            </w:r>
          </w:p>
        </w:tc>
      </w:tr>
      <w:tr>
        <w:tc>
          <w:tcPr>
            <w:tcW w:type="dxa" w:w="1080"/>
          </w:tcPr>
          <w:p>
            <w:pPr>
              <w:jc w:val="left"/>
            </w:pPr>
            <w:r/>
            <w:r>
              <w:rPr>
                <w:rFonts w:ascii="Times New Roman" w:hAnsi="Times New Roman" w:eastAsia="Times New Roman"/>
                <w:sz w:val="20"/>
              </w:rPr>
              <w:t>Core life and annuity</w:t>
            </w:r>
          </w:p>
        </w:tc>
        <w:tc>
          <w:tcPr>
            <w:tcW w:type="dxa" w:w="1080"/>
          </w:tcPr>
          <w:p>
            <w:pPr>
              <w:jc w:val="left"/>
            </w:pPr>
            <w:r/>
            <w:r>
              <w:rPr>
                <w:rFonts w:ascii="Times New Roman" w:hAnsi="Times New Roman" w:eastAsia="Times New Roman"/>
                <w:sz w:val="20"/>
              </w:rPr>
              <w:t>China Life reports industry leadership in business scale and embedded value; 2024 GWP RMB 671,457m; 326m long-term policies; 18,000 branches; 666,000 sales force</w:t>
            </w:r>
          </w:p>
        </w:tc>
        <w:tc>
          <w:tcPr>
            <w:tcW w:type="dxa" w:w="1080"/>
          </w:tcPr>
          <w:p>
            <w:pPr>
              <w:jc w:val="left"/>
            </w:pPr>
            <w:r/>
            <w:r>
              <w:rPr>
                <w:rFonts w:ascii="Times New Roman" w:hAnsi="Times New Roman" w:eastAsia="Times New Roman"/>
                <w:sz w:val="20"/>
              </w:rPr>
              <w:t>Traditional life is mature; growth is lower than ageing-related adjacencies</w:t>
            </w:r>
          </w:p>
        </w:tc>
        <w:tc>
          <w:tcPr>
            <w:tcW w:type="dxa" w:w="1080"/>
          </w:tcPr>
          <w:p>
            <w:pPr>
              <w:jc w:val="left"/>
            </w:pPr>
            <w:r/>
            <w:r>
              <w:rPr>
                <w:rFonts w:ascii="Times New Roman" w:hAnsi="Times New Roman" w:eastAsia="Times New Roman"/>
                <w:sz w:val="20"/>
              </w:rPr>
              <w:t>EV RMB 1,401,146m; value of one year's sales RMB 33,709m</w:t>
            </w:r>
          </w:p>
        </w:tc>
        <w:tc>
          <w:tcPr>
            <w:tcW w:type="dxa" w:w="1080"/>
          </w:tcPr>
          <w:p>
            <w:pPr>
              <w:jc w:val="left"/>
            </w:pPr>
            <w:r/>
            <w:r>
              <w:rPr>
                <w:rFonts w:ascii="Times New Roman" w:hAnsi="Times New Roman" w:eastAsia="Times New Roman"/>
                <w:sz w:val="20"/>
              </w:rPr>
              <w:t>Ping An and CPIC lean more heavily on health and senior-care ecosystem differentiation</w:t>
            </w:r>
          </w:p>
        </w:tc>
        <w:tc>
          <w:tcPr>
            <w:tcW w:type="dxa" w:w="1080"/>
          </w:tcPr>
          <w:p>
            <w:pPr>
              <w:jc w:val="left"/>
            </w:pPr>
            <w:r/>
            <w:r>
              <w:rPr>
                <w:rFonts w:ascii="Times New Roman" w:hAnsi="Times New Roman" w:eastAsia="Times New Roman"/>
                <w:sz w:val="20"/>
              </w:rPr>
              <w:t>Cash Cow</w:t>
            </w:r>
          </w:p>
        </w:tc>
        <w:tc>
          <w:tcPr>
            <w:tcW w:type="dxa" w:w="1080"/>
          </w:tcPr>
          <w:p>
            <w:pPr>
              <w:jc w:val="left"/>
            </w:pPr>
            <w:r/>
            <w:r>
              <w:rPr>
                <w:rFonts w:ascii="Times New Roman" w:hAnsi="Times New Roman" w:eastAsia="Times New Roman"/>
                <w:sz w:val="20"/>
              </w:rPr>
              <w:t>Strongest relative position, but sensitive to persistence, productivity and capital efficiency</w:t>
            </w:r>
          </w:p>
        </w:tc>
        <w:tc>
          <w:tcPr>
            <w:tcW w:type="dxa" w:w="1080"/>
          </w:tcPr>
          <w:p>
            <w:pPr>
              <w:jc w:val="left"/>
            </w:pPr>
            <w:r/>
            <w:r>
              <w:rPr>
                <w:rFonts w:ascii="Times New Roman" w:hAnsi="Times New Roman" w:eastAsia="Times New Roman"/>
                <w:sz w:val="20"/>
              </w:rPr>
              <w:t>Interest-rate pressure and falling agent productivity could weaken cash-generation quality</w:t>
            </w:r>
          </w:p>
        </w:tc>
      </w:tr>
      <w:tr>
        <w:tc>
          <w:tcPr>
            <w:tcW w:type="dxa" w:w="1080"/>
          </w:tcPr>
          <w:p>
            <w:pPr>
              <w:jc w:val="left"/>
            </w:pPr>
            <w:r/>
            <w:r>
              <w:rPr>
                <w:rFonts w:ascii="Times New Roman" w:hAnsi="Times New Roman" w:eastAsia="Times New Roman"/>
                <w:sz w:val="20"/>
              </w:rPr>
              <w:t>Pension, commercial annuity and senior care ecosystem</w:t>
            </w:r>
          </w:p>
        </w:tc>
        <w:tc>
          <w:tcPr>
            <w:tcW w:type="dxa" w:w="1080"/>
          </w:tcPr>
          <w:p>
            <w:pPr>
              <w:jc w:val="left"/>
            </w:pPr>
            <w:r/>
            <w:r>
              <w:rPr>
                <w:rFonts w:ascii="Times New Roman" w:hAnsi="Times New Roman" w:eastAsia="Times New Roman"/>
                <w:sz w:val="20"/>
              </w:rPr>
              <w:t>China Life ranks first in third-pillar private pension and commercial annuity; 17 elderly-care projects in 14 cities</w:t>
            </w:r>
          </w:p>
        </w:tc>
        <w:tc>
          <w:tcPr>
            <w:tcW w:type="dxa" w:w="1080"/>
          </w:tcPr>
          <w:p>
            <w:pPr>
              <w:jc w:val="left"/>
            </w:pPr>
            <w:r/>
            <w:r>
              <w:rPr>
                <w:rFonts w:ascii="Times New Roman" w:hAnsi="Times New Roman" w:eastAsia="Times New Roman"/>
                <w:sz w:val="20"/>
              </w:rPr>
              <w:t>Ageing, pension reform and LTCI expansion create high structural growth</w:t>
            </w:r>
          </w:p>
        </w:tc>
        <w:tc>
          <w:tcPr>
            <w:tcW w:type="dxa" w:w="1080"/>
          </w:tcPr>
          <w:p>
            <w:pPr>
              <w:jc w:val="left"/>
            </w:pPr>
            <w:r/>
            <w:r>
              <w:rPr>
                <w:rFonts w:ascii="Times New Roman" w:hAnsi="Times New Roman" w:eastAsia="Times New Roman"/>
                <w:sz w:val="20"/>
              </w:rPr>
              <w:t>Higher coordination needs and longer payback than core life</w:t>
            </w:r>
          </w:p>
        </w:tc>
        <w:tc>
          <w:tcPr>
            <w:tcW w:type="dxa" w:w="1080"/>
          </w:tcPr>
          <w:p>
            <w:pPr>
              <w:jc w:val="left"/>
            </w:pPr>
            <w:r/>
            <w:r>
              <w:rPr>
                <w:rFonts w:ascii="Times New Roman" w:hAnsi="Times New Roman" w:eastAsia="Times New Roman"/>
                <w:sz w:val="20"/>
              </w:rPr>
              <w:t>Ping An has communities in 5 cities; CPIC reports 15 retirement communities in 13 cities</w:t>
            </w:r>
          </w:p>
        </w:tc>
        <w:tc>
          <w:tcPr>
            <w:tcW w:type="dxa" w:w="1080"/>
          </w:tcPr>
          <w:p>
            <w:pPr>
              <w:jc w:val="left"/>
            </w:pPr>
            <w:r/>
            <w:r>
              <w:rPr>
                <w:rFonts w:ascii="Times New Roman" w:hAnsi="Times New Roman" w:eastAsia="Times New Roman"/>
                <w:sz w:val="20"/>
              </w:rPr>
              <w:t>Star candidate</w:t>
            </w:r>
          </w:p>
        </w:tc>
        <w:tc>
          <w:tcPr>
            <w:tcW w:type="dxa" w:w="1080"/>
          </w:tcPr>
          <w:p>
            <w:pPr>
              <w:jc w:val="left"/>
            </w:pPr>
            <w:r/>
            <w:r>
              <w:rPr>
                <w:rFonts w:ascii="Times New Roman" w:hAnsi="Times New Roman" w:eastAsia="Times New Roman"/>
                <w:sz w:val="20"/>
              </w:rPr>
              <w:t>High-growth and strategically important, but not yet an uncontested Star</w:t>
            </w:r>
          </w:p>
        </w:tc>
        <w:tc>
          <w:tcPr>
            <w:tcW w:type="dxa" w:w="1080"/>
          </w:tcPr>
          <w:p>
            <w:pPr>
              <w:jc w:val="left"/>
            </w:pPr>
            <w:r/>
            <w:r>
              <w:rPr>
                <w:rFonts w:ascii="Times New Roman" w:hAnsi="Times New Roman" w:eastAsia="Times New Roman"/>
                <w:sz w:val="20"/>
              </w:rPr>
              <w:t>Monetisation may lag behind ecosystem investment and care-capacity expansion</w:t>
            </w:r>
          </w:p>
        </w:tc>
      </w:tr>
      <w:tr>
        <w:tc>
          <w:tcPr>
            <w:tcW w:type="dxa" w:w="1080"/>
          </w:tcPr>
          <w:p>
            <w:pPr>
              <w:jc w:val="left"/>
            </w:pPr>
            <w:r/>
            <w:r>
              <w:rPr>
                <w:rFonts w:ascii="Times New Roman" w:hAnsi="Times New Roman" w:eastAsia="Times New Roman"/>
                <w:sz w:val="20"/>
              </w:rPr>
              <w:t>Health insurance</w:t>
            </w:r>
          </w:p>
        </w:tc>
        <w:tc>
          <w:tcPr>
            <w:tcW w:type="dxa" w:w="1080"/>
          </w:tcPr>
          <w:p>
            <w:pPr>
              <w:jc w:val="left"/>
            </w:pPr>
            <w:r/>
            <w:r>
              <w:rPr>
                <w:rFonts w:ascii="Times New Roman" w:hAnsi="Times New Roman" w:eastAsia="Times New Roman"/>
                <w:sz w:val="20"/>
              </w:rPr>
              <w:t>200+ supplementary medical programs; 80 LTCI programs; 130+ city-customised projects</w:t>
            </w:r>
          </w:p>
        </w:tc>
        <w:tc>
          <w:tcPr>
            <w:tcW w:type="dxa" w:w="1080"/>
          </w:tcPr>
          <w:p>
            <w:pPr>
              <w:jc w:val="left"/>
            </w:pPr>
            <w:r/>
            <w:r>
              <w:rPr>
                <w:rFonts w:ascii="Times New Roman" w:hAnsi="Times New Roman" w:eastAsia="Times New Roman"/>
                <w:sz w:val="20"/>
              </w:rPr>
              <w:t>Strong demand growth in commercial health and care financing</w:t>
            </w:r>
          </w:p>
        </w:tc>
        <w:tc>
          <w:tcPr>
            <w:tcW w:type="dxa" w:w="1080"/>
          </w:tcPr>
          <w:p>
            <w:pPr>
              <w:jc w:val="left"/>
            </w:pPr>
            <w:r/>
            <w:r>
              <w:rPr>
                <w:rFonts w:ascii="Times New Roman" w:hAnsi="Times New Roman" w:eastAsia="Times New Roman"/>
                <w:sz w:val="20"/>
              </w:rPr>
              <w:t>Economics depend on claims, underwriting and service management</w:t>
            </w:r>
          </w:p>
        </w:tc>
        <w:tc>
          <w:tcPr>
            <w:tcW w:type="dxa" w:w="1080"/>
          </w:tcPr>
          <w:p>
            <w:pPr>
              <w:jc w:val="left"/>
            </w:pPr>
            <w:r/>
            <w:r>
              <w:rPr>
                <w:rFonts w:ascii="Times New Roman" w:hAnsi="Times New Roman" w:eastAsia="Times New Roman"/>
                <w:sz w:val="20"/>
              </w:rPr>
              <w:t>Ping An and CPIC both report deeper health-service ecosystems</w:t>
            </w:r>
          </w:p>
        </w:tc>
        <w:tc>
          <w:tcPr>
            <w:tcW w:type="dxa" w:w="1080"/>
          </w:tcPr>
          <w:p>
            <w:pPr>
              <w:jc w:val="left"/>
            </w:pPr>
            <w:r/>
            <w:r>
              <w:rPr>
                <w:rFonts w:ascii="Times New Roman" w:hAnsi="Times New Roman" w:eastAsia="Times New Roman"/>
                <w:sz w:val="20"/>
              </w:rPr>
              <w:t>Question Mark</w:t>
            </w:r>
          </w:p>
        </w:tc>
        <w:tc>
          <w:tcPr>
            <w:tcW w:type="dxa" w:w="1080"/>
          </w:tcPr>
          <w:p>
            <w:pPr>
              <w:jc w:val="left"/>
            </w:pPr>
            <w:r/>
            <w:r>
              <w:rPr>
                <w:rFonts w:ascii="Times New Roman" w:hAnsi="Times New Roman" w:eastAsia="Times New Roman"/>
                <w:sz w:val="20"/>
              </w:rPr>
              <w:t>Attractive growth, but uncertain share and profitability</w:t>
            </w:r>
          </w:p>
        </w:tc>
        <w:tc>
          <w:tcPr>
            <w:tcW w:type="dxa" w:w="1080"/>
          </w:tcPr>
          <w:p>
            <w:pPr>
              <w:jc w:val="left"/>
            </w:pPr>
            <w:r/>
            <w:r>
              <w:rPr>
                <w:rFonts w:ascii="Times New Roman" w:hAnsi="Times New Roman" w:eastAsia="Times New Roman"/>
                <w:sz w:val="20"/>
              </w:rPr>
              <w:t>Profitability volatility could offset growth if claims and pricing discipline weaken</w:t>
            </w:r>
          </w:p>
        </w:tc>
      </w:tr>
      <w:tr>
        <w:tc>
          <w:tcPr>
            <w:tcW w:type="dxa" w:w="1080"/>
          </w:tcPr>
          <w:p>
            <w:pPr>
              <w:jc w:val="left"/>
            </w:pPr>
            <w:r/>
            <w:r>
              <w:rPr>
                <w:rFonts w:ascii="Times New Roman" w:hAnsi="Times New Roman" w:eastAsia="Times New Roman"/>
                <w:sz w:val="20"/>
              </w:rPr>
              <w:t>Accident insurance</w:t>
            </w:r>
          </w:p>
        </w:tc>
        <w:tc>
          <w:tcPr>
            <w:tcW w:type="dxa" w:w="1080"/>
          </w:tcPr>
          <w:p>
            <w:pPr>
              <w:jc w:val="left"/>
            </w:pPr>
            <w:r/>
            <w:r>
              <w:rPr>
                <w:rFonts w:ascii="Times New Roman" w:hAnsi="Times New Roman" w:eastAsia="Times New Roman"/>
                <w:sz w:val="20"/>
              </w:rPr>
              <w:t>Included in the protection portfolio, but limited stand-alone evidence of growth leadership or strategic differentiation</w:t>
            </w:r>
          </w:p>
        </w:tc>
        <w:tc>
          <w:tcPr>
            <w:tcW w:type="dxa" w:w="1080"/>
          </w:tcPr>
          <w:p>
            <w:pPr>
              <w:jc w:val="left"/>
            </w:pPr>
            <w:r/>
            <w:r>
              <w:rPr>
                <w:rFonts w:ascii="Times New Roman" w:hAnsi="Times New Roman" w:eastAsia="Times New Roman"/>
                <w:sz w:val="20"/>
              </w:rPr>
              <w:t>No strong disclosed growth signal relative to other clusters</w:t>
            </w:r>
          </w:p>
        </w:tc>
        <w:tc>
          <w:tcPr>
            <w:tcW w:type="dxa" w:w="1080"/>
          </w:tcPr>
          <w:p>
            <w:pPr>
              <w:jc w:val="left"/>
            </w:pPr>
            <w:r/>
            <w:r>
              <w:rPr>
                <w:rFonts w:ascii="Times New Roman" w:hAnsi="Times New Roman" w:eastAsia="Times New Roman"/>
                <w:sz w:val="20"/>
              </w:rPr>
              <w:t>Complementary rather than transformative</w:t>
            </w:r>
          </w:p>
        </w:tc>
        <w:tc>
          <w:tcPr>
            <w:tcW w:type="dxa" w:w="1080"/>
          </w:tcPr>
          <w:p>
            <w:pPr>
              <w:jc w:val="left"/>
            </w:pPr>
            <w:r/>
            <w:r>
              <w:rPr>
                <w:rFonts w:ascii="Times New Roman" w:hAnsi="Times New Roman" w:eastAsia="Times New Roman"/>
                <w:sz w:val="20"/>
              </w:rPr>
              <w:t>Rival competition is centered elsewhere</w:t>
            </w:r>
          </w:p>
        </w:tc>
        <w:tc>
          <w:tcPr>
            <w:tcW w:type="dxa" w:w="1080"/>
          </w:tcPr>
          <w:p>
            <w:pPr>
              <w:jc w:val="left"/>
            </w:pPr>
            <w:r/>
            <w:r>
              <w:rPr>
                <w:rFonts w:ascii="Times New Roman" w:hAnsi="Times New Roman" w:eastAsia="Times New Roman"/>
                <w:sz w:val="20"/>
              </w:rPr>
              <w:t>Dog-like/supporting</w:t>
            </w:r>
          </w:p>
        </w:tc>
        <w:tc>
          <w:tcPr>
            <w:tcW w:type="dxa" w:w="1080"/>
          </w:tcPr>
          <w:p>
            <w:pPr>
              <w:jc w:val="left"/>
            </w:pPr>
            <w:r/>
            <w:r>
              <w:rPr>
                <w:rFonts w:ascii="Times New Roman" w:hAnsi="Times New Roman" w:eastAsia="Times New Roman"/>
                <w:sz w:val="20"/>
              </w:rPr>
              <w:t>Weakest classification; best treated as a support line rather than a growth engine</w:t>
            </w:r>
          </w:p>
        </w:tc>
        <w:tc>
          <w:tcPr>
            <w:tcW w:type="dxa" w:w="1080"/>
          </w:tcPr>
          <w:p>
            <w:pPr>
              <w:jc w:val="left"/>
            </w:pPr>
            <w:r/>
            <w:r>
              <w:rPr>
                <w:rFonts w:ascii="Times New Roman" w:hAnsi="Times New Roman" w:eastAsia="Times New Roman"/>
                <w:sz w:val="20"/>
              </w:rPr>
              <w:t>Evidence insufficiency remains high, so the classification is the least stable</w:t>
            </w:r>
          </w:p>
        </w:tc>
      </w:tr>
    </w:tbl>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tcPr>
          <w:p>
            <w:pPr>
              <w:jc w:val="left"/>
            </w:pPr>
            <w:r/>
            <w:r>
              <w:rPr>
                <w:rFonts w:ascii="Times New Roman" w:hAnsi="Times New Roman" w:eastAsia="Times New Roman"/>
                <w:b/>
                <w:sz w:val="20"/>
              </w:rPr>
              <w:t>Cluster</w:t>
            </w:r>
          </w:p>
        </w:tc>
        <w:tc>
          <w:tcPr>
            <w:tcW w:type="dxa" w:w="2880"/>
          </w:tcPr>
          <w:p>
            <w:pPr>
              <w:jc w:val="left"/>
            </w:pPr>
            <w:r/>
            <w:r>
              <w:rPr>
                <w:rFonts w:ascii="Times New Roman" w:hAnsi="Times New Roman" w:eastAsia="Times New Roman"/>
                <w:b/>
                <w:sz w:val="20"/>
              </w:rPr>
              <w:t>Relative position rationale</w:t>
            </w:r>
          </w:p>
        </w:tc>
        <w:tc>
          <w:tcPr>
            <w:tcW w:type="dxa" w:w="2880"/>
          </w:tcPr>
          <w:p>
            <w:pPr>
              <w:jc w:val="left"/>
            </w:pPr>
            <w:r/>
            <w:r>
              <w:rPr>
                <w:rFonts w:ascii="Times New Roman" w:hAnsi="Times New Roman" w:eastAsia="Times New Roman"/>
                <w:b/>
                <w:sz w:val="20"/>
              </w:rPr>
              <w:t>Why not another quadrant?</w:t>
            </w:r>
          </w:p>
        </w:tc>
      </w:tr>
      <w:tr>
        <w:tc>
          <w:tcPr>
            <w:tcW w:type="dxa" w:w="2880"/>
          </w:tcPr>
          <w:p>
            <w:pPr>
              <w:jc w:val="left"/>
            </w:pPr>
            <w:r/>
            <w:r>
              <w:rPr>
                <w:rFonts w:ascii="Times New Roman" w:hAnsi="Times New Roman" w:eastAsia="Times New Roman"/>
                <w:sz w:val="20"/>
              </w:rPr>
              <w:t>Core life and annuity</w:t>
            </w:r>
          </w:p>
        </w:tc>
        <w:tc>
          <w:tcPr>
            <w:tcW w:type="dxa" w:w="2880"/>
          </w:tcPr>
          <w:p>
            <w:pPr>
              <w:jc w:val="left"/>
            </w:pPr>
            <w:r/>
            <w:r>
              <w:rPr>
                <w:rFonts w:ascii="Times New Roman" w:hAnsi="Times New Roman" w:eastAsia="Times New Roman"/>
                <w:sz w:val="20"/>
              </w:rPr>
              <w:t>China Life's relative advantage is scale, embedded value, branch reach and sales capacity, which makes it stronger on share than on growth</w:t>
            </w:r>
          </w:p>
        </w:tc>
        <w:tc>
          <w:tcPr>
            <w:tcW w:type="dxa" w:w="2880"/>
          </w:tcPr>
          <w:p>
            <w:pPr>
              <w:jc w:val="left"/>
            </w:pPr>
            <w:r/>
            <w:r>
              <w:rPr>
                <w:rFonts w:ascii="Times New Roman" w:hAnsi="Times New Roman" w:eastAsia="Times New Roman"/>
                <w:sz w:val="20"/>
              </w:rPr>
              <w:t>Not a Star because growth is structurally lower than ageing-related adjacencies; not a Question Mark because relative position is already strong</w:t>
            </w:r>
          </w:p>
        </w:tc>
      </w:tr>
      <w:tr>
        <w:tc>
          <w:tcPr>
            <w:tcW w:type="dxa" w:w="2880"/>
          </w:tcPr>
          <w:p>
            <w:pPr>
              <w:jc w:val="left"/>
            </w:pPr>
            <w:r/>
            <w:r>
              <w:rPr>
                <w:rFonts w:ascii="Times New Roman" w:hAnsi="Times New Roman" w:eastAsia="Times New Roman"/>
                <w:sz w:val="20"/>
              </w:rPr>
              <w:t>Pension-commercial annuity-senior care</w:t>
            </w:r>
          </w:p>
        </w:tc>
        <w:tc>
          <w:tcPr>
            <w:tcW w:type="dxa" w:w="2880"/>
          </w:tcPr>
          <w:p>
            <w:pPr>
              <w:jc w:val="left"/>
            </w:pPr>
            <w:r/>
            <w:r>
              <w:rPr>
                <w:rFonts w:ascii="Times New Roman" w:hAnsi="Times New Roman" w:eastAsia="Times New Roman"/>
                <w:sz w:val="20"/>
              </w:rPr>
              <w:t>China Life has genuine policy-fit and pension leadership, but service integration leadership is contested by Ping An and CPIC</w:t>
            </w:r>
          </w:p>
        </w:tc>
        <w:tc>
          <w:tcPr>
            <w:tcW w:type="dxa" w:w="2880"/>
          </w:tcPr>
          <w:p>
            <w:pPr>
              <w:jc w:val="left"/>
            </w:pPr>
            <w:r/>
            <w:r>
              <w:rPr>
                <w:rFonts w:ascii="Times New Roman" w:hAnsi="Times New Roman" w:eastAsia="Times New Roman"/>
                <w:sz w:val="20"/>
              </w:rPr>
              <w:t>Not a Question Mark because relative strength is already material; not a full Star because monetisation and execution remain uncertain</w:t>
            </w:r>
          </w:p>
        </w:tc>
      </w:tr>
      <w:tr>
        <w:tc>
          <w:tcPr>
            <w:tcW w:type="dxa" w:w="2880"/>
          </w:tcPr>
          <w:p>
            <w:pPr>
              <w:jc w:val="left"/>
            </w:pPr>
            <w:r/>
            <w:r>
              <w:rPr>
                <w:rFonts w:ascii="Times New Roman" w:hAnsi="Times New Roman" w:eastAsia="Times New Roman"/>
                <w:sz w:val="20"/>
              </w:rPr>
              <w:t>Health insurance</w:t>
            </w:r>
          </w:p>
        </w:tc>
        <w:tc>
          <w:tcPr>
            <w:tcW w:type="dxa" w:w="2880"/>
          </w:tcPr>
          <w:p>
            <w:pPr>
              <w:jc w:val="left"/>
            </w:pPr>
            <w:r/>
            <w:r>
              <w:rPr>
                <w:rFonts w:ascii="Times New Roman" w:hAnsi="Times New Roman" w:eastAsia="Times New Roman"/>
                <w:sz w:val="20"/>
              </w:rPr>
              <w:t>The cluster has growth, but China Life's relative position is less clearly dominant than in core life or pension</w:t>
            </w:r>
          </w:p>
        </w:tc>
        <w:tc>
          <w:tcPr>
            <w:tcW w:type="dxa" w:w="2880"/>
          </w:tcPr>
          <w:p>
            <w:pPr>
              <w:jc w:val="left"/>
            </w:pPr>
            <w:r/>
            <w:r>
              <w:rPr>
                <w:rFonts w:ascii="Times New Roman" w:hAnsi="Times New Roman" w:eastAsia="Times New Roman"/>
                <w:sz w:val="20"/>
              </w:rPr>
              <w:t>Not a Star because service depth and profitability are still uncertain; not a Dog because demand and policy momentum remain strong</w:t>
            </w:r>
          </w:p>
        </w:tc>
      </w:tr>
      <w:tr>
        <w:tc>
          <w:tcPr>
            <w:tcW w:type="dxa" w:w="2880"/>
          </w:tcPr>
          <w:p>
            <w:pPr>
              <w:jc w:val="left"/>
            </w:pPr>
            <w:r/>
            <w:r>
              <w:rPr>
                <w:rFonts w:ascii="Times New Roman" w:hAnsi="Times New Roman" w:eastAsia="Times New Roman"/>
                <w:sz w:val="20"/>
              </w:rPr>
              <w:t>Accident insurance</w:t>
            </w:r>
          </w:p>
        </w:tc>
        <w:tc>
          <w:tcPr>
            <w:tcW w:type="dxa" w:w="2880"/>
          </w:tcPr>
          <w:p>
            <w:pPr>
              <w:jc w:val="left"/>
            </w:pPr>
            <w:r/>
            <w:r>
              <w:rPr>
                <w:rFonts w:ascii="Times New Roman" w:hAnsi="Times New Roman" w:eastAsia="Times New Roman"/>
                <w:sz w:val="20"/>
              </w:rPr>
              <w:t>Strategic value is mainly supportive, with weak evidence of stand-alone scale or differentiation</w:t>
            </w:r>
          </w:p>
        </w:tc>
        <w:tc>
          <w:tcPr>
            <w:tcW w:type="dxa" w:w="2880"/>
          </w:tcPr>
          <w:p>
            <w:pPr>
              <w:jc w:val="left"/>
            </w:pPr>
            <w:r/>
            <w:r>
              <w:rPr>
                <w:rFonts w:ascii="Times New Roman" w:hAnsi="Times New Roman" w:eastAsia="Times New Roman"/>
                <w:sz w:val="20"/>
              </w:rPr>
              <w:t>Not fully discarded because it supports bundles and inclusion goals; not a Cash Cow or Question Mark because evidence of scale and growth is weak</w:t>
            </w:r>
          </w:p>
        </w:tc>
      </w:tr>
    </w:tbl>
    <w:p/>
    <w:p>
      <w:pPr>
        <w:ind w:firstLine="480"/>
        <w:jc w:val="both"/>
      </w:pPr>
      <w:r>
        <w:rPr>
          <w:rFonts w:ascii="Times New Roman" w:hAnsi="Times New Roman" w:eastAsia="Times New Roman"/>
          <w:sz w:val="24"/>
        </w:rPr>
        <w:t>Appendix A uses proxy indicators because segment-level market share and profitability are not disclosed consistently across Chinese insurers. The purpose is transparency, not false precision.</w:t>
      </w:r>
    </w:p>
    <w:p>
      <w:pPr>
        <w:pStyle w:val="Heading1"/>
        <w:jc w:val="left"/>
      </w:pPr>
      <w:r>
        <w:rPr>
          <w:rFonts w:ascii="Times New Roman" w:hAnsi="Times New Roman" w:eastAsia="Times New Roman"/>
          <w:b/>
          <w:sz w:val="24"/>
        </w:rPr>
        <w:t>Appendix B. Brief Peer Comparison</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tcPr>
          <w:p>
            <w:pPr>
              <w:jc w:val="left"/>
            </w:pPr>
            <w:r/>
            <w:r>
              <w:rPr>
                <w:rFonts w:ascii="Times New Roman" w:hAnsi="Times New Roman" w:eastAsia="Times New Roman"/>
                <w:b/>
                <w:sz w:val="20"/>
              </w:rPr>
              <w:t>Company</w:t>
            </w:r>
          </w:p>
        </w:tc>
        <w:tc>
          <w:tcPr>
            <w:tcW w:type="dxa" w:w="2160"/>
          </w:tcPr>
          <w:p>
            <w:pPr>
              <w:jc w:val="left"/>
            </w:pPr>
            <w:r/>
            <w:r>
              <w:rPr>
                <w:rFonts w:ascii="Times New Roman" w:hAnsi="Times New Roman" w:eastAsia="Times New Roman"/>
                <w:b/>
                <w:sz w:val="20"/>
              </w:rPr>
              <w:t>Main strength</w:t>
            </w:r>
          </w:p>
        </w:tc>
        <w:tc>
          <w:tcPr>
            <w:tcW w:type="dxa" w:w="2160"/>
          </w:tcPr>
          <w:p>
            <w:pPr>
              <w:jc w:val="left"/>
            </w:pPr>
            <w:r/>
            <w:r>
              <w:rPr>
                <w:rFonts w:ascii="Times New Roman" w:hAnsi="Times New Roman" w:eastAsia="Times New Roman"/>
                <w:b/>
                <w:sz w:val="20"/>
              </w:rPr>
              <w:t>Relevance to China Life comparison</w:t>
            </w:r>
          </w:p>
        </w:tc>
        <w:tc>
          <w:tcPr>
            <w:tcW w:type="dxa" w:w="2160"/>
          </w:tcPr>
          <w:p>
            <w:pPr>
              <w:jc w:val="left"/>
            </w:pPr>
            <w:r/>
            <w:r>
              <w:rPr>
                <w:rFonts w:ascii="Times New Roman" w:hAnsi="Times New Roman" w:eastAsia="Times New Roman"/>
                <w:b/>
                <w:sz w:val="20"/>
              </w:rPr>
              <w:t>Caution</w:t>
            </w:r>
          </w:p>
        </w:tc>
      </w:tr>
      <w:tr>
        <w:tc>
          <w:tcPr>
            <w:tcW w:type="dxa" w:w="2160"/>
          </w:tcPr>
          <w:p>
            <w:pPr>
              <w:jc w:val="left"/>
            </w:pPr>
            <w:r/>
            <w:r>
              <w:rPr>
                <w:rFonts w:ascii="Times New Roman" w:hAnsi="Times New Roman" w:eastAsia="Times New Roman"/>
                <w:sz w:val="20"/>
              </w:rPr>
              <w:t>China Life</w:t>
            </w:r>
          </w:p>
        </w:tc>
        <w:tc>
          <w:tcPr>
            <w:tcW w:type="dxa" w:w="2160"/>
          </w:tcPr>
          <w:p>
            <w:pPr>
              <w:jc w:val="left"/>
            </w:pPr>
            <w:r/>
            <w:r>
              <w:rPr>
                <w:rFonts w:ascii="Times New Roman" w:hAnsi="Times New Roman" w:eastAsia="Times New Roman"/>
                <w:sz w:val="20"/>
              </w:rPr>
              <w:t>Traditional life scale, embedded value, pension positioning</w:t>
            </w:r>
          </w:p>
        </w:tc>
        <w:tc>
          <w:tcPr>
            <w:tcW w:type="dxa" w:w="2160"/>
          </w:tcPr>
          <w:p>
            <w:pPr>
              <w:jc w:val="left"/>
            </w:pPr>
            <w:r/>
            <w:r>
              <w:rPr>
                <w:rFonts w:ascii="Times New Roman" w:hAnsi="Times New Roman" w:eastAsia="Times New Roman"/>
                <w:sz w:val="20"/>
              </w:rPr>
              <w:t>Supports the Cash Cow classification for the core and the Star-candidate view of pension-related adjacencies</w:t>
            </w:r>
          </w:p>
        </w:tc>
        <w:tc>
          <w:tcPr>
            <w:tcW w:type="dxa" w:w="2160"/>
          </w:tcPr>
          <w:p>
            <w:pPr>
              <w:jc w:val="left"/>
            </w:pPr>
            <w:r/>
            <w:r>
              <w:rPr>
                <w:rFonts w:ascii="Times New Roman" w:hAnsi="Times New Roman" w:eastAsia="Times New Roman"/>
                <w:sz w:val="20"/>
              </w:rPr>
              <w:t>Strength in scale does not automatically imply service-integration leadership</w:t>
            </w:r>
          </w:p>
        </w:tc>
      </w:tr>
      <w:tr>
        <w:tc>
          <w:tcPr>
            <w:tcW w:type="dxa" w:w="2160"/>
          </w:tcPr>
          <w:p>
            <w:pPr>
              <w:jc w:val="left"/>
            </w:pPr>
            <w:r/>
            <w:r>
              <w:rPr>
                <w:rFonts w:ascii="Times New Roman" w:hAnsi="Times New Roman" w:eastAsia="Times New Roman"/>
                <w:sz w:val="20"/>
              </w:rPr>
              <w:t>Ping An</w:t>
            </w:r>
          </w:p>
        </w:tc>
        <w:tc>
          <w:tcPr>
            <w:tcW w:type="dxa" w:w="2160"/>
          </w:tcPr>
          <w:p>
            <w:pPr>
              <w:jc w:val="left"/>
            </w:pPr>
            <w:r/>
            <w:r>
              <w:rPr>
                <w:rFonts w:ascii="Times New Roman" w:hAnsi="Times New Roman" w:eastAsia="Times New Roman"/>
                <w:sz w:val="20"/>
              </w:rPr>
              <w:t>Health and senior-care ecosystem integration, retail customer monetisation</w:t>
            </w:r>
          </w:p>
        </w:tc>
        <w:tc>
          <w:tcPr>
            <w:tcW w:type="dxa" w:w="2160"/>
          </w:tcPr>
          <w:p>
            <w:pPr>
              <w:jc w:val="left"/>
            </w:pPr>
            <w:r/>
            <w:r>
              <w:rPr>
                <w:rFonts w:ascii="Times New Roman" w:hAnsi="Times New Roman" w:eastAsia="Times New Roman"/>
                <w:sz w:val="20"/>
              </w:rPr>
              <w:t>Provides the strongest service-led benchmark and shows why China Life cannot assume ecosystem leadership</w:t>
            </w:r>
          </w:p>
        </w:tc>
        <w:tc>
          <w:tcPr>
            <w:tcW w:type="dxa" w:w="2160"/>
          </w:tcPr>
          <w:p>
            <w:pPr>
              <w:jc w:val="left"/>
            </w:pPr>
            <w:r/>
            <w:r>
              <w:rPr>
                <w:rFonts w:ascii="Times New Roman" w:hAnsi="Times New Roman" w:eastAsia="Times New Roman"/>
                <w:sz w:val="20"/>
              </w:rPr>
              <w:t>Ping An is a broader composite financial group, so not every advantage transfers directly to a pure life-insurance comparison</w:t>
            </w:r>
          </w:p>
        </w:tc>
      </w:tr>
      <w:tr>
        <w:tc>
          <w:tcPr>
            <w:tcW w:type="dxa" w:w="2160"/>
          </w:tcPr>
          <w:p>
            <w:pPr>
              <w:jc w:val="left"/>
            </w:pPr>
            <w:r/>
            <w:r>
              <w:rPr>
                <w:rFonts w:ascii="Times New Roman" w:hAnsi="Times New Roman" w:eastAsia="Times New Roman"/>
                <w:sz w:val="20"/>
              </w:rPr>
              <w:t>CPIC</w:t>
            </w:r>
          </w:p>
        </w:tc>
        <w:tc>
          <w:tcPr>
            <w:tcW w:type="dxa" w:w="2160"/>
          </w:tcPr>
          <w:p>
            <w:pPr>
              <w:jc w:val="left"/>
            </w:pPr>
            <w:r/>
            <w:r>
              <w:rPr>
                <w:rFonts w:ascii="Times New Roman" w:hAnsi="Times New Roman" w:eastAsia="Times New Roman"/>
                <w:sz w:val="20"/>
              </w:rPr>
              <w:t>Expanding retirement-community and health-service ecosystem with 10.91 million service users and 15 retirement communities in 13 cities</w:t>
            </w:r>
          </w:p>
        </w:tc>
        <w:tc>
          <w:tcPr>
            <w:tcW w:type="dxa" w:w="2160"/>
          </w:tcPr>
          <w:p>
            <w:pPr>
              <w:jc w:val="left"/>
            </w:pPr>
            <w:r/>
            <w:r>
              <w:rPr>
                <w:rFonts w:ascii="Times New Roman" w:hAnsi="Times New Roman" w:eastAsia="Times New Roman"/>
                <w:sz w:val="20"/>
              </w:rPr>
              <w:t>Reduces single-rival bias and shows that ecosystem competition extends beyond Ping An</w:t>
            </w:r>
          </w:p>
        </w:tc>
        <w:tc>
          <w:tcPr>
            <w:tcW w:type="dxa" w:w="2160"/>
          </w:tcPr>
          <w:p>
            <w:pPr>
              <w:jc w:val="left"/>
            </w:pPr>
            <w:r/>
            <w:r>
              <w:rPr>
                <w:rFonts w:ascii="Times New Roman" w:hAnsi="Times New Roman" w:eastAsia="Times New Roman"/>
                <w:sz w:val="20"/>
              </w:rPr>
              <w:t>CPIC's model is also group-wide and not perfectly comparable at the cluster level</w:t>
            </w:r>
          </w:p>
        </w:tc>
      </w:tr>
    </w:tbl>
    <w:p/>
    <w:p>
      <w:pPr>
        <w:pStyle w:val="Heading1"/>
        <w:jc w:val="left"/>
      </w:pPr>
      <w:r>
        <w:rPr>
          <w:rFonts w:ascii="Times New Roman" w:hAnsi="Times New Roman" w:eastAsia="Times New Roman"/>
          <w:b/>
          <w:sz w:val="24"/>
        </w:rPr>
        <w:t>Appendix C. Action Governance Framework</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tcPr>
          <w:p>
            <w:pPr>
              <w:jc w:val="left"/>
            </w:pPr>
            <w:r/>
            <w:r>
              <w:rPr>
                <w:rFonts w:ascii="Times New Roman" w:hAnsi="Times New Roman" w:eastAsia="Times New Roman"/>
                <w:b/>
                <w:sz w:val="20"/>
              </w:rPr>
              <w:t>Strategic action</w:t>
            </w:r>
          </w:p>
        </w:tc>
        <w:tc>
          <w:tcPr>
            <w:tcW w:type="dxa" w:w="1728"/>
          </w:tcPr>
          <w:p>
            <w:pPr>
              <w:jc w:val="left"/>
            </w:pPr>
            <w:r/>
            <w:r>
              <w:rPr>
                <w:rFonts w:ascii="Times New Roman" w:hAnsi="Times New Roman" w:eastAsia="Times New Roman"/>
                <w:b/>
                <w:sz w:val="20"/>
              </w:rPr>
              <w:t>Owner</w:t>
            </w:r>
          </w:p>
        </w:tc>
        <w:tc>
          <w:tcPr>
            <w:tcW w:type="dxa" w:w="1728"/>
          </w:tcPr>
          <w:p>
            <w:pPr>
              <w:jc w:val="left"/>
            </w:pPr>
            <w:r/>
            <w:r>
              <w:rPr>
                <w:rFonts w:ascii="Times New Roman" w:hAnsi="Times New Roman" w:eastAsia="Times New Roman"/>
                <w:b/>
                <w:sz w:val="20"/>
              </w:rPr>
              <w:t>Delivery mode</w:t>
            </w:r>
          </w:p>
        </w:tc>
        <w:tc>
          <w:tcPr>
            <w:tcW w:type="dxa" w:w="1728"/>
          </w:tcPr>
          <w:p>
            <w:pPr>
              <w:jc w:val="left"/>
            </w:pPr>
            <w:r/>
            <w:r>
              <w:rPr>
                <w:rFonts w:ascii="Times New Roman" w:hAnsi="Times New Roman" w:eastAsia="Times New Roman"/>
                <w:b/>
                <w:sz w:val="20"/>
              </w:rPr>
              <w:t>Go / no-go criteria</w:t>
            </w:r>
          </w:p>
        </w:tc>
        <w:tc>
          <w:tcPr>
            <w:tcW w:type="dxa" w:w="1728"/>
          </w:tcPr>
          <w:p>
            <w:pPr>
              <w:jc w:val="left"/>
            </w:pPr>
            <w:r/>
            <w:r>
              <w:rPr>
                <w:rFonts w:ascii="Times New Roman" w:hAnsi="Times New Roman" w:eastAsia="Times New Roman"/>
                <w:b/>
                <w:sz w:val="20"/>
              </w:rPr>
              <w:t>Key KPI focus</w:t>
            </w:r>
          </w:p>
        </w:tc>
      </w:tr>
      <w:tr>
        <w:tc>
          <w:tcPr>
            <w:tcW w:type="dxa" w:w="1728"/>
          </w:tcPr>
          <w:p>
            <w:pPr>
              <w:jc w:val="left"/>
            </w:pPr>
            <w:r/>
            <w:r>
              <w:rPr>
                <w:rFonts w:ascii="Times New Roman" w:hAnsi="Times New Roman" w:eastAsia="Times New Roman"/>
                <w:sz w:val="20"/>
              </w:rPr>
              <w:t>Upgrade core life and annuity performance engine</w:t>
            </w:r>
          </w:p>
        </w:tc>
        <w:tc>
          <w:tcPr>
            <w:tcW w:type="dxa" w:w="1728"/>
          </w:tcPr>
          <w:p>
            <w:pPr>
              <w:jc w:val="left"/>
            </w:pPr>
            <w:r/>
            <w:r>
              <w:rPr>
                <w:rFonts w:ascii="Times New Roman" w:hAnsi="Times New Roman" w:eastAsia="Times New Roman"/>
                <w:sz w:val="20"/>
              </w:rPr>
              <w:t>Sales reform team with finance and actuarial support</w:t>
            </w:r>
          </w:p>
        </w:tc>
        <w:tc>
          <w:tcPr>
            <w:tcW w:type="dxa" w:w="1728"/>
          </w:tcPr>
          <w:p>
            <w:pPr>
              <w:jc w:val="left"/>
            </w:pPr>
            <w:r/>
            <w:r>
              <w:rPr>
                <w:rFonts w:ascii="Times New Roman" w:hAnsi="Times New Roman" w:eastAsia="Times New Roman"/>
                <w:sz w:val="20"/>
              </w:rPr>
              <w:t>Mostly internal execution through pricing, product mix and agent productivity reform</w:t>
            </w:r>
          </w:p>
        </w:tc>
        <w:tc>
          <w:tcPr>
            <w:tcW w:type="dxa" w:w="1728"/>
          </w:tcPr>
          <w:p>
            <w:pPr>
              <w:jc w:val="left"/>
            </w:pPr>
            <w:r/>
            <w:r>
              <w:rPr>
                <w:rFonts w:ascii="Times New Roman" w:hAnsi="Times New Roman" w:eastAsia="Times New Roman"/>
                <w:sz w:val="20"/>
              </w:rPr>
              <w:t>If value of one year's sales, persistence and agent productivity do not improve after 12 months, pause expansionary initiatives and re-prioritise core efficiency</w:t>
            </w:r>
          </w:p>
        </w:tc>
        <w:tc>
          <w:tcPr>
            <w:tcW w:type="dxa" w:w="1728"/>
          </w:tcPr>
          <w:p>
            <w:pPr>
              <w:jc w:val="left"/>
            </w:pPr>
            <w:r/>
            <w:r>
              <w:rPr>
                <w:rFonts w:ascii="Times New Roman" w:hAnsi="Times New Roman" w:eastAsia="Times New Roman"/>
                <w:sz w:val="20"/>
              </w:rPr>
              <w:t>Value of one year's sales, persistence, agent productivity, capital efficiency</w:t>
            </w:r>
          </w:p>
        </w:tc>
      </w:tr>
      <w:tr>
        <w:tc>
          <w:tcPr>
            <w:tcW w:type="dxa" w:w="1728"/>
          </w:tcPr>
          <w:p>
            <w:pPr>
              <w:jc w:val="left"/>
            </w:pPr>
            <w:r/>
            <w:r>
              <w:rPr>
                <w:rFonts w:ascii="Times New Roman" w:hAnsi="Times New Roman" w:eastAsia="Times New Roman"/>
                <w:sz w:val="20"/>
              </w:rPr>
              <w:t>Pilot pension-health-senior-care ecosystem in existing footprint</w:t>
            </w:r>
          </w:p>
        </w:tc>
        <w:tc>
          <w:tcPr>
            <w:tcW w:type="dxa" w:w="1728"/>
          </w:tcPr>
          <w:p>
            <w:pPr>
              <w:jc w:val="left"/>
            </w:pPr>
            <w:r/>
            <w:r>
              <w:rPr>
                <w:rFonts w:ascii="Times New Roman" w:hAnsi="Times New Roman" w:eastAsia="Times New Roman"/>
                <w:sz w:val="20"/>
              </w:rPr>
              <w:t>Dedicated ecosystem office spanning product, claims and digital operations</w:t>
            </w:r>
          </w:p>
        </w:tc>
        <w:tc>
          <w:tcPr>
            <w:tcW w:type="dxa" w:w="1728"/>
          </w:tcPr>
          <w:p>
            <w:pPr>
              <w:jc w:val="left"/>
            </w:pPr>
            <w:r/>
            <w:r>
              <w:rPr>
                <w:rFonts w:ascii="Times New Roman" w:hAnsi="Times New Roman" w:eastAsia="Times New Roman"/>
                <w:sz w:val="20"/>
              </w:rPr>
              <w:t>Hybrid model: internal insurance and data integration, but partnership-led for capital-heavy care capacity</w:t>
            </w:r>
          </w:p>
        </w:tc>
        <w:tc>
          <w:tcPr>
            <w:tcW w:type="dxa" w:w="1728"/>
          </w:tcPr>
          <w:p>
            <w:pPr>
              <w:jc w:val="left"/>
            </w:pPr>
            <w:r/>
            <w:r>
              <w:rPr>
                <w:rFonts w:ascii="Times New Roman" w:hAnsi="Times New Roman" w:eastAsia="Times New Roman"/>
                <w:sz w:val="20"/>
              </w:rPr>
              <w:t>Scale only if cross-sell, elderly retention and claims turnaround improve after the pilot period; if improvement is only partial, maintain limited rollout and prioritise partnership delivery over owned expansion; otherwise pause expansion</w:t>
            </w:r>
          </w:p>
        </w:tc>
        <w:tc>
          <w:tcPr>
            <w:tcW w:type="dxa" w:w="1728"/>
          </w:tcPr>
          <w:p>
            <w:pPr>
              <w:jc w:val="left"/>
            </w:pPr>
            <w:r/>
            <w:r>
              <w:rPr>
                <w:rFonts w:ascii="Times New Roman" w:hAnsi="Times New Roman" w:eastAsia="Times New Roman"/>
                <w:sz w:val="20"/>
              </w:rPr>
              <w:t>Cross-sell ratio, ecosystem-linked new business, elderly-customer retention, claims turnaround time, customer satisfaction</w:t>
            </w:r>
          </w:p>
        </w:tc>
      </w:tr>
      <w:tr>
        <w:tc>
          <w:tcPr>
            <w:tcW w:type="dxa" w:w="1728"/>
          </w:tcPr>
          <w:p>
            <w:pPr>
              <w:jc w:val="left"/>
            </w:pPr>
            <w:r/>
            <w:r>
              <w:rPr>
                <w:rFonts w:ascii="Times New Roman" w:hAnsi="Times New Roman" w:eastAsia="Times New Roman"/>
                <w:sz w:val="20"/>
              </w:rPr>
              <w:t>Build dual-engine distribution and digital service model</w:t>
            </w:r>
          </w:p>
        </w:tc>
        <w:tc>
          <w:tcPr>
            <w:tcW w:type="dxa" w:w="1728"/>
          </w:tcPr>
          <w:p>
            <w:pPr>
              <w:jc w:val="left"/>
            </w:pPr>
            <w:r/>
            <w:r>
              <w:rPr>
                <w:rFonts w:ascii="Times New Roman" w:hAnsi="Times New Roman" w:eastAsia="Times New Roman"/>
                <w:sz w:val="20"/>
              </w:rPr>
              <w:t>Joint ownership between sales reform and digital operations</w:t>
            </w:r>
          </w:p>
        </w:tc>
        <w:tc>
          <w:tcPr>
            <w:tcW w:type="dxa" w:w="1728"/>
          </w:tcPr>
          <w:p>
            <w:pPr>
              <w:jc w:val="left"/>
            </w:pPr>
            <w:r/>
            <w:r>
              <w:rPr>
                <w:rFonts w:ascii="Times New Roman" w:hAnsi="Times New Roman" w:eastAsia="Times New Roman"/>
                <w:sz w:val="20"/>
              </w:rPr>
              <w:t>Hybrid advice-and-platform model with digital routing, agent certification and partner-based services</w:t>
            </w:r>
          </w:p>
        </w:tc>
        <w:tc>
          <w:tcPr>
            <w:tcW w:type="dxa" w:w="1728"/>
          </w:tcPr>
          <w:p>
            <w:pPr>
              <w:jc w:val="left"/>
            </w:pPr>
            <w:r/>
            <w:r>
              <w:rPr>
                <w:rFonts w:ascii="Times New Roman" w:hAnsi="Times New Roman" w:eastAsia="Times New Roman"/>
                <w:sz w:val="20"/>
              </w:rPr>
              <w:t>Continue rollout only if digital claims adoption and channel cross-sell rates improve without harming agent productivity; otherwise redesign incentives first</w:t>
            </w:r>
          </w:p>
        </w:tc>
        <w:tc>
          <w:tcPr>
            <w:tcW w:type="dxa" w:w="1728"/>
          </w:tcPr>
          <w:p>
            <w:pPr>
              <w:jc w:val="left"/>
            </w:pPr>
            <w:r/>
            <w:r>
              <w:rPr>
                <w:rFonts w:ascii="Times New Roman" w:hAnsi="Times New Roman" w:eastAsia="Times New Roman"/>
                <w:sz w:val="20"/>
              </w:rPr>
              <w:t>Digital claims adoption, channel cross-sell rate, app engagement, agent productivity, service satisfaction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