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8"/>
        </w:rPr>
        <w:t>China Life's Product and Service Portfolio: A Strategic Evaluation through the BCG Matrix and the Ansoff Matrix</w:t>
      </w:r>
    </w:p>
    <w:p>
      <w:pPr>
        <w:ind w:firstLine="0"/>
        <w:jc w:val="center"/>
      </w:pPr>
      <w:r>
        <w:rPr>
          <w:rFonts w:ascii="Times New Roman" w:hAnsi="Times New Roman" w:eastAsia="Times New Roman"/>
          <w:b w:val="0"/>
          <w:i w:val="0"/>
          <w:sz w:val="24"/>
        </w:rPr>
        <w:t>Word count (main body, excluding references and appendix): 2055</w:t>
      </w:r>
    </w:p>
    <w:p>
      <w:pPr>
        <w:pStyle w:val="Heading1"/>
        <w:spacing w:before="240" w:after="120"/>
        <w:jc w:val="left"/>
      </w:pPr>
      <w:r>
        <w:rPr>
          <w:rFonts w:ascii="Times New Roman" w:hAnsi="Times New Roman" w:eastAsia="Times New Roman"/>
          <w:b/>
          <w:i w:val="0"/>
          <w:sz w:val="24"/>
        </w:rPr>
        <w:t>1. Introduction and Methodological Justification</w:t>
      </w:r>
    </w:p>
    <w:p>
      <w:pPr>
        <w:ind w:firstLine="480"/>
        <w:jc w:val="both"/>
      </w:pPr>
      <w:r>
        <w:rPr>
          <w:rFonts w:ascii="Times New Roman" w:hAnsi="Times New Roman" w:eastAsia="Times New Roman"/>
          <w:b w:val="0"/>
          <w:i w:val="0"/>
          <w:sz w:val="24"/>
        </w:rPr>
        <w:t xml:space="preserve">China Life is a portfolio case because of its scale. In 2024, China's insurance industry generated RMB5.7 trillion in premium income and China Life reported gross written premiums of RMB671,457 million and embedded value of RMB1,401,146 million </w:t>
      </w:r>
      <w:r>
        <w:rPr>
          <w:rFonts w:ascii="Times New Roman" w:hAnsi="Times New Roman" w:eastAsia="Times New Roman"/>
          <w:b w:val="0"/>
          <w:i w:val="0"/>
          <w:sz w:val="24"/>
        </w:rPr>
        <w:t>(</w:t>
      </w:r>
      <w:r>
        <w:rPr>
          <w:rFonts w:ascii="Times New Roman" w:hAnsi="Times New Roman" w:eastAsia="Times New Roman"/>
          <w:b w:val="0"/>
          <w:i w:val="0"/>
          <w:sz w:val="24"/>
        </w:rPr>
        <w:t>China Insurance Association</w:t>
      </w:r>
      <w:r>
        <w:rPr>
          <w:rFonts w:ascii="Times New Roman" w:hAnsi="Times New Roman" w:eastAsia="Times New Roman"/>
          <w:b w:val="0"/>
          <w:i w:val="0"/>
          <w:sz w:val="24"/>
        </w:rPr>
        <w:t xml:space="preserve">, </w:t>
      </w:r>
      <w:hyperlink w:anchor="China_Insurance_Association__6" w:history="1">
        <w:r>
          <w:rPr>
            <w:rFonts w:ascii="Times New Roman" w:hAnsi="Times New Roman" w:eastAsia="Times New Roman"/>
            <w:sz w:val="24"/>
            <w:color w:val="000000"/>
            <w:u w:val="none"/>
          </w:rPr>
          <w:t>2025</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 The issue is reallocation as ageing, pension reform and health demand reshape Chinese life insurance.</w:t>
      </w:r>
    </w:p>
    <w:p>
      <w:pPr>
        <w:ind w:firstLine="480"/>
        <w:jc w:val="both"/>
      </w:pPr>
      <w:r>
        <w:rPr>
          <w:rFonts w:ascii="Times New Roman" w:hAnsi="Times New Roman" w:eastAsia="Times New Roman"/>
          <w:b w:val="0"/>
          <w:i w:val="0"/>
          <w:sz w:val="24"/>
        </w:rPr>
        <w:t xml:space="preserve">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and portfolio value cannot be inferred from product-market position alone </w:t>
      </w:r>
      <w:r>
        <w:rPr>
          <w:rFonts w:ascii="Times New Roman" w:hAnsi="Times New Roman" w:eastAsia="Times New Roman"/>
          <w:b w:val="0"/>
          <w:i w:val="0"/>
          <w:sz w:val="24"/>
        </w:rPr>
        <w:t>(</w:t>
      </w:r>
      <w:r>
        <w:rPr>
          <w:rFonts w:ascii="Times New Roman" w:hAnsi="Times New Roman" w:eastAsia="Times New Roman"/>
          <w:b w:val="0"/>
          <w:i w:val="0"/>
          <w:sz w:val="24"/>
        </w:rPr>
        <w:t>Armstrong &amp; Brodie</w:t>
      </w:r>
      <w:r>
        <w:rPr>
          <w:rFonts w:ascii="Times New Roman" w:hAnsi="Times New Roman" w:eastAsia="Times New Roman"/>
          <w:b w:val="0"/>
          <w:i w:val="0"/>
          <w:sz w:val="24"/>
        </w:rPr>
        <w:t xml:space="preserve">, </w:t>
      </w:r>
      <w:hyperlink w:anchor="Armstrong_J_S_Brodie_R_J_199_2" w:history="1">
        <w:r>
          <w:rPr>
            <w:rFonts w:ascii="Times New Roman" w:hAnsi="Times New Roman" w:eastAsia="Times New Roman"/>
            <w:sz w:val="24"/>
            <w:color w:val="000000"/>
            <w:u w:val="none"/>
          </w:rPr>
          <w:t>1994</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Morrison &amp; Wensley</w:t>
      </w:r>
      <w:r>
        <w:rPr>
          <w:rFonts w:ascii="Times New Roman" w:hAnsi="Times New Roman" w:eastAsia="Times New Roman"/>
          <w:b w:val="0"/>
          <w:i w:val="0"/>
          <w:sz w:val="24"/>
        </w:rPr>
        <w:t xml:space="preserve">, </w:t>
      </w:r>
      <w:hyperlink w:anchor="Morrison_A_Wensley_R_1991_15" w:history="1">
        <w:r>
          <w:rPr>
            <w:rFonts w:ascii="Times New Roman" w:hAnsi="Times New Roman" w:eastAsia="Times New Roman"/>
            <w:sz w:val="24"/>
            <w:color w:val="000000"/>
            <w:u w:val="none"/>
          </w:rPr>
          <w:t>1991</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Robins &amp; Wiersema</w:t>
      </w:r>
      <w:r>
        <w:rPr>
          <w:rFonts w:ascii="Times New Roman" w:hAnsi="Times New Roman" w:eastAsia="Times New Roman"/>
          <w:b w:val="0"/>
          <w:i w:val="0"/>
          <w:sz w:val="24"/>
        </w:rPr>
        <w:t xml:space="preserve">, </w:t>
      </w:r>
      <w:hyperlink w:anchor="Robins_J_A_Wiersema_M_F_1995_19" w:history="1">
        <w:r>
          <w:rPr>
            <w:rFonts w:ascii="Times New Roman" w:hAnsi="Times New Roman" w:eastAsia="Times New Roman"/>
            <w:sz w:val="24"/>
            <w:color w:val="000000"/>
            <w:u w:val="none"/>
          </w:rPr>
          <w:t>1995</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Yet abandoning BCG entirely would weaken portfolio discipline, so it remains useful if units are defined carefully. This report therefore uses only China Life's four formally disclosed insurance categories as BCG units: life insurance, annuity insurance, health insurance and accident insurance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The senior-care ecosystem is excluded from the BCG matrix and treated instead as a related-diversification platform under Ansoff </w:t>
      </w:r>
      <w:r>
        <w:rPr>
          <w:rFonts w:ascii="Times New Roman" w:hAnsi="Times New Roman" w:eastAsia="Times New Roman"/>
          <w:b w:val="0"/>
          <w:i w:val="0"/>
          <w:sz w:val="24"/>
        </w:rPr>
        <w:t>(1957)</w:t>
      </w:r>
      <w:r>
        <w:rPr>
          <w:rFonts w:ascii="Times New Roman" w:hAnsi="Times New Roman" w:eastAsia="Times New Roman"/>
          <w:b w:val="0"/>
          <w:i w:val="0"/>
          <w:sz w:val="24"/>
        </w:rPr>
        <w:t>.</w:t>
      </w:r>
    </w:p>
    <w:p>
      <w:pPr>
        <w:ind w:firstLine="480"/>
        <w:jc w:val="both"/>
      </w:pPr>
      <w:r>
        <w:rPr>
          <w:rFonts w:ascii="Times New Roman" w:hAnsi="Times New Roman" w:eastAsia="Times New Roman"/>
          <w:b w:val="0"/>
          <w:i w:val="0"/>
          <w:sz w:val="24"/>
        </w:rPr>
        <w:t>Here, product portfolio refers to the four disclosed insurance lines, while service portfolio refers to senior-care projects, claims and referral processes, digital touchpoints and partner-based care services. Because these elements are not separable share-growth business units, they are analysed under Ansoff related diversification rather than as stand-alone BCG units. Their value lies in improving cross-sell, retention and pricing discipline through claims, referral and customer-data integration.</w:t>
      </w:r>
    </w:p>
    <w:p>
      <w:pPr>
        <w:ind w:firstLine="480"/>
        <w:jc w:val="both"/>
      </w:pPr>
      <w:r>
        <w:rPr>
          <w:rFonts w:ascii="Times New Roman" w:hAnsi="Times New Roman" w:eastAsia="Times New Roman"/>
          <w:b w:val="0"/>
          <w:i w:val="0"/>
          <w:sz w:val="24"/>
        </w:rPr>
        <w:t>Classification follows three rules: scale/share proxy through disclosed position and peer comparison; growth proxy through external demand or policy evidence; and profitability/capital discipline as a caveat. Confidence is highest for life insurance, moderate for annuity and health insurance, and lowest for accident insurance. Appendix A summarises the proxy logic.</w:t>
      </w:r>
    </w:p>
    <w:p>
      <w:pPr>
        <w:pStyle w:val="Heading1"/>
        <w:spacing w:before="240" w:after="120"/>
        <w:jc w:val="left"/>
      </w:pPr>
      <w:r>
        <w:rPr>
          <w:rFonts w:ascii="Times New Roman" w:hAnsi="Times New Roman" w:eastAsia="Times New Roman"/>
          <w:b/>
          <w:i w:val="0"/>
          <w:sz w:val="24"/>
        </w:rPr>
        <w:t>2. BCG Matrix Analysis</w:t>
      </w:r>
    </w:p>
    <w:p>
      <w:pPr>
        <w:ind w:firstLine="480"/>
        <w:jc w:val="both"/>
      </w:pPr>
      <w:r>
        <w:rPr>
          <w:rFonts w:ascii="Times New Roman" w:hAnsi="Times New Roman" w:eastAsia="Times New Roman"/>
          <w:b w:val="0"/>
          <w:i w:val="0"/>
          <w:sz w:val="24"/>
        </w:rPr>
        <w:t>Using four disclosed insurance categories creates a cleaner portfolio framework than earlier mixed units, and labels still guide priorities if alternative interpretations are explicit.</w:t>
      </w:r>
    </w:p>
    <w:p>
      <w:pPr>
        <w:ind w:firstLine="480"/>
        <w:jc w:val="both"/>
      </w:pPr>
      <w:r>
        <w:rPr>
          <w:rFonts w:ascii="Times New Roman" w:hAnsi="Times New Roman" w:eastAsia="Times New Roman"/>
          <w:b w:val="0"/>
          <w:i w:val="0"/>
          <w:sz w:val="24"/>
        </w:rPr>
        <w:t>Figure 1 visualises the proxy-based BCG positions used below, while Appendix A standardises the evidence behind each classification.</w:t>
      </w:r>
    </w:p>
    <w:p>
      <w:pPr>
        <w:spacing w:before="120" w:after="120"/>
        <w:jc w:val="center"/>
      </w:pPr>
      <w:r>
        <w:drawing>
          <wp:inline xmlns:a="http://schemas.openxmlformats.org/drawingml/2006/main" xmlns:pic="http://schemas.openxmlformats.org/drawingml/2006/picture">
            <wp:extent cx="5486400" cy="3070027"/>
            <wp:docPr id="1" name="Picture 1"/>
            <wp:cNvGraphicFramePr>
              <a:graphicFrameLocks noChangeAspect="1"/>
            </wp:cNvGraphicFramePr>
            <a:graphic>
              <a:graphicData uri="http://schemas.openxmlformats.org/drawingml/2006/picture">
                <pic:pic>
                  <pic:nvPicPr>
                    <pic:cNvPr id="0" name="BCG MATRIX.png"/>
                    <pic:cNvPicPr/>
                  </pic:nvPicPr>
                  <pic:blipFill>
                    <a:blip r:embed="rId9"/>
                    <a:stretch>
                      <a:fillRect/>
                    </a:stretch>
                  </pic:blipFill>
                  <pic:spPr>
                    <a:xfrm>
                      <a:off x="0" y="0"/>
                      <a:ext cx="5486400" cy="3070027"/>
                    </a:xfrm>
                    <a:prstGeom prst="rect"/>
                  </pic:spPr>
                </pic:pic>
              </a:graphicData>
            </a:graphic>
          </wp:inline>
        </w:drawing>
      </w:r>
    </w:p>
    <w:p>
      <w:pPr>
        <w:pStyle w:val="Heading2"/>
        <w:spacing w:before="120" w:after="60"/>
        <w:jc w:val="left"/>
      </w:pPr>
      <w:r>
        <w:rPr>
          <w:rFonts w:ascii="Times New Roman" w:hAnsi="Times New Roman" w:eastAsia="Times New Roman"/>
          <w:b/>
          <w:i w:val="0"/>
          <w:sz w:val="24"/>
        </w:rPr>
        <w:t>Life Insurance: Cash Cow</w:t>
      </w:r>
    </w:p>
    <w:p>
      <w:pPr>
        <w:ind w:firstLine="480"/>
        <w:jc w:val="both"/>
      </w:pPr>
      <w:r>
        <w:rPr>
          <w:rFonts w:ascii="Times New Roman" w:hAnsi="Times New Roman" w:eastAsia="Times New Roman"/>
          <w:b w:val="0"/>
          <w:i w:val="0"/>
          <w:sz w:val="24"/>
        </w:rPr>
        <w:t xml:space="preserve">Life insurance is the clearest Cash Cow. China Life remains a leading life insurer, and its scale and embedded value indicate a mature but productive core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Industry data show 8.85% premium growth and 93.47% 13-month persistency in 2023, suggesting a quality-and-efficiency challenge rather than explosive growth </w:t>
      </w:r>
      <w:r>
        <w:rPr>
          <w:rFonts w:ascii="Times New Roman" w:hAnsi="Times New Roman" w:eastAsia="Times New Roman"/>
          <w:b w:val="0"/>
          <w:i w:val="0"/>
          <w:sz w:val="24"/>
        </w:rPr>
        <w:t>(</w:t>
      </w:r>
      <w:r>
        <w:rPr>
          <w:rFonts w:ascii="Times New Roman" w:hAnsi="Times New Roman" w:eastAsia="Times New Roman"/>
          <w:b w:val="0"/>
          <w:i w:val="0"/>
          <w:sz w:val="24"/>
        </w:rPr>
        <w:t>China Insurance Association</w:t>
      </w:r>
      <w:r>
        <w:rPr>
          <w:rFonts w:ascii="Times New Roman" w:hAnsi="Times New Roman" w:eastAsia="Times New Roman"/>
          <w:b w:val="0"/>
          <w:i w:val="0"/>
          <w:sz w:val="24"/>
        </w:rPr>
        <w:t xml:space="preserve">, </w:t>
      </w:r>
      <w:hyperlink w:anchor="China_Insurance_Association__5" w:history="1">
        <w:r>
          <w:rPr>
            <w:rFonts w:ascii="Times New Roman" w:hAnsi="Times New Roman" w:eastAsia="Times New Roman"/>
            <w:sz w:val="24"/>
            <w:color w:val="000000"/>
            <w:u w:val="none"/>
          </w:rPr>
          <w:t>2024</w:t>
        </w:r>
      </w:hyperlink>
      <w:r>
        <w:rPr>
          <w:rFonts w:ascii="Times New Roman" w:hAnsi="Times New Roman" w:eastAsia="Times New Roman"/>
          <w:b w:val="0"/>
          <w:i w:val="0"/>
          <w:sz w:val="24"/>
        </w:rPr>
        <w:t>)</w:t>
      </w:r>
      <w:r>
        <w:rPr>
          <w:rFonts w:ascii="Times New Roman" w:hAnsi="Times New Roman" w:eastAsia="Times New Roman"/>
          <w:b w:val="0"/>
          <w:i w:val="0"/>
          <w:sz w:val="24"/>
        </w:rPr>
        <w:t>. Relative to Ping An and CPIC, China Life's clearest advantage still lies in scale and embedded value rather than service-led monetisation (China Pacific Insurance (Group) Co., Ltd., 2025; Ping An Insurance (Group) Company of China, Ltd., 2025a, 2025b).</w:t>
      </w:r>
    </w:p>
    <w:p>
      <w:pPr>
        <w:ind w:firstLine="480"/>
        <w:jc w:val="both"/>
      </w:pPr>
      <w:r>
        <w:rPr>
          <w:rFonts w:ascii="Times New Roman" w:hAnsi="Times New Roman" w:eastAsia="Times New Roman"/>
          <w:b w:val="0"/>
          <w:i w:val="0"/>
          <w:sz w:val="24"/>
        </w:rPr>
        <w:t>An alternative reading would treat life insurance as a low-growth legacy line that deserves little attention. That interpretation is rejected because China Life's relative position and cash-generation remain stronger here than in any other line. The concern is whether cash-generation quality could weaken if interest-rate conditions, regulation or agent productivity deteriorate. Cash Cow should mean disciplined defence, not assumed stability.</w:t>
      </w:r>
    </w:p>
    <w:p>
      <w:pPr>
        <w:pStyle w:val="Heading2"/>
        <w:spacing w:before="120" w:after="60"/>
        <w:jc w:val="left"/>
      </w:pPr>
      <w:r>
        <w:rPr>
          <w:rFonts w:ascii="Times New Roman" w:hAnsi="Times New Roman" w:eastAsia="Times New Roman"/>
          <w:b/>
          <w:i w:val="0"/>
          <w:sz w:val="24"/>
        </w:rPr>
        <w:t>Annuity Insurance: Borderline Star</w:t>
      </w:r>
    </w:p>
    <w:p>
      <w:pPr>
        <w:ind w:firstLine="480"/>
        <w:jc w:val="both"/>
      </w:pPr>
      <w:r>
        <w:rPr>
          <w:rFonts w:ascii="Times New Roman" w:hAnsi="Times New Roman" w:eastAsia="Times New Roman"/>
          <w:b w:val="0"/>
          <w:i w:val="0"/>
          <w:sz w:val="24"/>
        </w:rPr>
        <w:t xml:space="preserve">Annuity insurance is best seen as a borderline Star. China Life states that its third-pillar private pension and commercial annuity insurance businesses ranked first in the industry and that commercial annuity insurance accelerated in 2024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Late-2024 policy changes confirmed commercial insurance annuities as a core third-pillar category and implemented the personal pension system nationwide, reinforcing retirement-related demand </w:t>
      </w:r>
      <w:r>
        <w:rPr>
          <w:rFonts w:ascii="Times New Roman" w:hAnsi="Times New Roman" w:eastAsia="Times New Roman"/>
          <w:b w:val="0"/>
          <w:i w:val="0"/>
          <w:sz w:val="24"/>
        </w:rPr>
        <w:t>(</w:t>
      </w:r>
      <w:r>
        <w:rPr>
          <w:rFonts w:ascii="Times New Roman" w:hAnsi="Times New Roman" w:eastAsia="Times New Roman"/>
          <w:b w:val="0"/>
          <w:i w:val="0"/>
          <w:sz w:val="24"/>
        </w:rPr>
        <w:t>State Council of the People's Republic of China</w:t>
      </w:r>
      <w:r>
        <w:rPr>
          <w:rFonts w:ascii="Times New Roman" w:hAnsi="Times New Roman" w:eastAsia="Times New Roman"/>
          <w:b w:val="0"/>
          <w:i w:val="0"/>
          <w:sz w:val="24"/>
        </w:rPr>
        <w:t xml:space="preserve">, </w:t>
      </w:r>
      <w:hyperlink w:anchor="State_Council_of_the_People__20" w:history="1">
        <w:r>
          <w:rPr>
            <w:rFonts w:ascii="Times New Roman" w:hAnsi="Times New Roman" w:eastAsia="Times New Roman"/>
            <w:sz w:val="24"/>
            <w:color w:val="000000"/>
            <w:u w:val="none"/>
          </w:rPr>
          <w:t>2024a</w:t>
        </w:r>
      </w:hyperlink>
      <w:r>
        <w:rPr>
          <w:rFonts w:ascii="Times New Roman" w:hAnsi="Times New Roman" w:eastAsia="Times New Roman"/>
          <w:b w:val="0"/>
          <w:i w:val="0"/>
          <w:sz w:val="24"/>
        </w:rPr>
        <w:t xml:space="preserve">, </w:t>
      </w:r>
      <w:hyperlink w:anchor="State_Council_of_the_People__21" w:history="1">
        <w:r>
          <w:rPr>
            <w:rFonts w:ascii="Times New Roman" w:hAnsi="Times New Roman" w:eastAsia="Times New Roman"/>
            <w:sz w:val="24"/>
            <w:color w:val="000000"/>
            <w:u w:val="none"/>
          </w:rPr>
          <w:t>2024b</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Chen et al.</w:t>
      </w:r>
      <w:r>
        <w:rPr>
          <w:rFonts w:ascii="Times New Roman" w:hAnsi="Times New Roman" w:eastAsia="Times New Roman"/>
          <w:b w:val="0"/>
          <w:i w:val="0"/>
          <w:sz w:val="24"/>
        </w:rPr>
        <w:t xml:space="preserve">, </w:t>
      </w:r>
      <w:hyperlink w:anchor="Chen_S_Li_L_Jiao_L_Wang_C_20_4" w:history="1">
        <w:r>
          <w:rPr>
            <w:rFonts w:ascii="Times New Roman" w:hAnsi="Times New Roman" w:eastAsia="Times New Roman"/>
            <w:sz w:val="24"/>
            <w:color w:val="000000"/>
            <w:u w:val="none"/>
          </w:rPr>
          <w:t>2023</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Cousins</w:t>
      </w:r>
      <w:r>
        <w:rPr>
          <w:rFonts w:ascii="Times New Roman" w:hAnsi="Times New Roman" w:eastAsia="Times New Roman"/>
          <w:b w:val="0"/>
          <w:i w:val="0"/>
          <w:sz w:val="24"/>
        </w:rPr>
        <w:t xml:space="preserve">, </w:t>
      </w:r>
      <w:hyperlink w:anchor="Cousins_M_2025_11" w:history="1">
        <w:r>
          <w:rPr>
            <w:rFonts w:ascii="Times New Roman" w:hAnsi="Times New Roman" w:eastAsia="Times New Roman"/>
            <w:sz w:val="24"/>
            <w:color w:val="000000"/>
            <w:u w:val="none"/>
          </w:rPr>
          <w:t>2025</w:t>
        </w:r>
      </w:hyperlink>
      <w:r>
        <w:rPr>
          <w:rFonts w:ascii="Times New Roman" w:hAnsi="Times New Roman" w:eastAsia="Times New Roman"/>
          <w:b w:val="0"/>
          <w:i w:val="0"/>
          <w:sz w:val="24"/>
        </w:rPr>
        <w:t>)</w:t>
      </w:r>
      <w:r>
        <w:rPr>
          <w:rFonts w:ascii="Times New Roman" w:hAnsi="Times New Roman" w:eastAsia="Times New Roman"/>
          <w:b w:val="0"/>
          <w:i w:val="0"/>
          <w:sz w:val="24"/>
        </w:rPr>
        <w:t>.</w:t>
      </w:r>
    </w:p>
    <w:p>
      <w:pPr>
        <w:ind w:firstLine="480"/>
        <w:jc w:val="both"/>
      </w:pPr>
      <w:r>
        <w:rPr>
          <w:rFonts w:ascii="Times New Roman" w:hAnsi="Times New Roman" w:eastAsia="Times New Roman"/>
          <w:b w:val="0"/>
          <w:i w:val="0"/>
          <w:sz w:val="24"/>
        </w:rPr>
        <w:t>An alternative interpretation is that annuity insurance remains a Question Mark because policy tailwinds do not necessarily imply profitable conversion. This is partly persuasive, but it is not adopted because China Life's disclosed first-place position in third-pillar private pension and commercial annuity provides stronger evidence of relative position. Relative to Ping An and CPIC, China Life appears stronger in product-level pension positioning but weaker in full-service retirement monetisation, as rivals report broader retirement-service footprints across multiple cities (China Pacific Insurance (Group) Co., Ltd., 2025; Ping An Insurance (Group) Company of China, Ltd., 2025a, 2025b).</w:t>
      </w:r>
    </w:p>
    <w:p>
      <w:pPr>
        <w:pStyle w:val="Heading2"/>
        <w:spacing w:before="120" w:after="60"/>
        <w:jc w:val="left"/>
      </w:pPr>
      <w:r>
        <w:rPr>
          <w:rFonts w:ascii="Times New Roman" w:hAnsi="Times New Roman" w:eastAsia="Times New Roman"/>
          <w:b/>
          <w:i w:val="0"/>
          <w:sz w:val="24"/>
        </w:rPr>
        <w:t>Health Insurance: Question Mark</w:t>
      </w:r>
    </w:p>
    <w:p>
      <w:pPr>
        <w:ind w:firstLine="480"/>
        <w:jc w:val="both"/>
      </w:pPr>
      <w:r>
        <w:rPr>
          <w:rFonts w:ascii="Times New Roman" w:hAnsi="Times New Roman" w:eastAsia="Times New Roman"/>
          <w:b w:val="0"/>
          <w:i w:val="0"/>
          <w:sz w:val="24"/>
        </w:rPr>
        <w:t xml:space="preserve">Health insurance is best classified as a Question Mark. Commercial health insurance, LTCI-related insurance and supplementary medical protection remain structurally important as China ages and public-private care arrangements deepen </w:t>
      </w:r>
      <w:r>
        <w:rPr>
          <w:rFonts w:ascii="Times New Roman" w:hAnsi="Times New Roman" w:eastAsia="Times New Roman"/>
          <w:b w:val="0"/>
          <w:i w:val="0"/>
          <w:sz w:val="24"/>
        </w:rPr>
        <w:t>(</w:t>
      </w:r>
      <w:r>
        <w:rPr>
          <w:rFonts w:ascii="Times New Roman" w:hAnsi="Times New Roman" w:eastAsia="Times New Roman"/>
          <w:b w:val="0"/>
          <w:i w:val="0"/>
          <w:sz w:val="24"/>
        </w:rPr>
        <w:t>Choi et al.</w:t>
      </w:r>
      <w:r>
        <w:rPr>
          <w:rFonts w:ascii="Times New Roman" w:hAnsi="Times New Roman" w:eastAsia="Times New Roman"/>
          <w:b w:val="0"/>
          <w:i w:val="0"/>
          <w:sz w:val="24"/>
        </w:rPr>
        <w:t xml:space="preserve">, </w:t>
      </w:r>
      <w:hyperlink w:anchor="Choi_W_I_Shi_H_Bian_Y_Hu_H_2_10" w:history="1">
        <w:r>
          <w:rPr>
            <w:rFonts w:ascii="Times New Roman" w:hAnsi="Times New Roman" w:eastAsia="Times New Roman"/>
            <w:sz w:val="24"/>
            <w:color w:val="000000"/>
            <w:u w:val="none"/>
          </w:rPr>
          <w:t>2018</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Cousins</w:t>
      </w:r>
      <w:r>
        <w:rPr>
          <w:rFonts w:ascii="Times New Roman" w:hAnsi="Times New Roman" w:eastAsia="Times New Roman"/>
          <w:b w:val="0"/>
          <w:i w:val="0"/>
          <w:sz w:val="24"/>
        </w:rPr>
        <w:t xml:space="preserve">, </w:t>
      </w:r>
      <w:hyperlink w:anchor="Cousins_M_2025_11" w:history="1">
        <w:r>
          <w:rPr>
            <w:rFonts w:ascii="Times New Roman" w:hAnsi="Times New Roman" w:eastAsia="Times New Roman"/>
            <w:sz w:val="24"/>
            <w:color w:val="000000"/>
            <w:u w:val="none"/>
          </w:rPr>
          <w:t>2025</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Yang et al.</w:t>
      </w:r>
      <w:r>
        <w:rPr>
          <w:rFonts w:ascii="Times New Roman" w:hAnsi="Times New Roman" w:eastAsia="Times New Roman"/>
          <w:b w:val="0"/>
          <w:i w:val="0"/>
          <w:sz w:val="24"/>
        </w:rPr>
        <w:t xml:space="preserve">, </w:t>
      </w:r>
      <w:hyperlink w:anchor="Yang_S_Guo_D_Bi_S_Chen_Y_202_24" w:history="1">
        <w:r>
          <w:rPr>
            <w:rFonts w:ascii="Times New Roman" w:hAnsi="Times New Roman" w:eastAsia="Times New Roman"/>
            <w:sz w:val="24"/>
            <w:color w:val="000000"/>
            <w:u w:val="none"/>
          </w:rPr>
          <w:t>2023</w:t>
        </w:r>
      </w:hyperlink>
      <w:r>
        <w:rPr>
          <w:rFonts w:ascii="Times New Roman" w:hAnsi="Times New Roman" w:eastAsia="Times New Roman"/>
          <w:b w:val="0"/>
          <w:i w:val="0"/>
          <w:sz w:val="24"/>
        </w:rPr>
        <w:t xml:space="preserve">; </w:t>
      </w:r>
      <w:r>
        <w:rPr>
          <w:rFonts w:ascii="Times New Roman" w:hAnsi="Times New Roman" w:eastAsia="Times New Roman"/>
          <w:b w:val="0"/>
          <w:i w:val="0"/>
          <w:sz w:val="24"/>
        </w:rPr>
        <w:t>Zhu &amp; Bai</w:t>
      </w:r>
      <w:r>
        <w:rPr>
          <w:rFonts w:ascii="Times New Roman" w:hAnsi="Times New Roman" w:eastAsia="Times New Roman"/>
          <w:b w:val="0"/>
          <w:i w:val="0"/>
          <w:sz w:val="24"/>
        </w:rPr>
        <w:t xml:space="preserve">, </w:t>
      </w:r>
      <w:hyperlink w:anchor="Zhu_Z_Bai_C_2025_25" w:history="1">
        <w:r>
          <w:rPr>
            <w:rFonts w:ascii="Times New Roman" w:hAnsi="Times New Roman" w:eastAsia="Times New Roman"/>
            <w:sz w:val="24"/>
            <w:color w:val="000000"/>
            <w:u w:val="none"/>
          </w:rPr>
          <w:t>2025</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The National Healthcare Security Administration </w:t>
      </w:r>
      <w:r>
        <w:rPr>
          <w:rFonts w:ascii="Times New Roman" w:hAnsi="Times New Roman" w:eastAsia="Times New Roman"/>
          <w:b w:val="0"/>
          <w:i w:val="0"/>
          <w:sz w:val="24"/>
        </w:rPr>
        <w:t>(2026)</w:t>
      </w:r>
      <w:r>
        <w:rPr>
          <w:rFonts w:ascii="Times New Roman" w:hAnsi="Times New Roman" w:eastAsia="Times New Roman"/>
          <w:b w:val="0"/>
          <w:i w:val="0"/>
          <w:sz w:val="24"/>
        </w:rPr>
        <w:t xml:space="preserve">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w:t>
      </w:r>
    </w:p>
    <w:p>
      <w:pPr>
        <w:ind w:firstLine="480"/>
        <w:jc w:val="both"/>
      </w:pPr>
      <w:r>
        <w:rPr>
          <w:rFonts w:ascii="Times New Roman" w:hAnsi="Times New Roman" w:eastAsia="Times New Roman"/>
          <w:b w:val="0"/>
          <w:i w:val="0"/>
          <w:sz w:val="24"/>
        </w:rPr>
        <w:t xml:space="preserve">A more optimistic interpretation would classify health insurance as an emerging Star. This is rejected at present because programme breadth and policy participation do not yet demonstrate profitable dominance under tighter pricing discipline. Choi et al. </w:t>
      </w:r>
      <w:r>
        <w:rPr>
          <w:rFonts w:ascii="Times New Roman" w:hAnsi="Times New Roman" w:eastAsia="Times New Roman"/>
          <w:b w:val="0"/>
          <w:i w:val="0"/>
          <w:sz w:val="24"/>
        </w:rPr>
        <w:t>(2018)</w:t>
      </w:r>
      <w:r>
        <w:rPr>
          <w:rFonts w:ascii="Times New Roman" w:hAnsi="Times New Roman" w:eastAsia="Times New Roman"/>
          <w:b w:val="0"/>
          <w:i w:val="0"/>
          <w:sz w:val="24"/>
        </w:rPr>
        <w:t xml:space="preserve">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w:t>
      </w:r>
      <w:r>
        <w:rPr>
          <w:rFonts w:ascii="Times New Roman" w:hAnsi="Times New Roman" w:eastAsia="Times New Roman"/>
          <w:b w:val="0"/>
          <w:i w:val="0"/>
          <w:sz w:val="24"/>
        </w:rPr>
        <w:t>(</w:t>
      </w:r>
      <w:r>
        <w:rPr>
          <w:rFonts w:ascii="Times New Roman" w:hAnsi="Times New Roman" w:eastAsia="Times New Roman"/>
          <w:b w:val="0"/>
          <w:i w:val="0"/>
          <w:sz w:val="24"/>
        </w:rPr>
        <w:t>State Council of the People's Republic of China</w:t>
      </w:r>
      <w:r>
        <w:rPr>
          <w:rFonts w:ascii="Times New Roman" w:hAnsi="Times New Roman" w:eastAsia="Times New Roman"/>
          <w:b w:val="0"/>
          <w:i w:val="0"/>
          <w:sz w:val="24"/>
        </w:rPr>
        <w:t xml:space="preserve">, </w:t>
      </w:r>
      <w:hyperlink w:anchor="State_Council_of_the_People__22" w:history="1">
        <w:r>
          <w:rPr>
            <w:rFonts w:ascii="Times New Roman" w:hAnsi="Times New Roman" w:eastAsia="Times New Roman"/>
            <w:sz w:val="24"/>
            <w:color w:val="000000"/>
            <w:u w:val="none"/>
          </w:rPr>
          <w:t>2025</w:t>
        </w:r>
      </w:hyperlink>
      <w:r>
        <w:rPr>
          <w:rFonts w:ascii="Times New Roman" w:hAnsi="Times New Roman" w:eastAsia="Times New Roman"/>
          <w:b w:val="0"/>
          <w:i w:val="0"/>
          <w:sz w:val="24"/>
        </w:rPr>
        <w:t>)</w:t>
      </w:r>
      <w:r>
        <w:rPr>
          <w:rFonts w:ascii="Times New Roman" w:hAnsi="Times New Roman" w:eastAsia="Times New Roman"/>
          <w:b w:val="0"/>
          <w:i w:val="0"/>
          <w:sz w:val="24"/>
        </w:rPr>
        <w:t>. Relative to Ping An, China Life's programme participation shows reach, but not yet equivalent monetisation strength, since Ping An reports more than 31 million paying retail customers for health and senior-care services, a stronger paying-customer conversion signal (Ping An Insurance (Group) Company of China, Ltd., 2025a). If underwriting, claims management and digital pricing improve, health insurance could evolve toward Star status; if they do not, growth may create complexity rather than value.</w:t>
      </w:r>
    </w:p>
    <w:p>
      <w:pPr>
        <w:pStyle w:val="Heading2"/>
        <w:spacing w:before="120" w:after="60"/>
        <w:jc w:val="left"/>
      </w:pPr>
      <w:r>
        <w:rPr>
          <w:rFonts w:ascii="Times New Roman" w:hAnsi="Times New Roman" w:eastAsia="Times New Roman"/>
          <w:b/>
          <w:i w:val="0"/>
          <w:sz w:val="24"/>
        </w:rPr>
        <w:t>Accident Insurance: Support Line Closest to Dog</w:t>
      </w:r>
    </w:p>
    <w:p>
      <w:pPr>
        <w:ind w:firstLine="480"/>
        <w:jc w:val="both"/>
      </w:pPr>
      <w:r>
        <w:rPr>
          <w:rFonts w:ascii="Times New Roman" w:hAnsi="Times New Roman" w:eastAsia="Times New Roman"/>
          <w:b w:val="0"/>
          <w:i w:val="0"/>
          <w:sz w:val="24"/>
        </w:rPr>
        <w:t xml:space="preserve">Accident insurance most closely resembles a Dog in BCG terms, but in practice it is better treated as a low-priority support line. China Life still offers it as part of a wider protection portfolio, which gives it value for bundling, cross-selling and inclusion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 xml:space="preserve">, </w:t>
      </w:r>
      <w:hyperlink w:anchor="China_Life_Insurance_Company_8" w:history="1">
        <w:r>
          <w:rPr>
            <w:rFonts w:ascii="Times New Roman" w:hAnsi="Times New Roman" w:eastAsia="Times New Roman"/>
            <w:sz w:val="24"/>
            <w:color w:val="000000"/>
            <w:u w:val="none"/>
          </w:rPr>
          <w:t>2025b</w:t>
        </w:r>
      </w:hyperlink>
      <w:r>
        <w:rPr>
          <w:rFonts w:ascii="Times New Roman" w:hAnsi="Times New Roman" w:eastAsia="Times New Roman"/>
          <w:b w:val="0"/>
          <w:i w:val="0"/>
          <w:sz w:val="24"/>
        </w:rPr>
        <w:t>)</w:t>
      </w:r>
      <w:r>
        <w:rPr>
          <w:rFonts w:ascii="Times New Roman" w:hAnsi="Times New Roman" w:eastAsia="Times New Roman"/>
          <w:b w:val="0"/>
          <w:i w:val="0"/>
          <w:sz w:val="24"/>
        </w:rPr>
        <w:t>. However, there is little evidence of stand-alone growth leadership or clear differentiation relative to life, annuity or health insurance.</w:t>
      </w:r>
    </w:p>
    <w:p>
      <w:pPr>
        <w:ind w:firstLine="480"/>
        <w:jc w:val="both"/>
      </w:pPr>
      <w:r>
        <w:rPr>
          <w:rFonts w:ascii="Times New Roman" w:hAnsi="Times New Roman" w:eastAsia="Times New Roman"/>
          <w:b w:val="0"/>
          <w:i w:val="0"/>
          <w:sz w:val="24"/>
        </w:rPr>
        <w:t>An alternative interpretation would treat accident insurance as a neutral support product outside BCG. That view is not adopted because support products still absorb distribution effort, managerial attention and some capital. It should stay in the portfolio mainly for completion and bundling, not for growth investment.</w:t>
      </w:r>
    </w:p>
    <w:p>
      <w:pPr>
        <w:ind w:firstLine="480"/>
        <w:jc w:val="both"/>
      </w:pPr>
      <w:r>
        <w:rPr>
          <w:rFonts w:ascii="Times New Roman" w:hAnsi="Times New Roman" w:eastAsia="Times New Roman"/>
          <w:b w:val="0"/>
          <w:i w:val="0"/>
          <w:sz w:val="24"/>
        </w:rP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 (see Appendix D).</w:t>
      </w:r>
    </w:p>
    <w:p>
      <w:pPr>
        <w:pStyle w:val="Heading1"/>
        <w:spacing w:before="240" w:after="120"/>
        <w:jc w:val="left"/>
      </w:pPr>
      <w:r>
        <w:rPr>
          <w:rFonts w:ascii="Times New Roman" w:hAnsi="Times New Roman" w:eastAsia="Times New Roman"/>
          <w:b/>
          <w:i w:val="0"/>
          <w:sz w:val="24"/>
        </w:rPr>
        <w:t>3. Ansoff Matrix Analysis and Ranked Strategic Choice</w:t>
      </w:r>
    </w:p>
    <w:p>
      <w:pPr>
        <w:ind w:firstLine="480"/>
        <w:jc w:val="both"/>
      </w:pPr>
      <w:r>
        <w:rPr>
          <w:rFonts w:ascii="Times New Roman" w:hAnsi="Times New Roman" w:eastAsia="Times New Roman"/>
          <w:b w:val="0"/>
          <w:i w:val="0"/>
          <w:sz w:val="24"/>
        </w:rPr>
        <w:t>The Ansoff Matrix is more useful here as a ranking framework than as four parallel descriptions. Here,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Because Ansoff abstracts from regulation, capital intensity and service-ecosystem execution, it is used here as a strategic ranking framework rather than a mechanical matrix. Appendix B separates the route summary from a weighted decision matrix based on strategic fit, expected return, capability stretch, capital exposure and regulatory dependency.</w:t>
      </w:r>
    </w:p>
    <w:p>
      <w:pPr>
        <w:pStyle w:val="Heading2"/>
        <w:spacing w:before="120" w:after="60"/>
        <w:jc w:val="left"/>
      </w:pPr>
      <w:r>
        <w:rPr>
          <w:rFonts w:ascii="Times New Roman" w:hAnsi="Times New Roman" w:eastAsia="Times New Roman"/>
          <w:b/>
          <w:i w:val="0"/>
          <w:sz w:val="24"/>
        </w:rPr>
        <w:t>1. Product Development</w:t>
      </w:r>
    </w:p>
    <w:p>
      <w:pPr>
        <w:ind w:firstLine="480"/>
        <w:jc w:val="both"/>
      </w:pPr>
      <w:r>
        <w:rPr>
          <w:rFonts w:ascii="Times New Roman" w:hAnsi="Times New Roman" w:eastAsia="Times New Roman"/>
          <w:b w:val="0"/>
          <w:i w:val="0"/>
          <w:sz w:val="24"/>
        </w:rPr>
        <w:t xml:space="preserve">Product development ranks first because it offers the strongest near-term return with the lowest capability stretch. China Life already upgraded more than 100 products in 2024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w:t>
      </w:r>
      <w:r>
        <w:rPr>
          <w:rFonts w:ascii="Times New Roman" w:hAnsi="Times New Roman" w:eastAsia="Times New Roman"/>
          <w:b w:val="0"/>
          <w:i w:val="0"/>
          <w:sz w:val="24"/>
        </w:rPr>
        <w:t>. Two priority moves are defensible. The first is a pre-retirement bundle combining commercial annuity accumulation with health or long-term care protection for urban salaried households, sold mainly through bancassurance and certified agents and judged by conversion, retention and claims performance. The second is a top-up health and care-referral offer for existing policyholders, sold through agents and app prompts and judged by cross-sell, persistence and claims turnaround. If claims pressure or capital drag offsets retention gains, the pilot should pause.</w:t>
      </w:r>
    </w:p>
    <w:p>
      <w:pPr>
        <w:pStyle w:val="Heading2"/>
        <w:spacing w:before="120" w:after="60"/>
        <w:jc w:val="left"/>
      </w:pPr>
      <w:r>
        <w:rPr>
          <w:rFonts w:ascii="Times New Roman" w:hAnsi="Times New Roman" w:eastAsia="Times New Roman"/>
          <w:b/>
          <w:i w:val="0"/>
          <w:sz w:val="24"/>
        </w:rPr>
        <w:t>2. Related Diversification</w:t>
      </w:r>
    </w:p>
    <w:p>
      <w:pPr>
        <w:ind w:firstLine="480"/>
        <w:jc w:val="both"/>
      </w:pPr>
      <w:r>
        <w:rPr>
          <w:rFonts w:ascii="Times New Roman" w:hAnsi="Times New Roman" w:eastAsia="Times New Roman"/>
          <w:b w:val="0"/>
          <w:i w:val="0"/>
          <w:sz w:val="24"/>
        </w:rPr>
        <w:t xml:space="preserve">Related diversification ranks second because the upside is high, but the return horizon is longer and the implementation burden is materially higher. China Life already has 17 institutional elderly-care projects across 14 cities and three senior-care product lines in operation </w:t>
      </w:r>
      <w:r>
        <w:rPr>
          <w:rFonts w:ascii="Times New Roman" w:hAnsi="Times New Roman" w:eastAsia="Times New Roman"/>
          <w:b w:val="0"/>
          <w:i w:val="0"/>
          <w:sz w:val="24"/>
        </w:rPr>
        <w:t>(</w:t>
      </w:r>
      <w:r>
        <w:rPr>
          <w:rFonts w:ascii="Times New Roman" w:hAnsi="Times New Roman" w:eastAsia="Times New Roman"/>
          <w:b w:val="0"/>
          <w:i w:val="0"/>
          <w:sz w:val="24"/>
        </w:rPr>
        <w:t>China Life Insurance Company Limited</w:t>
      </w:r>
      <w:r>
        <w:rPr>
          <w:rFonts w:ascii="Times New Roman" w:hAnsi="Times New Roman" w:eastAsia="Times New Roman"/>
          <w:b w:val="0"/>
          <w:i w:val="0"/>
          <w:sz w:val="24"/>
        </w:rPr>
        <w:t xml:space="preserve">, </w:t>
      </w:r>
      <w:hyperlink w:anchor="China_Life_Insurance_Company_7" w:history="1">
        <w:r>
          <w:rPr>
            <w:rFonts w:ascii="Times New Roman" w:hAnsi="Times New Roman" w:eastAsia="Times New Roman"/>
            <w:sz w:val="24"/>
            <w:color w:val="000000"/>
            <w:u w:val="none"/>
          </w:rPr>
          <w:t>2025a</w:t>
        </w:r>
      </w:hyperlink>
      <w:r>
        <w:rPr>
          <w:rFonts w:ascii="Times New Roman" w:hAnsi="Times New Roman" w:eastAsia="Times New Roman"/>
          <w:b w:val="0"/>
          <w:i w:val="0"/>
          <w:sz w:val="24"/>
        </w:rPr>
        <w:t xml:space="preserve">, </w:t>
      </w:r>
      <w:hyperlink w:anchor="China_Life_Insurance_Company_8" w:history="1">
        <w:r>
          <w:rPr>
            <w:rFonts w:ascii="Times New Roman" w:hAnsi="Times New Roman" w:eastAsia="Times New Roman"/>
            <w:sz w:val="24"/>
            <w:color w:val="000000"/>
            <w:u w:val="none"/>
          </w:rPr>
          <w:t>2025b</w:t>
        </w:r>
      </w:hyperlink>
      <w:r>
        <w:rPr>
          <w:rFonts w:ascii="Times New Roman" w:hAnsi="Times New Roman" w:eastAsia="Times New Roman"/>
          <w:b w:val="0"/>
          <w:i w:val="0"/>
          <w:sz w:val="24"/>
        </w:rPr>
        <w:t>)</w:t>
      </w:r>
      <w:r>
        <w:rPr>
          <w:rFonts w:ascii="Times New Roman" w:hAnsi="Times New Roman" w:eastAsia="Times New Roman"/>
          <w:b w:val="0"/>
          <w:i w:val="0"/>
          <w:sz w:val="24"/>
        </w:rPr>
        <w:t xml:space="preserve">. Barney </w:t>
      </w:r>
      <w:r>
        <w:rPr>
          <w:rFonts w:ascii="Times New Roman" w:hAnsi="Times New Roman" w:eastAsia="Times New Roman"/>
          <w:b w:val="0"/>
          <w:i w:val="0"/>
          <w:sz w:val="24"/>
        </w:rPr>
        <w:t>(1991)</w:t>
      </w:r>
      <w:r>
        <w:rPr>
          <w:rFonts w:ascii="Times New Roman" w:hAnsi="Times New Roman" w:eastAsia="Times New Roman"/>
          <w:b w:val="0"/>
          <w:i w:val="0"/>
          <w:sz w:val="24"/>
        </w:rPr>
        <w:t xml:space="preserve"> helps explain why this route is tempting: scale, trust and distribution reach are valuable resources. Markides and Williamson </w:t>
      </w:r>
      <w:r>
        <w:rPr>
          <w:rFonts w:ascii="Times New Roman" w:hAnsi="Times New Roman" w:eastAsia="Times New Roman"/>
          <w:b w:val="0"/>
          <w:i w:val="0"/>
          <w:sz w:val="24"/>
        </w:rPr>
        <w:t>(1994)</w:t>
      </w:r>
      <w:r>
        <w:rPr>
          <w:rFonts w:ascii="Times New Roman" w:hAnsi="Times New Roman" w:eastAsia="Times New Roman"/>
          <w:b w:val="0"/>
          <w:i w:val="0"/>
          <w:sz w:val="24"/>
        </w:rPr>
        <w:t xml:space="preserve"> argue that related diversification creates advantage only when strategically important assets can be transferred across businesses. Day </w:t>
      </w:r>
      <w:r>
        <w:rPr>
          <w:rFonts w:ascii="Times New Roman" w:hAnsi="Times New Roman" w:eastAsia="Times New Roman"/>
          <w:b w:val="0"/>
          <w:i w:val="0"/>
          <w:sz w:val="24"/>
        </w:rPr>
        <w:t>(1994)</w:t>
      </w:r>
      <w:r>
        <w:rPr>
          <w:rFonts w:ascii="Times New Roman" w:hAnsi="Times New Roman" w:eastAsia="Times New Roman"/>
          <w:b w:val="0"/>
          <w:i w:val="0"/>
          <w:sz w:val="24"/>
        </w:rPr>
        <w:t xml:space="preserve"> and Teece </w:t>
      </w:r>
      <w:r>
        <w:rPr>
          <w:rFonts w:ascii="Times New Roman" w:hAnsi="Times New Roman" w:eastAsia="Times New Roman"/>
          <w:b w:val="0"/>
          <w:i w:val="0"/>
          <w:sz w:val="24"/>
        </w:rPr>
        <w:t>(2007)</w:t>
      </w:r>
      <w:r>
        <w:rPr>
          <w:rFonts w:ascii="Times New Roman" w:hAnsi="Times New Roman" w:eastAsia="Times New Roman"/>
          <w:b w:val="0"/>
          <w:i w:val="0"/>
          <w:sz w:val="24"/>
        </w:rPr>
        <w:t xml:space="preserve"> then imply that value depends on integrating claims, service, customer data and partner networks. It ranks below product development because capability stretch, capital exposure and payback uncertainty are higher. China Life's most defensible path is not to copy Ping An's ecosystem model wholesale, but to extend from scale-and-pension strength into selectively integrated service adjacencies. If ecosystem expansion weakens core return metrics, capital should return to product-led growth; if partnership delivery improves service integration without owned asset expansion, that route should dominate.</w:t>
      </w:r>
    </w:p>
    <w:p>
      <w:pPr>
        <w:pStyle w:val="Heading2"/>
        <w:spacing w:before="120" w:after="60"/>
        <w:jc w:val="left"/>
      </w:pPr>
      <w:r>
        <w:rPr>
          <w:rFonts w:ascii="Times New Roman" w:hAnsi="Times New Roman" w:eastAsia="Times New Roman"/>
          <w:b/>
          <w:i w:val="0"/>
          <w:sz w:val="24"/>
        </w:rPr>
        <w:t>3. Market Development</w:t>
      </w:r>
    </w:p>
    <w:p>
      <w:pPr>
        <w:ind w:firstLine="480"/>
        <w:jc w:val="both"/>
      </w:pPr>
      <w:r>
        <w:rPr>
          <w:rFonts w:ascii="Times New Roman" w:hAnsi="Times New Roman" w:eastAsia="Times New Roman"/>
          <w:b w:val="0"/>
          <w:i w:val="0"/>
          <w:sz w:val="24"/>
        </w:rPr>
        <w:t>Market development ranks third because the fit is selective and the likely return is moderate. China Life can broaden reach into pre-retirement households, older customers, community channels, bancassurance-led retirement segments and public-private health schemes. A selective route would target pre-retirement and older urban customers through bancassurance and community channels, but the risk is margin dilution if capabilities do not translate into segment-specific advice. That risk keeps market development below product development.</w:t>
      </w:r>
    </w:p>
    <w:p>
      <w:pPr>
        <w:pStyle w:val="Heading2"/>
        <w:spacing w:before="120" w:after="60"/>
        <w:jc w:val="left"/>
      </w:pPr>
      <w:r>
        <w:rPr>
          <w:rFonts w:ascii="Times New Roman" w:hAnsi="Times New Roman" w:eastAsia="Times New Roman"/>
          <w:b/>
          <w:i w:val="0"/>
          <w:sz w:val="24"/>
        </w:rPr>
        <w:t>4. Market Penetration</w:t>
      </w:r>
    </w:p>
    <w:p>
      <w:pPr>
        <w:ind w:firstLine="480"/>
        <w:jc w:val="both"/>
      </w:pPr>
      <w:r>
        <w:rPr>
          <w:rFonts w:ascii="Times New Roman" w:hAnsi="Times New Roman" w:eastAsia="Times New Roman"/>
          <w:b w:val="0"/>
          <w:i w:val="0"/>
          <w:sz w:val="24"/>
        </w:rPr>
        <w:t>Market penetration ranks fourth because its implementation burden is lowest, but its strategic upside is also lowest. It can improve the Cash Cow through better retention, agent productivity and claims service. Market penetration should therefore focus on higher persistency and cross-sell within the installed base, but it remains a defensive route because it improves core efficiency more than it changes product relevance.</w:t>
      </w:r>
    </w:p>
    <w:p>
      <w:pPr>
        <w:pStyle w:val="Heading1"/>
        <w:spacing w:before="240" w:after="120"/>
        <w:jc w:val="left"/>
      </w:pPr>
      <w:r>
        <w:rPr>
          <w:rFonts w:ascii="Times New Roman" w:hAnsi="Times New Roman" w:eastAsia="Times New Roman"/>
          <w:b/>
          <w:i w:val="0"/>
          <w:sz w:val="24"/>
        </w:rPr>
        <w:t>4. Strategic Direction, Organisational Learning and Action Priorities</w:t>
      </w:r>
    </w:p>
    <w:p>
      <w:pPr>
        <w:ind w:firstLine="480"/>
        <w:jc w:val="both"/>
      </w:pPr>
      <w:r>
        <w:rPr>
          <w:rFonts w:ascii="Times New Roman" w:hAnsi="Times New Roman" w:eastAsia="Times New Roman"/>
          <w:b w:val="0"/>
          <w:i w:val="0"/>
          <w:sz w:val="24"/>
        </w:rPr>
        <w:t>The combined logic of BCG and Ansoff produces a clear recommendation. China Life should defend life insurance as a Cash Cow and funding base; prioritise annuity and health product development; use the senior-care ecosystem as a related-diversification platform; and avoid overcommitting capital to accident insurance beyond its bundling role.</w:t>
      </w:r>
    </w:p>
    <w:p>
      <w:pPr>
        <w:ind w:firstLine="480"/>
        <w:jc w:val="both"/>
      </w:pPr>
      <w:r>
        <w:rPr>
          <w:rFonts w:ascii="Times New Roman" w:hAnsi="Times New Roman" w:eastAsia="Times New Roman"/>
          <w:b w:val="0"/>
          <w:i w:val="0"/>
          <w:sz w:val="24"/>
        </w:rPr>
        <w:t>Organisational learning changes strategy selection, not just implementation. China Life faces an exploration-exploitation problem: over-exploiting the mature life core may protect short-run efficiency but weaken future relevance, while over-exploring ecosystem assets may destroy value before the organisation learns how to monetise them. Appendix C turns this logic into governance by specifying owners, baselines, review cycles and go/no-go rules. Learning loops should test whether annuity-health bundles improve retention and conversion, whether claims and service data sharpen pricing discipline, and whether partnership delivery creates value without asset-heavy drag.</w:t>
      </w:r>
    </w:p>
    <w:p>
      <w:pPr>
        <w:ind w:firstLine="480"/>
        <w:jc w:val="both"/>
      </w:pPr>
      <w:r>
        <w:rPr>
          <w:rFonts w:ascii="Times New Roman" w:hAnsi="Times New Roman" w:eastAsia="Times New Roman"/>
          <w:b w:val="0"/>
          <w:i w:val="0"/>
          <w:sz w:val="24"/>
        </w:rPr>
        <w:t>In the next 12 months, China Life should treat the life core as a performance engine, cap ecosystem pilot capital, and shift branch and agent scorecards away from premium volume alone toward value of one year's sales, agent productivity, persistence and capital efficiency. Over the same period, it should standardise customer data, claims workflows and service referrals in cities where elderly-care projects already operate. From months 12 to 24, it should pilot bundled propositions combining annuity, health cover and care-related services, while selected agents receive retirement-planning certification and the China Life App integrates claims prompts. From months 24 to 36, rollout should scale only if evidence improves.</w:t>
      </w:r>
    </w:p>
    <w:p>
      <w:pPr>
        <w:ind w:firstLine="480"/>
        <w:jc w:val="both"/>
      </w:pPr>
      <w:r>
        <w:rPr>
          <w:rFonts w:ascii="Times New Roman" w:hAnsi="Times New Roman" w:eastAsia="Times New Roman"/>
          <w:b w:val="0"/>
          <w:i w:val="0"/>
          <w:sz w:val="24"/>
        </w:rPr>
        <w:t>Appendix C sets out governance. Core metrics include value of one year's sales, persistence, agent productivity and capital efficiency. Ecosystem pilots are judged by cross-sell ratio, ecosystem-linked new business, elderly retention and claims turnaround time. If core efficiency fails to improve after 12 months, expansionary initiatives should pause; if ecosystem expansion weakens core return metrics, capital should return to product-led growth; and if digital routing and agent incentives conflict, redesign should prioritise whichever side better protects retention and value of new business.</w:t>
      </w:r>
    </w:p>
    <w:p>
      <w:pPr>
        <w:pStyle w:val="Heading1"/>
        <w:spacing w:before="240" w:after="120"/>
        <w:jc w:val="left"/>
      </w:pPr>
      <w:r>
        <w:rPr>
          <w:rFonts w:ascii="Times New Roman" w:hAnsi="Times New Roman" w:eastAsia="Times New Roman"/>
          <w:b/>
          <w:i w:val="0"/>
          <w:sz w:val="24"/>
        </w:rPr>
        <w:t>5. Conclusion</w:t>
      </w:r>
    </w:p>
    <w:p>
      <w:pPr>
        <w:ind w:firstLine="480"/>
        <w:jc w:val="both"/>
      </w:pPr>
      <w:r>
        <w:rPr>
          <w:rFonts w:ascii="Times New Roman" w:hAnsi="Times New Roman" w:eastAsia="Times New Roman"/>
          <w:b w:val="0"/>
          <w:i w:val="0"/>
          <w:sz w:val="24"/>
        </w:rPr>
        <w:t>In BCG terms, life insurance is the clearest Cash Cow, annuity insurance is best seen as a borderline Star, health insurance is a Question Mark, and accident insurance is closest to Dog but retained mainly as a support line. The senior-care ecosystem should not be treated as a separate BCG unit, but as a related-diversification platform under Ansoff.</w:t>
      </w:r>
    </w:p>
    <w:p>
      <w:pPr>
        <w:ind w:firstLine="480"/>
        <w:jc w:val="both"/>
      </w:pPr>
      <w:r>
        <w:rPr>
          <w:rFonts w:ascii="Times New Roman" w:hAnsi="Times New Roman" w:eastAsia="Times New Roman"/>
          <w:b w:val="0"/>
          <w:i w:val="0"/>
          <w:sz w:val="24"/>
        </w:rPr>
        <w:t>China Life should prioritise annuity and health product development now; invest in senior-care diversification selectively and on a partnership-led basis; defend but not overfund the mature life core; and avoid treating accident insurance as an independent growth engine.</w:t>
      </w:r>
    </w:p>
    <w:p>
      <w:pPr>
        <w:pStyle w:val="Heading1"/>
        <w:spacing w:before="240" w:after="120"/>
        <w:jc w:val="left"/>
      </w:pPr>
      <w:r>
        <w:rPr>
          <w:rFonts w:ascii="Times New Roman" w:hAnsi="Times New Roman" w:eastAsia="Times New Roman"/>
          <w:b/>
          <w:i w:val="0"/>
          <w:sz w:val="24"/>
        </w:rPr>
        <w:t>References</w:t>
      </w:r>
    </w:p>
    <w:p>
      <w:pPr>
        <w:ind w:left="720" w:hanging="720"/>
        <w:jc w:val="left"/>
      </w:pPr>
      <w:bookmarkStart w:id="1" w:name="Ansoff_H_I_1957_1"/>
      <w:r>
        <w:rPr>
          <w:rFonts w:ascii="Times New Roman" w:hAnsi="Times New Roman" w:eastAsia="Times New Roman"/>
          <w:b w:val="0"/>
          <w:i w:val="0"/>
          <w:sz w:val="24"/>
        </w:rPr>
      </w:r>
      <w:bookmarkEnd w:id="1"/>
      <w:r>
        <w:rPr>
          <w:rFonts w:ascii="Times New Roman" w:hAnsi="Times New Roman" w:eastAsia="Times New Roman"/>
          <w:b w:val="0"/>
          <w:i w:val="0"/>
          <w:sz w:val="24"/>
        </w:rPr>
        <w:t xml:space="preserve">Ansoff, H. I. (1957). </w:t>
      </w:r>
      <w:r>
        <w:rPr>
          <w:rFonts w:ascii="Times New Roman" w:hAnsi="Times New Roman" w:eastAsia="Times New Roman"/>
          <w:b w:val="0"/>
          <w:i/>
          <w:sz w:val="24"/>
        </w:rPr>
        <w:t>Strategies for diversification</w:t>
      </w:r>
      <w:r>
        <w:rPr>
          <w:rFonts w:ascii="Times New Roman" w:hAnsi="Times New Roman" w:eastAsia="Times New Roman"/>
          <w:b w:val="0"/>
          <w:i w:val="0"/>
          <w:sz w:val="24"/>
        </w:rPr>
        <w:t xml:space="preserve">. </w:t>
      </w:r>
      <w:r>
        <w:rPr>
          <w:rFonts w:ascii="Times New Roman" w:hAnsi="Times New Roman" w:eastAsia="Times New Roman"/>
          <w:b w:val="0"/>
          <w:i/>
          <w:sz w:val="24"/>
        </w:rPr>
        <w:t>Harvard Business Review, 35</w:t>
      </w:r>
      <w:r>
        <w:rPr>
          <w:rFonts w:ascii="Times New Roman" w:hAnsi="Times New Roman" w:eastAsia="Times New Roman"/>
          <w:b w:val="0"/>
          <w:i w:val="0"/>
          <w:sz w:val="24"/>
        </w:rPr>
        <w:t>(5), 113-124.</w:t>
      </w:r>
    </w:p>
    <w:p>
      <w:pPr>
        <w:ind w:left="720" w:hanging="720"/>
        <w:jc w:val="left"/>
      </w:pPr>
      <w:bookmarkStart w:id="2" w:name="Armstrong_J_S_Brodie_R_J_199_2"/>
      <w:r>
        <w:rPr>
          <w:rFonts w:ascii="Times New Roman" w:hAnsi="Times New Roman" w:eastAsia="Times New Roman"/>
          <w:b w:val="0"/>
          <w:i w:val="0"/>
          <w:sz w:val="24"/>
        </w:rPr>
      </w:r>
      <w:bookmarkEnd w:id="2"/>
      <w:r>
        <w:rPr>
          <w:rFonts w:ascii="Times New Roman" w:hAnsi="Times New Roman" w:eastAsia="Times New Roman"/>
          <w:b w:val="0"/>
          <w:i w:val="0"/>
          <w:sz w:val="24"/>
        </w:rPr>
        <w:t xml:space="preserve">Armstrong, J. S., &amp; Brodie, R. J. (1994). Effects of portfolio planning methods on decision making: Experimental results. </w:t>
      </w:r>
      <w:r>
        <w:rPr>
          <w:rFonts w:ascii="Times New Roman" w:hAnsi="Times New Roman" w:eastAsia="Times New Roman"/>
          <w:b w:val="0"/>
          <w:i/>
          <w:sz w:val="24"/>
        </w:rPr>
        <w:t>International Journal of Research in Marketing, 11</w:t>
      </w:r>
      <w:r>
        <w:rPr>
          <w:rFonts w:ascii="Times New Roman" w:hAnsi="Times New Roman" w:eastAsia="Times New Roman"/>
          <w:b w:val="0"/>
          <w:i w:val="0"/>
          <w:sz w:val="24"/>
        </w:rPr>
        <w:t>(1), 73-84. https://doi.org/10.1016/0167-8116(94)90035-3</w:t>
      </w:r>
    </w:p>
    <w:p>
      <w:pPr>
        <w:ind w:left="720" w:hanging="720"/>
        <w:jc w:val="left"/>
      </w:pPr>
      <w:bookmarkStart w:id="3" w:name="Barney_J_1991_3"/>
      <w:r>
        <w:rPr>
          <w:rFonts w:ascii="Times New Roman" w:hAnsi="Times New Roman" w:eastAsia="Times New Roman"/>
          <w:b w:val="0"/>
          <w:i w:val="0"/>
          <w:sz w:val="24"/>
        </w:rPr>
      </w:r>
      <w:bookmarkEnd w:id="3"/>
      <w:r>
        <w:rPr>
          <w:rFonts w:ascii="Times New Roman" w:hAnsi="Times New Roman" w:eastAsia="Times New Roman"/>
          <w:b w:val="0"/>
          <w:i w:val="0"/>
          <w:sz w:val="24"/>
        </w:rPr>
        <w:t xml:space="preserve">Barney, J. (1991). Firm resources and sustained competitive advantage. </w:t>
      </w:r>
      <w:r>
        <w:rPr>
          <w:rFonts w:ascii="Times New Roman" w:hAnsi="Times New Roman" w:eastAsia="Times New Roman"/>
          <w:b w:val="0"/>
          <w:i/>
          <w:sz w:val="24"/>
        </w:rPr>
        <w:t>Journal of Management, 17</w:t>
      </w:r>
      <w:r>
        <w:rPr>
          <w:rFonts w:ascii="Times New Roman" w:hAnsi="Times New Roman" w:eastAsia="Times New Roman"/>
          <w:b w:val="0"/>
          <w:i w:val="0"/>
          <w:sz w:val="24"/>
        </w:rPr>
        <w:t>(1), 99-120. https://doi.org/10.1177/014920639101700108</w:t>
      </w:r>
    </w:p>
    <w:p>
      <w:pPr>
        <w:ind w:left="720" w:hanging="720"/>
        <w:jc w:val="left"/>
      </w:pPr>
      <w:bookmarkStart w:id="4" w:name="Chen_S_Li_L_Jiao_L_Wang_C_20_4"/>
      <w:r>
        <w:rPr>
          <w:rFonts w:ascii="Times New Roman" w:hAnsi="Times New Roman" w:eastAsia="Times New Roman"/>
          <w:b w:val="0"/>
          <w:i w:val="0"/>
          <w:sz w:val="24"/>
        </w:rPr>
      </w:r>
      <w:bookmarkEnd w:id="4"/>
      <w:r>
        <w:rPr>
          <w:rFonts w:ascii="Times New Roman" w:hAnsi="Times New Roman" w:eastAsia="Times New Roman"/>
          <w:b w:val="0"/>
          <w:i w:val="0"/>
          <w:sz w:val="24"/>
        </w:rPr>
        <w:t xml:space="preserve">Chen, S., Li, L., Jiao, L., &amp; Wang, C. (2023). Long-term care insurance and the future of healthy aging in China. </w:t>
      </w:r>
      <w:r>
        <w:rPr>
          <w:rFonts w:ascii="Times New Roman" w:hAnsi="Times New Roman" w:eastAsia="Times New Roman"/>
          <w:b w:val="0"/>
          <w:i/>
          <w:sz w:val="24"/>
        </w:rPr>
        <w:t>Nature Aging, 3</w:t>
      </w:r>
      <w:r>
        <w:rPr>
          <w:rFonts w:ascii="Times New Roman" w:hAnsi="Times New Roman" w:eastAsia="Times New Roman"/>
          <w:b w:val="0"/>
          <w:i w:val="0"/>
          <w:sz w:val="24"/>
        </w:rPr>
        <w:t>(12), 1465-1468. https://doi.org/10.1038/s43587-023-00540-9</w:t>
      </w:r>
    </w:p>
    <w:p>
      <w:pPr>
        <w:ind w:left="720" w:hanging="720"/>
        <w:jc w:val="left"/>
      </w:pPr>
      <w:bookmarkStart w:id="5" w:name="China_Insurance_Association__5"/>
      <w:r>
        <w:rPr>
          <w:rFonts w:ascii="Times New Roman" w:hAnsi="Times New Roman" w:eastAsia="Times New Roman"/>
          <w:b w:val="0"/>
          <w:i w:val="0"/>
          <w:sz w:val="24"/>
        </w:rPr>
      </w:r>
      <w:bookmarkEnd w:id="5"/>
      <w:r>
        <w:rPr>
          <w:rFonts w:ascii="Times New Roman" w:hAnsi="Times New Roman" w:eastAsia="Times New Roman"/>
          <w:b w:val="0"/>
          <w:i w:val="0"/>
          <w:sz w:val="24"/>
        </w:rPr>
        <w:t>China Insurance Association. (2024, December 31). Interpretation of 2023 operating data of legal-entity insurance companies. https://www.iachina.cn/art/2024/12/31/art_22_108139.html</w:t>
      </w:r>
    </w:p>
    <w:p>
      <w:pPr>
        <w:ind w:left="720" w:hanging="720"/>
        <w:jc w:val="left"/>
      </w:pPr>
      <w:bookmarkStart w:id="6" w:name="China_Insurance_Association__6"/>
      <w:r>
        <w:rPr>
          <w:rFonts w:ascii="Times New Roman" w:hAnsi="Times New Roman" w:eastAsia="Times New Roman"/>
          <w:b w:val="0"/>
          <w:i w:val="0"/>
          <w:sz w:val="24"/>
        </w:rPr>
      </w:r>
      <w:bookmarkEnd w:id="6"/>
      <w:r>
        <w:rPr>
          <w:rFonts w:ascii="Times New Roman" w:hAnsi="Times New Roman" w:eastAsia="Times New Roman"/>
          <w:b w:val="0"/>
          <w:i w:val="0"/>
          <w:sz w:val="24"/>
        </w:rPr>
        <w:t>China Insurance Association. (2025, April 27). China Insurance Association releases the top ten events of China's insurance industry in 2024. https://www.iachina.cn/art/2025/4/27/art_22_108350.html</w:t>
      </w:r>
    </w:p>
    <w:p>
      <w:pPr>
        <w:ind w:left="720" w:hanging="720"/>
        <w:jc w:val="left"/>
      </w:pPr>
      <w:bookmarkStart w:id="7" w:name="China_Life_Insurance_Company_7"/>
      <w:r>
        <w:rPr>
          <w:rFonts w:ascii="Times New Roman" w:hAnsi="Times New Roman" w:eastAsia="Times New Roman"/>
          <w:b w:val="0"/>
          <w:i w:val="0"/>
          <w:sz w:val="24"/>
        </w:rPr>
      </w:r>
      <w:bookmarkEnd w:id="7"/>
      <w:r>
        <w:rPr>
          <w:rFonts w:ascii="Times New Roman" w:hAnsi="Times New Roman" w:eastAsia="Times New Roman"/>
          <w:b w:val="0"/>
          <w:i w:val="0"/>
          <w:sz w:val="24"/>
        </w:rPr>
        <w:t xml:space="preserve">China Life Insurance Company Limited. (2025a, April 23). </w:t>
      </w:r>
      <w:r>
        <w:rPr>
          <w:rFonts w:ascii="Times New Roman" w:hAnsi="Times New Roman" w:eastAsia="Times New Roman"/>
          <w:b w:val="0"/>
          <w:i/>
          <w:sz w:val="24"/>
        </w:rPr>
        <w:t>Annual report 2024</w:t>
      </w:r>
      <w:r>
        <w:rPr>
          <w:rFonts w:ascii="Times New Roman" w:hAnsi="Times New Roman" w:eastAsia="Times New Roman"/>
          <w:b w:val="0"/>
          <w:i w:val="0"/>
          <w:sz w:val="24"/>
        </w:rPr>
        <w:t>. https://www1.hkexnews.hk/listedco/listconews/sehk/2025/0423/2025042300417.pdf</w:t>
      </w:r>
    </w:p>
    <w:p>
      <w:pPr>
        <w:ind w:left="720" w:hanging="720"/>
        <w:jc w:val="left"/>
      </w:pPr>
      <w:bookmarkStart w:id="8" w:name="China_Life_Insurance_Company_8"/>
      <w:r>
        <w:rPr>
          <w:rFonts w:ascii="Times New Roman" w:hAnsi="Times New Roman" w:eastAsia="Times New Roman"/>
          <w:b w:val="0"/>
          <w:i w:val="0"/>
          <w:sz w:val="24"/>
        </w:rPr>
      </w:r>
      <w:bookmarkEnd w:id="8"/>
      <w:r>
        <w:rPr>
          <w:rFonts w:ascii="Times New Roman" w:hAnsi="Times New Roman" w:eastAsia="Times New Roman"/>
          <w:b w:val="0"/>
          <w:i w:val="0"/>
          <w:sz w:val="24"/>
        </w:rPr>
        <w:t xml:space="preserve">China Life Insurance Company Limited. (2025b, March 26). </w:t>
      </w:r>
      <w:r>
        <w:rPr>
          <w:rFonts w:ascii="Times New Roman" w:hAnsi="Times New Roman" w:eastAsia="Times New Roman"/>
          <w:b w:val="0"/>
          <w:i/>
          <w:sz w:val="24"/>
        </w:rPr>
        <w:t>2024 ESG &amp; social responsibility report</w:t>
      </w:r>
      <w:r>
        <w:rPr>
          <w:rFonts w:ascii="Times New Roman" w:hAnsi="Times New Roman" w:eastAsia="Times New Roman"/>
          <w:b w:val="0"/>
          <w:i w:val="0"/>
          <w:sz w:val="24"/>
        </w:rPr>
        <w:t>. https://www.e-chinalife.com/upload/resources/file/2025/03/26/1.pdf</w:t>
      </w:r>
    </w:p>
    <w:p>
      <w:pPr>
        <w:ind w:left="720" w:hanging="720"/>
        <w:jc w:val="left"/>
      </w:pPr>
      <w:bookmarkStart w:id="9" w:name="China_Pacific_Insurance_Grou_9"/>
      <w:r>
        <w:rPr>
          <w:rFonts w:ascii="Times New Roman" w:hAnsi="Times New Roman" w:eastAsia="Times New Roman"/>
          <w:b w:val="0"/>
          <w:i w:val="0"/>
          <w:sz w:val="24"/>
        </w:rPr>
      </w:r>
      <w:bookmarkEnd w:id="9"/>
      <w:r>
        <w:rPr>
          <w:rFonts w:ascii="Times New Roman" w:hAnsi="Times New Roman" w:eastAsia="Times New Roman"/>
          <w:b w:val="0"/>
          <w:i w:val="0"/>
          <w:sz w:val="24"/>
        </w:rPr>
        <w:t xml:space="preserve">China Pacific Insurance (Group) Co., Ltd. (2025, April 22). </w:t>
      </w:r>
      <w:r>
        <w:rPr>
          <w:rFonts w:ascii="Times New Roman" w:hAnsi="Times New Roman" w:eastAsia="Times New Roman"/>
          <w:b w:val="0"/>
          <w:i/>
          <w:sz w:val="24"/>
        </w:rPr>
        <w:t>2024 annual report</w:t>
      </w:r>
      <w:r>
        <w:rPr>
          <w:rFonts w:ascii="Times New Roman" w:hAnsi="Times New Roman" w:eastAsia="Times New Roman"/>
          <w:b w:val="0"/>
          <w:i w:val="0"/>
          <w:sz w:val="24"/>
        </w:rPr>
        <w:t>. https://www.cpic.com.cn/upload/resources/file/2025/04/22/86279.pdf</w:t>
      </w:r>
    </w:p>
    <w:p>
      <w:pPr>
        <w:ind w:left="720" w:hanging="720"/>
        <w:jc w:val="left"/>
      </w:pPr>
      <w:bookmarkStart w:id="10" w:name="Choi_W_I_Shi_H_Bian_Y_Hu_H_2_10"/>
      <w:r>
        <w:rPr>
          <w:rFonts w:ascii="Times New Roman" w:hAnsi="Times New Roman" w:eastAsia="Times New Roman"/>
          <w:b w:val="0"/>
          <w:i w:val="0"/>
          <w:sz w:val="24"/>
        </w:rPr>
      </w:r>
      <w:bookmarkEnd w:id="10"/>
      <w:r>
        <w:rPr>
          <w:rFonts w:ascii="Times New Roman" w:hAnsi="Times New Roman" w:eastAsia="Times New Roman"/>
          <w:b w:val="0"/>
          <w:i w:val="0"/>
          <w:sz w:val="24"/>
        </w:rPr>
        <w:t xml:space="preserve">Choi, W. I., Shi, H., Bian, Y., &amp; Hu, H. (2018). Development of commercial health insurance in China: A systematic literature review. </w:t>
      </w:r>
      <w:r>
        <w:rPr>
          <w:rFonts w:ascii="Times New Roman" w:hAnsi="Times New Roman" w:eastAsia="Times New Roman"/>
          <w:b w:val="0"/>
          <w:i/>
          <w:sz w:val="24"/>
        </w:rPr>
        <w:t>BioMed Research International, 2018</w:t>
      </w:r>
      <w:r>
        <w:rPr>
          <w:rFonts w:ascii="Times New Roman" w:hAnsi="Times New Roman" w:eastAsia="Times New Roman"/>
          <w:b w:val="0"/>
          <w:i w:val="0"/>
          <w:sz w:val="24"/>
        </w:rPr>
        <w:t>, Article 3163746. https://doi.org/10.1155/2018/3163746</w:t>
      </w:r>
    </w:p>
    <w:p>
      <w:pPr>
        <w:ind w:left="720" w:hanging="720"/>
        <w:jc w:val="left"/>
      </w:pPr>
      <w:bookmarkStart w:id="11" w:name="Cousins_M_2025_11"/>
      <w:r>
        <w:rPr>
          <w:rFonts w:ascii="Times New Roman" w:hAnsi="Times New Roman" w:eastAsia="Times New Roman"/>
          <w:b w:val="0"/>
          <w:i w:val="0"/>
          <w:sz w:val="24"/>
        </w:rPr>
      </w:r>
      <w:bookmarkEnd w:id="11"/>
      <w:r>
        <w:rPr>
          <w:rFonts w:ascii="Times New Roman" w:hAnsi="Times New Roman" w:eastAsia="Times New Roman"/>
          <w:b w:val="0"/>
          <w:i w:val="0"/>
          <w:sz w:val="24"/>
        </w:rPr>
        <w:t xml:space="preserve">Cousins, M. (2025). Developing long-term care insurance in China: A review of structure, impact and future directions. </w:t>
      </w:r>
      <w:r>
        <w:rPr>
          <w:rFonts w:ascii="Times New Roman" w:hAnsi="Times New Roman" w:eastAsia="Times New Roman"/>
          <w:b w:val="0"/>
          <w:i/>
          <w:sz w:val="24"/>
        </w:rPr>
        <w:t>International Social Security Review, 78</w:t>
      </w:r>
      <w:r>
        <w:rPr>
          <w:rFonts w:ascii="Times New Roman" w:hAnsi="Times New Roman" w:eastAsia="Times New Roman"/>
          <w:b w:val="0"/>
          <w:i w:val="0"/>
          <w:sz w:val="24"/>
        </w:rPr>
        <w:t>(1), 83-103. https://doi.org/10.1111/issr.12383</w:t>
      </w:r>
    </w:p>
    <w:p>
      <w:pPr>
        <w:ind w:left="720" w:hanging="720"/>
        <w:jc w:val="left"/>
      </w:pPr>
      <w:bookmarkStart w:id="12" w:name="Day_G_S_1994_12"/>
      <w:r>
        <w:rPr>
          <w:rFonts w:ascii="Times New Roman" w:hAnsi="Times New Roman" w:eastAsia="Times New Roman"/>
          <w:b w:val="0"/>
          <w:i w:val="0"/>
          <w:sz w:val="24"/>
        </w:rPr>
      </w:r>
      <w:bookmarkEnd w:id="12"/>
      <w:r>
        <w:rPr>
          <w:rFonts w:ascii="Times New Roman" w:hAnsi="Times New Roman" w:eastAsia="Times New Roman"/>
          <w:b w:val="0"/>
          <w:i w:val="0"/>
          <w:sz w:val="24"/>
        </w:rPr>
        <w:t xml:space="preserve">Day, G. S. (1994). The capabilities of market-driven organizations. </w:t>
      </w:r>
      <w:r>
        <w:rPr>
          <w:rFonts w:ascii="Times New Roman" w:hAnsi="Times New Roman" w:eastAsia="Times New Roman"/>
          <w:b w:val="0"/>
          <w:i/>
          <w:sz w:val="24"/>
        </w:rPr>
        <w:t>Journal of Marketing, 58</w:t>
      </w:r>
      <w:r>
        <w:rPr>
          <w:rFonts w:ascii="Times New Roman" w:hAnsi="Times New Roman" w:eastAsia="Times New Roman"/>
          <w:b w:val="0"/>
          <w:i w:val="0"/>
          <w:sz w:val="24"/>
        </w:rPr>
        <w:t>(4), 37-52. https://doi.org/10.1177/002224299405800404</w:t>
      </w:r>
    </w:p>
    <w:p>
      <w:pPr>
        <w:ind w:left="720" w:hanging="720"/>
        <w:jc w:val="left"/>
      </w:pPr>
      <w:bookmarkStart w:id="13" w:name="March_J_G_1991_13"/>
      <w:r>
        <w:rPr>
          <w:rFonts w:ascii="Times New Roman" w:hAnsi="Times New Roman" w:eastAsia="Times New Roman"/>
          <w:b w:val="0"/>
          <w:i w:val="0"/>
          <w:sz w:val="24"/>
        </w:rPr>
      </w:r>
      <w:bookmarkEnd w:id="13"/>
      <w:r>
        <w:rPr>
          <w:rFonts w:ascii="Times New Roman" w:hAnsi="Times New Roman" w:eastAsia="Times New Roman"/>
          <w:b w:val="0"/>
          <w:i w:val="0"/>
          <w:sz w:val="24"/>
        </w:rPr>
        <w:t xml:space="preserve">March, J. G. (1991). Exploration and exploitation in organizational learning. </w:t>
      </w:r>
      <w:r>
        <w:rPr>
          <w:rFonts w:ascii="Times New Roman" w:hAnsi="Times New Roman" w:eastAsia="Times New Roman"/>
          <w:b w:val="0"/>
          <w:i/>
          <w:sz w:val="24"/>
        </w:rPr>
        <w:t>Organization Science, 2</w:t>
      </w:r>
      <w:r>
        <w:rPr>
          <w:rFonts w:ascii="Times New Roman" w:hAnsi="Times New Roman" w:eastAsia="Times New Roman"/>
          <w:b w:val="0"/>
          <w:i w:val="0"/>
          <w:sz w:val="24"/>
        </w:rPr>
        <w:t>(1), 71-87. https://doi.org/10.1287/orsc.2.1.71</w:t>
      </w:r>
    </w:p>
    <w:p>
      <w:pPr>
        <w:ind w:left="720" w:hanging="720"/>
        <w:jc w:val="left"/>
      </w:pPr>
      <w:bookmarkStart w:id="14" w:name="Markides_C_C_Williamson_P_J__14"/>
      <w:r>
        <w:rPr>
          <w:rFonts w:ascii="Times New Roman" w:hAnsi="Times New Roman" w:eastAsia="Times New Roman"/>
          <w:b w:val="0"/>
          <w:i w:val="0"/>
          <w:sz w:val="24"/>
        </w:rPr>
      </w:r>
      <w:bookmarkEnd w:id="14"/>
      <w:r>
        <w:rPr>
          <w:rFonts w:ascii="Times New Roman" w:hAnsi="Times New Roman" w:eastAsia="Times New Roman"/>
          <w:b w:val="0"/>
          <w:i w:val="0"/>
          <w:sz w:val="24"/>
        </w:rPr>
        <w:t xml:space="preserve">Markides, C. C., &amp; Williamson, P. J. (1994). Related diversification, core competences and corporate performance. </w:t>
      </w:r>
      <w:r>
        <w:rPr>
          <w:rFonts w:ascii="Times New Roman" w:hAnsi="Times New Roman" w:eastAsia="Times New Roman"/>
          <w:b w:val="0"/>
          <w:i/>
          <w:sz w:val="24"/>
        </w:rPr>
        <w:t>Strategic Management Journal, 15</w:t>
      </w:r>
      <w:r>
        <w:rPr>
          <w:rFonts w:ascii="Times New Roman" w:hAnsi="Times New Roman" w:eastAsia="Times New Roman"/>
          <w:b w:val="0"/>
          <w:i w:val="0"/>
          <w:sz w:val="24"/>
        </w:rPr>
        <w:t>(S2), 149-165. https://doi.org/10.1002/smj.4250151010</w:t>
      </w:r>
    </w:p>
    <w:p>
      <w:pPr>
        <w:ind w:left="720" w:hanging="720"/>
        <w:jc w:val="left"/>
      </w:pPr>
      <w:bookmarkStart w:id="15" w:name="Morrison_A_Wensley_R_1991_15"/>
      <w:r>
        <w:rPr>
          <w:rFonts w:ascii="Times New Roman" w:hAnsi="Times New Roman" w:eastAsia="Times New Roman"/>
          <w:b w:val="0"/>
          <w:i w:val="0"/>
          <w:sz w:val="24"/>
        </w:rPr>
      </w:r>
      <w:bookmarkEnd w:id="15"/>
      <w:r>
        <w:rPr>
          <w:rFonts w:ascii="Times New Roman" w:hAnsi="Times New Roman" w:eastAsia="Times New Roman"/>
          <w:b w:val="0"/>
          <w:i w:val="0"/>
          <w:sz w:val="24"/>
        </w:rPr>
        <w:t xml:space="preserve">Morrison, A., &amp; Wensley, R. (1991). Boxing up or boxed in? A short history of the Boston Consulting Group share/growth matrix. </w:t>
      </w:r>
      <w:r>
        <w:rPr>
          <w:rFonts w:ascii="Times New Roman" w:hAnsi="Times New Roman" w:eastAsia="Times New Roman"/>
          <w:b w:val="0"/>
          <w:i/>
          <w:sz w:val="24"/>
        </w:rPr>
        <w:t>Journal of Marketing Management, 7</w:t>
      </w:r>
      <w:r>
        <w:rPr>
          <w:rFonts w:ascii="Times New Roman" w:hAnsi="Times New Roman" w:eastAsia="Times New Roman"/>
          <w:b w:val="0"/>
          <w:i w:val="0"/>
          <w:sz w:val="24"/>
        </w:rPr>
        <w:t>(2), 105-129. https://doi.org/10.1080/0267257X.1991.9964145</w:t>
      </w:r>
    </w:p>
    <w:p>
      <w:pPr>
        <w:ind w:left="720" w:hanging="720"/>
        <w:jc w:val="left"/>
      </w:pPr>
      <w:bookmarkStart w:id="16" w:name="National_Healthcare_Security_16"/>
      <w:r>
        <w:rPr>
          <w:rFonts w:ascii="Times New Roman" w:hAnsi="Times New Roman" w:eastAsia="Times New Roman"/>
          <w:b w:val="0"/>
          <w:i w:val="0"/>
          <w:sz w:val="24"/>
        </w:rPr>
      </w:r>
      <w:bookmarkEnd w:id="16"/>
      <w:r>
        <w:rPr>
          <w:rFonts w:ascii="Times New Roman" w:hAnsi="Times New Roman" w:eastAsia="Times New Roman"/>
          <w:b w:val="0"/>
          <w:i w:val="0"/>
          <w:sz w:val="24"/>
        </w:rPr>
        <w:t>National Healthcare Security Administration. (2026, March 30). Accelerating the establishment of the long-term care insurance system. https://www.nhsa.gov.cn/art/2026/3/30/art_14_20061.html</w:t>
      </w:r>
    </w:p>
    <w:p>
      <w:pPr>
        <w:ind w:left="720" w:hanging="720"/>
        <w:jc w:val="left"/>
      </w:pPr>
      <w:bookmarkStart w:id="17" w:name="Ping_An_Insurance_Group_Comp_17"/>
      <w:r>
        <w:rPr>
          <w:rFonts w:ascii="Times New Roman" w:hAnsi="Times New Roman" w:eastAsia="Times New Roman"/>
          <w:b w:val="0"/>
          <w:i w:val="0"/>
          <w:sz w:val="24"/>
        </w:rPr>
      </w:r>
      <w:bookmarkEnd w:id="17"/>
      <w:r>
        <w:rPr>
          <w:rFonts w:ascii="Times New Roman" w:hAnsi="Times New Roman" w:eastAsia="Times New Roman"/>
          <w:b w:val="0"/>
          <w:i w:val="0"/>
          <w:sz w:val="24"/>
        </w:rPr>
        <w:t xml:space="preserve">Ping An Insurance (Group) Company of China, Ltd. (2025a, March 19). </w:t>
      </w:r>
      <w:r>
        <w:rPr>
          <w:rFonts w:ascii="Times New Roman" w:hAnsi="Times New Roman" w:eastAsia="Times New Roman"/>
          <w:b w:val="0"/>
          <w:i/>
          <w:sz w:val="24"/>
        </w:rPr>
        <w:t>Annual report 2024</w:t>
      </w:r>
      <w:r>
        <w:rPr>
          <w:rFonts w:ascii="Times New Roman" w:hAnsi="Times New Roman" w:eastAsia="Times New Roman"/>
          <w:b w:val="0"/>
          <w:i w:val="0"/>
          <w:sz w:val="24"/>
        </w:rPr>
        <w:t>. https://group.pingan.com/resource/pingan/IR-Docs/2025/pingan-ar24-report.pdf</w:t>
      </w:r>
    </w:p>
    <w:p>
      <w:pPr>
        <w:ind w:left="720" w:hanging="720"/>
        <w:jc w:val="left"/>
      </w:pPr>
      <w:bookmarkStart w:id="18" w:name="Ping_An_Insurance_Group_Comp_18"/>
      <w:r>
        <w:rPr>
          <w:rFonts w:ascii="Times New Roman" w:hAnsi="Times New Roman" w:eastAsia="Times New Roman"/>
          <w:b w:val="0"/>
          <w:i w:val="0"/>
          <w:sz w:val="24"/>
        </w:rPr>
      </w:r>
      <w:bookmarkEnd w:id="18"/>
      <w:r>
        <w:rPr>
          <w:rFonts w:ascii="Times New Roman" w:hAnsi="Times New Roman" w:eastAsia="Times New Roman"/>
          <w:b w:val="0"/>
          <w:i w:val="0"/>
          <w:sz w:val="24"/>
        </w:rPr>
        <w:t>Ping An Insurance (Group) Company of China, Ltd. (2025b, April 7). Ping An releases 2024 sustainability report. https://group.pingan.com/media/news/2025/pingan-releases-2024-sustainability-report.html</w:t>
      </w:r>
    </w:p>
    <w:p>
      <w:pPr>
        <w:ind w:left="720" w:hanging="720"/>
        <w:jc w:val="left"/>
      </w:pPr>
      <w:bookmarkStart w:id="19" w:name="Robins_J_A_Wiersema_M_F_1995_19"/>
      <w:r>
        <w:rPr>
          <w:rFonts w:ascii="Times New Roman" w:hAnsi="Times New Roman" w:eastAsia="Times New Roman"/>
          <w:b w:val="0"/>
          <w:i w:val="0"/>
          <w:sz w:val="24"/>
        </w:rPr>
      </w:r>
      <w:bookmarkEnd w:id="19"/>
      <w:r>
        <w:rPr>
          <w:rFonts w:ascii="Times New Roman" w:hAnsi="Times New Roman" w:eastAsia="Times New Roman"/>
          <w:b w:val="0"/>
          <w:i w:val="0"/>
          <w:sz w:val="24"/>
        </w:rPr>
        <w:t xml:space="preserve">Robins, J. A., &amp; Wiersema, M. F. (1995). A resource-based approach to the multibusiness firm: Empirical analysis of portfolio interrelationships and corporate financial performance. </w:t>
      </w:r>
      <w:r>
        <w:rPr>
          <w:rFonts w:ascii="Times New Roman" w:hAnsi="Times New Roman" w:eastAsia="Times New Roman"/>
          <w:b w:val="0"/>
          <w:i/>
          <w:sz w:val="24"/>
        </w:rPr>
        <w:t>Strategic Management Journal, 16</w:t>
      </w:r>
      <w:r>
        <w:rPr>
          <w:rFonts w:ascii="Times New Roman" w:hAnsi="Times New Roman" w:eastAsia="Times New Roman"/>
          <w:b w:val="0"/>
          <w:i w:val="0"/>
          <w:sz w:val="24"/>
        </w:rPr>
        <w:t>(4), 277-299. https://doi.org/10.1002/smj.4250160403</w:t>
      </w:r>
    </w:p>
    <w:p>
      <w:pPr>
        <w:ind w:left="720" w:hanging="720"/>
        <w:jc w:val="left"/>
      </w:pPr>
      <w:bookmarkStart w:id="20" w:name="State_Council_of_the_People__20"/>
      <w:r>
        <w:rPr>
          <w:rFonts w:ascii="Times New Roman" w:hAnsi="Times New Roman" w:eastAsia="Times New Roman"/>
          <w:b w:val="0"/>
          <w:i w:val="0"/>
          <w:sz w:val="24"/>
        </w:rPr>
      </w:r>
      <w:bookmarkEnd w:id="20"/>
      <w:r>
        <w:rPr>
          <w:rFonts w:ascii="Times New Roman" w:hAnsi="Times New Roman" w:eastAsia="Times New Roman"/>
          <w:b w:val="0"/>
          <w:i w:val="0"/>
          <w:sz w:val="24"/>
        </w:rPr>
        <w:t>State Council of the People's Republic of China. (2024a, October 14). Commercial insurance annuities meet diverse protection needs. https://www.gov.cn/zhengce/202410/content_6979770.htm</w:t>
      </w:r>
    </w:p>
    <w:p>
      <w:pPr>
        <w:ind w:left="720" w:hanging="720"/>
        <w:jc w:val="left"/>
      </w:pPr>
      <w:bookmarkStart w:id="21" w:name="State_Council_of_the_People__21"/>
      <w:r>
        <w:rPr>
          <w:rFonts w:ascii="Times New Roman" w:hAnsi="Times New Roman" w:eastAsia="Times New Roman"/>
          <w:b w:val="0"/>
          <w:i w:val="0"/>
          <w:sz w:val="24"/>
        </w:rPr>
      </w:r>
      <w:bookmarkEnd w:id="21"/>
      <w:r>
        <w:rPr>
          <w:rFonts w:ascii="Times New Roman" w:hAnsi="Times New Roman" w:eastAsia="Times New Roman"/>
          <w:b w:val="0"/>
          <w:i w:val="0"/>
          <w:sz w:val="24"/>
        </w:rPr>
        <w:t>State Council of the People's Republic of China. (2024b, December 13). Personal pension system implemented nationwide. https://www.gov.cn/lianbo/bumen/202412/content_6992312.htm</w:t>
      </w:r>
    </w:p>
    <w:p>
      <w:pPr>
        <w:ind w:left="720" w:hanging="720"/>
        <w:jc w:val="left"/>
      </w:pPr>
      <w:bookmarkStart w:id="22" w:name="State_Council_of_the_People__22"/>
      <w:r>
        <w:rPr>
          <w:rFonts w:ascii="Times New Roman" w:hAnsi="Times New Roman" w:eastAsia="Times New Roman"/>
          <w:b w:val="0"/>
          <w:i w:val="0"/>
          <w:sz w:val="24"/>
        </w:rPr>
      </w:r>
      <w:bookmarkEnd w:id="22"/>
      <w:r>
        <w:rPr>
          <w:rFonts w:ascii="Times New Roman" w:hAnsi="Times New Roman" w:eastAsia="Times New Roman"/>
          <w:b w:val="0"/>
          <w:i w:val="0"/>
          <w:sz w:val="24"/>
        </w:rPr>
        <w:t>State Council of the People's Republic of China. (2025, July 31). NFRA requires city commercial medical insurance to follow commercial discipline and precise pricing. https://www.gov.cn/lianbo/bumen/202507/content_7034687.htm</w:t>
      </w:r>
    </w:p>
    <w:p>
      <w:pPr>
        <w:ind w:left="720" w:hanging="720"/>
        <w:jc w:val="left"/>
      </w:pPr>
      <w:bookmarkStart w:id="23" w:name="Teece_D_J_2007_23"/>
      <w:r>
        <w:rPr>
          <w:rFonts w:ascii="Times New Roman" w:hAnsi="Times New Roman" w:eastAsia="Times New Roman"/>
          <w:b w:val="0"/>
          <w:i w:val="0"/>
          <w:sz w:val="24"/>
        </w:rPr>
      </w:r>
      <w:bookmarkEnd w:id="23"/>
      <w:r>
        <w:rPr>
          <w:rFonts w:ascii="Times New Roman" w:hAnsi="Times New Roman" w:eastAsia="Times New Roman"/>
          <w:b w:val="0"/>
          <w:i w:val="0"/>
          <w:sz w:val="24"/>
        </w:rPr>
        <w:t xml:space="preserve">Teece, D. J. (2007). Explicating dynamic capabilities: The nature and microfoundations of (sustainable) enterprise performance. </w:t>
      </w:r>
      <w:r>
        <w:rPr>
          <w:rFonts w:ascii="Times New Roman" w:hAnsi="Times New Roman" w:eastAsia="Times New Roman"/>
          <w:b w:val="0"/>
          <w:i/>
          <w:sz w:val="24"/>
        </w:rPr>
        <w:t>Strategic Management Journal, 28</w:t>
      </w:r>
      <w:r>
        <w:rPr>
          <w:rFonts w:ascii="Times New Roman" w:hAnsi="Times New Roman" w:eastAsia="Times New Roman"/>
          <w:b w:val="0"/>
          <w:i w:val="0"/>
          <w:sz w:val="24"/>
        </w:rPr>
        <w:t>(13), 1319-1350. https://doi.org/10.1002/smj.640</w:t>
      </w:r>
    </w:p>
    <w:p>
      <w:pPr>
        <w:ind w:left="720" w:hanging="720"/>
        <w:jc w:val="left"/>
      </w:pPr>
      <w:bookmarkStart w:id="24" w:name="Yang_S_Guo_D_Bi_S_Chen_Y_202_24"/>
      <w:r>
        <w:rPr>
          <w:rFonts w:ascii="Times New Roman" w:hAnsi="Times New Roman" w:eastAsia="Times New Roman"/>
          <w:b w:val="0"/>
          <w:i w:val="0"/>
          <w:sz w:val="24"/>
        </w:rPr>
      </w:r>
      <w:bookmarkEnd w:id="24"/>
      <w:r>
        <w:rPr>
          <w:rFonts w:ascii="Times New Roman" w:hAnsi="Times New Roman" w:eastAsia="Times New Roman"/>
          <w:b w:val="0"/>
          <w:i w:val="0"/>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b w:val="0"/>
          <w:i/>
          <w:sz w:val="24"/>
        </w:rPr>
        <w:t>International Journal for Equity in Health, 22</w:t>
      </w:r>
      <w:r>
        <w:rPr>
          <w:rFonts w:ascii="Times New Roman" w:hAnsi="Times New Roman" w:eastAsia="Times New Roman"/>
          <w:b w:val="0"/>
          <w:i w:val="0"/>
          <w:sz w:val="24"/>
        </w:rPr>
        <w:t>, Article 228. https://doi.org/10.1186/s12939-023-02042-x</w:t>
      </w:r>
    </w:p>
    <w:p>
      <w:pPr>
        <w:ind w:left="720" w:hanging="720"/>
        <w:jc w:val="left"/>
      </w:pPr>
      <w:bookmarkStart w:id="25" w:name="Zhu_Z_Bai_C_2025_25"/>
      <w:r>
        <w:rPr>
          <w:rFonts w:ascii="Times New Roman" w:hAnsi="Times New Roman" w:eastAsia="Times New Roman"/>
          <w:b w:val="0"/>
          <w:i w:val="0"/>
          <w:sz w:val="24"/>
        </w:rPr>
      </w:r>
      <w:bookmarkEnd w:id="25"/>
      <w:r>
        <w:rPr>
          <w:rFonts w:ascii="Times New Roman" w:hAnsi="Times New Roman" w:eastAsia="Times New Roman"/>
          <w:b w:val="0"/>
          <w:i w:val="0"/>
          <w:sz w:val="24"/>
        </w:rPr>
        <w:t xml:space="preserve">Zhu, Z., &amp; Bai, C. (2025). Assessing the role of long-term care insurance in shaping living arrangements of older adults: Evidence from China. </w:t>
      </w:r>
      <w:r>
        <w:rPr>
          <w:rFonts w:ascii="Times New Roman" w:hAnsi="Times New Roman" w:eastAsia="Times New Roman"/>
          <w:b w:val="0"/>
          <w:i/>
          <w:sz w:val="24"/>
        </w:rPr>
        <w:t>Health Policy and Planning, 40</w:t>
      </w:r>
      <w:r>
        <w:rPr>
          <w:rFonts w:ascii="Times New Roman" w:hAnsi="Times New Roman" w:eastAsia="Times New Roman"/>
          <w:b w:val="0"/>
          <w:i w:val="0"/>
          <w:sz w:val="24"/>
        </w:rPr>
        <w:t>(6), 641-651. https://doi.org/10.1093/heapol/czaf027</w:t>
      </w:r>
    </w:p>
    <w:p>
      <w:r>
        <w:br w:type="page"/>
      </w:r>
    </w:p>
    <w:p>
      <w:pPr>
        <w:pStyle w:val="Heading1"/>
        <w:spacing w:before="240" w:after="120"/>
        <w:jc w:val="left"/>
      </w:pPr>
      <w:r>
        <w:rPr>
          <w:rFonts w:ascii="Times New Roman" w:hAnsi="Times New Roman" w:eastAsia="Times New Roman"/>
          <w:b/>
          <w:i w:val="0"/>
          <w:sz w:val="24"/>
        </w:rPr>
        <w:t>Appendix A. BCG Classification Evidence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944"/>
          </w:tcPr>
          <w:p>
            <w:pPr>
              <w:spacing w:after="0" w:line="240" w:lineRule="auto"/>
              <w:jc w:val="left"/>
            </w:pPr>
            <w:r/>
            <w:r>
              <w:rPr>
                <w:rFonts w:ascii="Times New Roman" w:hAnsi="Times New Roman" w:eastAsia="Times New Roman"/>
                <w:b/>
                <w:i w:val="0"/>
                <w:sz w:val="18"/>
              </w:rPr>
              <w:t>Business line</w:t>
            </w:r>
          </w:p>
        </w:tc>
        <w:tc>
          <w:tcPr>
            <w:tcW w:type="dxa" w:w="1656"/>
          </w:tcPr>
          <w:p>
            <w:pPr>
              <w:spacing w:after="0" w:line="240" w:lineRule="auto"/>
              <w:jc w:val="left"/>
            </w:pPr>
            <w:r/>
            <w:r>
              <w:rPr>
                <w:rFonts w:ascii="Times New Roman" w:hAnsi="Times New Roman" w:eastAsia="Times New Roman"/>
                <w:b/>
                <w:i w:val="0"/>
                <w:sz w:val="18"/>
              </w:rPr>
              <w:t>Relative position evidence</w:t>
            </w:r>
          </w:p>
        </w:tc>
        <w:tc>
          <w:tcPr>
            <w:tcW w:type="dxa" w:w="2880"/>
          </w:tcPr>
          <w:p>
            <w:pPr>
              <w:spacing w:after="0" w:line="240" w:lineRule="auto"/>
              <w:jc w:val="left"/>
            </w:pPr>
            <w:r/>
            <w:r>
              <w:rPr>
                <w:rFonts w:ascii="Times New Roman" w:hAnsi="Times New Roman" w:eastAsia="Times New Roman"/>
                <w:b/>
                <w:i w:val="0"/>
                <w:sz w:val="18"/>
              </w:rPr>
              <w:t>Market-growth evidence</w:t>
            </w:r>
          </w:p>
        </w:tc>
        <w:tc>
          <w:tcPr>
            <w:tcW w:type="dxa" w:w="1296"/>
          </w:tcPr>
          <w:p>
            <w:pPr>
              <w:spacing w:after="0" w:line="240" w:lineRule="auto"/>
              <w:jc w:val="left"/>
            </w:pPr>
            <w:r/>
            <w:r>
              <w:rPr>
                <w:rFonts w:ascii="Times New Roman" w:hAnsi="Times New Roman" w:eastAsia="Times New Roman"/>
                <w:b/>
                <w:i w:val="0"/>
                <w:sz w:val="18"/>
              </w:rPr>
              <w:t>Profitability / capital caveat</w:t>
            </w:r>
          </w:p>
        </w:tc>
        <w:tc>
          <w:tcPr>
            <w:tcW w:type="dxa" w:w="3024"/>
          </w:tcPr>
          <w:p>
            <w:pPr>
              <w:spacing w:after="0" w:line="240" w:lineRule="auto"/>
              <w:jc w:val="left"/>
            </w:pPr>
            <w:r/>
            <w:r>
              <w:rPr>
                <w:rFonts w:ascii="Times New Roman" w:hAnsi="Times New Roman" w:eastAsia="Times New Roman"/>
                <w:b/>
                <w:i w:val="0"/>
                <w:sz w:val="18"/>
              </w:rPr>
              <w:t>Final classification</w:t>
            </w:r>
          </w:p>
        </w:tc>
      </w:tr>
      <w:tr>
        <w:tc>
          <w:tcPr>
            <w:tcW w:type="dxa" w:w="1944"/>
          </w:tcPr>
          <w:p>
            <w:pPr>
              <w:spacing w:after="0" w:line="240" w:lineRule="auto"/>
              <w:jc w:val="left"/>
            </w:pPr>
            <w:r/>
            <w:r>
              <w:rPr>
                <w:rFonts w:ascii="Times New Roman" w:hAnsi="Times New Roman" w:eastAsia="Times New Roman"/>
                <w:b w:val="0"/>
                <w:i w:val="0"/>
                <w:sz w:val="18"/>
              </w:rPr>
              <w:t>Life insurance</w:t>
            </w:r>
          </w:p>
        </w:tc>
        <w:tc>
          <w:tcPr>
            <w:tcW w:type="dxa" w:w="1656"/>
          </w:tcPr>
          <w:p>
            <w:pPr>
              <w:spacing w:after="0" w:line="240" w:lineRule="auto"/>
              <w:jc w:val="left"/>
            </w:pPr>
            <w:r/>
            <w:r>
              <w:rPr>
                <w:rFonts w:ascii="Times New Roman" w:hAnsi="Times New Roman" w:eastAsia="Times New Roman"/>
                <w:b w:val="0"/>
                <w:i w:val="0"/>
                <w:sz w:val="18"/>
              </w:rPr>
              <w:t>China Life retains the strongest scale and embedded-value position among the compared firms</w:t>
            </w:r>
          </w:p>
        </w:tc>
        <w:tc>
          <w:tcPr>
            <w:tcW w:type="dxa" w:w="2880"/>
          </w:tcPr>
          <w:p>
            <w:pPr>
              <w:spacing w:after="0" w:line="240" w:lineRule="auto"/>
              <w:jc w:val="left"/>
            </w:pPr>
            <w:r/>
            <w:r>
              <w:rPr>
                <w:rFonts w:ascii="Times New Roman" w:hAnsi="Times New Roman" w:eastAsia="Times New Roman"/>
                <w:b w:val="0"/>
                <w:i w:val="0"/>
                <w:sz w:val="18"/>
              </w:rPr>
              <w:t>Mature line; industry evidence points to quality and persistency rather than high structural growth</w:t>
            </w:r>
          </w:p>
        </w:tc>
        <w:tc>
          <w:tcPr>
            <w:tcW w:type="dxa" w:w="1296"/>
          </w:tcPr>
          <w:p>
            <w:pPr>
              <w:spacing w:after="0" w:line="240" w:lineRule="auto"/>
              <w:jc w:val="left"/>
            </w:pPr>
            <w:r/>
            <w:r>
              <w:rPr>
                <w:rFonts w:ascii="Times New Roman" w:hAnsi="Times New Roman" w:eastAsia="Times New Roman"/>
                <w:b w:val="0"/>
                <w:i w:val="0"/>
                <w:sz w:val="18"/>
              </w:rPr>
              <w:t>Cash generation remains strong, but sensitivity to rates and agent productivity means defence is required</w:t>
            </w:r>
          </w:p>
        </w:tc>
        <w:tc>
          <w:tcPr>
            <w:tcW w:type="dxa" w:w="3024"/>
          </w:tcPr>
          <w:p>
            <w:pPr>
              <w:spacing w:after="0" w:line="240" w:lineRule="auto"/>
              <w:jc w:val="left"/>
            </w:pPr>
            <w:r/>
            <w:r>
              <w:rPr>
                <w:rFonts w:ascii="Times New Roman" w:hAnsi="Times New Roman" w:eastAsia="Times New Roman"/>
                <w:b w:val="0"/>
                <w:i w:val="0"/>
                <w:sz w:val="18"/>
              </w:rPr>
              <w:t>Cash Cow</w:t>
            </w:r>
          </w:p>
        </w:tc>
      </w:tr>
      <w:tr>
        <w:tc>
          <w:tcPr>
            <w:tcW w:type="dxa" w:w="1944"/>
          </w:tcPr>
          <w:p>
            <w:pPr>
              <w:spacing w:after="0" w:line="240" w:lineRule="auto"/>
              <w:jc w:val="left"/>
            </w:pPr>
            <w:r/>
            <w:r>
              <w:rPr>
                <w:rFonts w:ascii="Times New Roman" w:hAnsi="Times New Roman" w:eastAsia="Times New Roman"/>
                <w:b w:val="0"/>
                <w:i w:val="0"/>
                <w:sz w:val="18"/>
              </w:rPr>
              <w:t>Annuity insurance</w:t>
            </w:r>
          </w:p>
        </w:tc>
        <w:tc>
          <w:tcPr>
            <w:tcW w:type="dxa" w:w="1656"/>
          </w:tcPr>
          <w:p>
            <w:pPr>
              <w:spacing w:after="0" w:line="240" w:lineRule="auto"/>
              <w:jc w:val="left"/>
            </w:pPr>
            <w:r/>
            <w:r>
              <w:rPr>
                <w:rFonts w:ascii="Times New Roman" w:hAnsi="Times New Roman" w:eastAsia="Times New Roman"/>
                <w:b w:val="0"/>
                <w:i w:val="0"/>
                <w:sz w:val="18"/>
              </w:rPr>
              <w:t>China Life reports first-place positioning in third-pillar private pension and commercial annuity business</w:t>
            </w:r>
          </w:p>
        </w:tc>
        <w:tc>
          <w:tcPr>
            <w:tcW w:type="dxa" w:w="2880"/>
          </w:tcPr>
          <w:p>
            <w:pPr>
              <w:spacing w:after="0" w:line="240" w:lineRule="auto"/>
              <w:jc w:val="left"/>
            </w:pPr>
            <w:r/>
            <w:r>
              <w:rPr>
                <w:rFonts w:ascii="Times New Roman" w:hAnsi="Times New Roman" w:eastAsia="Times New Roman"/>
                <w:b w:val="0"/>
                <w:i w:val="0"/>
                <w:sz w:val="18"/>
              </w:rPr>
              <w:t>Strong tailwinds from ageing, pension reform and nationwide personal pension implementation</w:t>
            </w:r>
          </w:p>
        </w:tc>
        <w:tc>
          <w:tcPr>
            <w:tcW w:type="dxa" w:w="1296"/>
          </w:tcPr>
          <w:p>
            <w:pPr>
              <w:spacing w:after="0" w:line="240" w:lineRule="auto"/>
              <w:jc w:val="left"/>
            </w:pPr>
            <w:r/>
            <w:r>
              <w:rPr>
                <w:rFonts w:ascii="Times New Roman" w:hAnsi="Times New Roman" w:eastAsia="Times New Roman"/>
                <w:b w:val="0"/>
                <w:i w:val="0"/>
                <w:sz w:val="18"/>
              </w:rPr>
              <w:t>Conversion quality and monetisation are less certain than product-level position</w:t>
            </w:r>
          </w:p>
        </w:tc>
        <w:tc>
          <w:tcPr>
            <w:tcW w:type="dxa" w:w="3024"/>
          </w:tcPr>
          <w:p>
            <w:pPr>
              <w:spacing w:after="0" w:line="240" w:lineRule="auto"/>
              <w:jc w:val="left"/>
            </w:pPr>
            <w:r/>
            <w:r>
              <w:rPr>
                <w:rFonts w:ascii="Times New Roman" w:hAnsi="Times New Roman" w:eastAsia="Times New Roman"/>
                <w:b w:val="0"/>
                <w:i w:val="0"/>
                <w:sz w:val="18"/>
              </w:rPr>
              <w:t>Borderline Star</w:t>
            </w:r>
          </w:p>
        </w:tc>
      </w:tr>
      <w:tr>
        <w:tc>
          <w:tcPr>
            <w:tcW w:type="dxa" w:w="1944"/>
          </w:tcPr>
          <w:p>
            <w:pPr>
              <w:spacing w:after="0" w:line="240" w:lineRule="auto"/>
              <w:jc w:val="left"/>
            </w:pPr>
            <w:r/>
            <w:r>
              <w:rPr>
                <w:rFonts w:ascii="Times New Roman" w:hAnsi="Times New Roman" w:eastAsia="Times New Roman"/>
                <w:b w:val="0"/>
                <w:i w:val="0"/>
                <w:sz w:val="18"/>
              </w:rPr>
              <w:t>Health insurance</w:t>
            </w:r>
          </w:p>
        </w:tc>
        <w:tc>
          <w:tcPr>
            <w:tcW w:type="dxa" w:w="1656"/>
          </w:tcPr>
          <w:p>
            <w:pPr>
              <w:spacing w:after="0" w:line="240" w:lineRule="auto"/>
              <w:jc w:val="left"/>
            </w:pPr>
            <w:r/>
            <w:r>
              <w:rPr>
                <w:rFonts w:ascii="Times New Roman" w:hAnsi="Times New Roman" w:eastAsia="Times New Roman"/>
                <w:b w:val="0"/>
                <w:i w:val="0"/>
                <w:sz w:val="18"/>
              </w:rPr>
              <w:t>China Life participates broadly in supplementary medical, LTCI and city-customised health programmes</w:t>
            </w:r>
          </w:p>
        </w:tc>
        <w:tc>
          <w:tcPr>
            <w:tcW w:type="dxa" w:w="2880"/>
          </w:tcPr>
          <w:p>
            <w:pPr>
              <w:spacing w:after="0" w:line="240" w:lineRule="auto"/>
              <w:jc w:val="left"/>
            </w:pPr>
            <w:r/>
            <w:r>
              <w:rPr>
                <w:rFonts w:ascii="Times New Roman" w:hAnsi="Times New Roman" w:eastAsia="Times New Roman"/>
                <w:b w:val="0"/>
                <w:i w:val="0"/>
                <w:sz w:val="18"/>
              </w:rPr>
              <w:t>Strong demand growth, but economics remain uncertain under tighter pricing discipline</w:t>
            </w:r>
          </w:p>
        </w:tc>
        <w:tc>
          <w:tcPr>
            <w:tcW w:type="dxa" w:w="1296"/>
          </w:tcPr>
          <w:p>
            <w:pPr>
              <w:spacing w:after="0" w:line="240" w:lineRule="auto"/>
              <w:jc w:val="left"/>
            </w:pPr>
            <w:r/>
            <w:r>
              <w:rPr>
                <w:rFonts w:ascii="Times New Roman" w:hAnsi="Times New Roman" w:eastAsia="Times New Roman"/>
                <w:b w:val="0"/>
                <w:i w:val="0"/>
                <w:sz w:val="18"/>
              </w:rPr>
              <w:t>Breadth does not yet prove profitable dominance or superior monetisation</w:t>
            </w:r>
          </w:p>
        </w:tc>
        <w:tc>
          <w:tcPr>
            <w:tcW w:type="dxa" w:w="3024"/>
          </w:tcPr>
          <w:p>
            <w:pPr>
              <w:spacing w:after="0" w:line="240" w:lineRule="auto"/>
              <w:jc w:val="left"/>
            </w:pPr>
            <w:r/>
            <w:r>
              <w:rPr>
                <w:rFonts w:ascii="Times New Roman" w:hAnsi="Times New Roman" w:eastAsia="Times New Roman"/>
                <w:b w:val="0"/>
                <w:i w:val="0"/>
                <w:sz w:val="18"/>
              </w:rPr>
              <w:t>Question Mark</w:t>
            </w:r>
          </w:p>
        </w:tc>
      </w:tr>
      <w:tr>
        <w:tc>
          <w:tcPr>
            <w:tcW w:type="dxa" w:w="1944"/>
          </w:tcPr>
          <w:p>
            <w:pPr>
              <w:spacing w:after="0" w:line="240" w:lineRule="auto"/>
              <w:jc w:val="left"/>
            </w:pPr>
            <w:r/>
            <w:r>
              <w:rPr>
                <w:rFonts w:ascii="Times New Roman" w:hAnsi="Times New Roman" w:eastAsia="Times New Roman"/>
                <w:b w:val="0"/>
                <w:i w:val="0"/>
                <w:sz w:val="18"/>
              </w:rPr>
              <w:t>Accident insurance</w:t>
            </w:r>
          </w:p>
        </w:tc>
        <w:tc>
          <w:tcPr>
            <w:tcW w:type="dxa" w:w="1656"/>
          </w:tcPr>
          <w:p>
            <w:pPr>
              <w:spacing w:after="0" w:line="240" w:lineRule="auto"/>
              <w:jc w:val="left"/>
            </w:pPr>
            <w:r/>
            <w:r>
              <w:rPr>
                <w:rFonts w:ascii="Times New Roman" w:hAnsi="Times New Roman" w:eastAsia="Times New Roman"/>
                <w:b w:val="0"/>
                <w:i w:val="0"/>
                <w:sz w:val="18"/>
              </w:rPr>
              <w:t>Limited stand-alone differentiation relative to other lines; retained mainly for bundling support</w:t>
            </w:r>
          </w:p>
        </w:tc>
        <w:tc>
          <w:tcPr>
            <w:tcW w:type="dxa" w:w="2880"/>
          </w:tcPr>
          <w:p>
            <w:pPr>
              <w:spacing w:after="0" w:line="240" w:lineRule="auto"/>
              <w:jc w:val="left"/>
            </w:pPr>
            <w:r/>
            <w:r>
              <w:rPr>
                <w:rFonts w:ascii="Times New Roman" w:hAnsi="Times New Roman" w:eastAsia="Times New Roman"/>
                <w:b w:val="0"/>
                <w:i w:val="0"/>
                <w:sz w:val="18"/>
              </w:rPr>
              <w:t>Weakest structural growth signal among the four lines</w:t>
            </w:r>
          </w:p>
        </w:tc>
        <w:tc>
          <w:tcPr>
            <w:tcW w:type="dxa" w:w="1296"/>
          </w:tcPr>
          <w:p>
            <w:pPr>
              <w:spacing w:after="0" w:line="240" w:lineRule="auto"/>
              <w:jc w:val="left"/>
            </w:pPr>
            <w:r/>
            <w:r>
              <w:rPr>
                <w:rFonts w:ascii="Times New Roman" w:hAnsi="Times New Roman" w:eastAsia="Times New Roman"/>
                <w:b w:val="0"/>
                <w:i w:val="0"/>
                <w:sz w:val="18"/>
              </w:rPr>
              <w:t>Low strategic payoff as a stand-alone investment line</w:t>
            </w:r>
          </w:p>
        </w:tc>
        <w:tc>
          <w:tcPr>
            <w:tcW w:type="dxa" w:w="3024"/>
          </w:tcPr>
          <w:p>
            <w:pPr>
              <w:spacing w:after="0" w:line="240" w:lineRule="auto"/>
              <w:jc w:val="left"/>
            </w:pPr>
            <w:r/>
            <w:r>
              <w:rPr>
                <w:rFonts w:ascii="Times New Roman" w:hAnsi="Times New Roman" w:eastAsia="Times New Roman"/>
                <w:b w:val="0"/>
                <w:i w:val="0"/>
                <w:sz w:val="18"/>
              </w:rPr>
              <w:t>Closest to Dog / retained for support</w:t>
            </w:r>
          </w:p>
        </w:tc>
      </w:tr>
    </w:tbl>
    <w:p/>
    <w:p>
      <w:pPr>
        <w:pStyle w:val="Heading1"/>
        <w:spacing w:before="240" w:after="120"/>
        <w:jc w:val="left"/>
      </w:pPr>
      <w:r>
        <w:rPr>
          <w:rFonts w:ascii="Times New Roman" w:hAnsi="Times New Roman" w:eastAsia="Times New Roman"/>
          <w:b/>
          <w:i w:val="0"/>
          <w:sz w:val="24"/>
        </w:rPr>
        <w:t>Appendix B. Ansoff Ranking</w:t>
      </w:r>
    </w:p>
    <w:p>
      <w:pPr>
        <w:pStyle w:val="Heading2"/>
        <w:spacing w:before="120" w:after="60"/>
        <w:jc w:val="left"/>
      </w:pPr>
      <w:r>
        <w:rPr>
          <w:rFonts w:ascii="Times New Roman" w:hAnsi="Times New Roman" w:eastAsia="Times New Roman"/>
          <w:b/>
          <w:i w:val="0"/>
          <w:sz w:val="24"/>
        </w:rPr>
        <w:t>B1. Route Summary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spacing w:after="0" w:line="240" w:lineRule="auto"/>
              <w:jc w:val="left"/>
            </w:pPr>
            <w:r/>
            <w:r>
              <w:rPr>
                <w:rFonts w:ascii="Times New Roman" w:hAnsi="Times New Roman" w:eastAsia="Times New Roman"/>
                <w:b/>
                <w:i w:val="0"/>
                <w:sz w:val="18"/>
              </w:rPr>
              <w:t>Ansoff option</w:t>
            </w:r>
          </w:p>
        </w:tc>
        <w:tc>
          <w:tcPr>
            <w:tcW w:type="dxa" w:w="2160"/>
          </w:tcPr>
          <w:p>
            <w:pPr>
              <w:spacing w:after="0" w:line="240" w:lineRule="auto"/>
              <w:jc w:val="left"/>
            </w:pPr>
            <w:r/>
            <w:r>
              <w:rPr>
                <w:rFonts w:ascii="Times New Roman" w:hAnsi="Times New Roman" w:eastAsia="Times New Roman"/>
                <w:b/>
                <w:i w:val="0"/>
                <w:sz w:val="18"/>
              </w:rPr>
              <w:t>Matrix logic</w:t>
            </w:r>
          </w:p>
        </w:tc>
        <w:tc>
          <w:tcPr>
            <w:tcW w:type="dxa" w:w="2160"/>
          </w:tcPr>
          <w:p>
            <w:pPr>
              <w:spacing w:after="0" w:line="240" w:lineRule="auto"/>
              <w:jc w:val="left"/>
            </w:pPr>
            <w:r/>
            <w:r>
              <w:rPr>
                <w:rFonts w:ascii="Times New Roman" w:hAnsi="Times New Roman" w:eastAsia="Times New Roman"/>
                <w:b/>
                <w:i w:val="0"/>
                <w:sz w:val="18"/>
              </w:rPr>
              <w:t>Why it matters for China Life</w:t>
            </w:r>
          </w:p>
        </w:tc>
        <w:tc>
          <w:tcPr>
            <w:tcW w:type="dxa" w:w="2160"/>
          </w:tcPr>
          <w:p>
            <w:pPr>
              <w:spacing w:after="0" w:line="240" w:lineRule="auto"/>
              <w:jc w:val="left"/>
            </w:pPr>
            <w:r/>
            <w:r>
              <w:rPr>
                <w:rFonts w:ascii="Times New Roman" w:hAnsi="Times New Roman" w:eastAsia="Times New Roman"/>
                <w:b/>
                <w:i w:val="0"/>
                <w:sz w:val="18"/>
              </w:rPr>
              <w:t>Final priority</w:t>
            </w:r>
          </w:p>
        </w:tc>
      </w:tr>
      <w:tr>
        <w:tc>
          <w:tcPr>
            <w:tcW w:type="dxa" w:w="2160"/>
          </w:tcPr>
          <w:p>
            <w:pPr>
              <w:spacing w:after="0" w:line="240" w:lineRule="auto"/>
              <w:jc w:val="left"/>
            </w:pPr>
            <w:r/>
            <w:r>
              <w:rPr>
                <w:rFonts w:ascii="Times New Roman" w:hAnsi="Times New Roman" w:eastAsia="Times New Roman"/>
                <w:b w:val="0"/>
                <w:i w:val="0"/>
                <w:sz w:val="18"/>
              </w:rPr>
              <w:t>Product development</w:t>
            </w:r>
          </w:p>
        </w:tc>
        <w:tc>
          <w:tcPr>
            <w:tcW w:type="dxa" w:w="2160"/>
          </w:tcPr>
          <w:p>
            <w:pPr>
              <w:spacing w:after="0" w:line="240" w:lineRule="auto"/>
              <w:jc w:val="left"/>
            </w:pPr>
            <w:r/>
            <w:r>
              <w:rPr>
                <w:rFonts w:ascii="Times New Roman" w:hAnsi="Times New Roman" w:eastAsia="Times New Roman"/>
                <w:b w:val="0"/>
                <w:i w:val="0"/>
                <w:sz w:val="18"/>
              </w:rPr>
              <w:t>New or adapted insurance products for the existing customer base</w:t>
            </w:r>
          </w:p>
        </w:tc>
        <w:tc>
          <w:tcPr>
            <w:tcW w:type="dxa" w:w="2160"/>
          </w:tcPr>
          <w:p>
            <w:pPr>
              <w:spacing w:after="0" w:line="240" w:lineRule="auto"/>
              <w:jc w:val="left"/>
            </w:pPr>
            <w:r/>
            <w:r>
              <w:rPr>
                <w:rFonts w:ascii="Times New Roman" w:hAnsi="Times New Roman" w:eastAsia="Times New Roman"/>
                <w:b w:val="0"/>
                <w:i w:val="0"/>
                <w:sz w:val="18"/>
              </w:rPr>
              <w:t>Favoured because the main gap is relevance within an already extensive customer base</w:t>
            </w:r>
          </w:p>
        </w:tc>
        <w:tc>
          <w:tcPr>
            <w:tcW w:type="dxa" w:w="2160"/>
          </w:tcPr>
          <w:p>
            <w:pPr>
              <w:spacing w:after="0" w:line="240" w:lineRule="auto"/>
              <w:jc w:val="left"/>
            </w:pPr>
            <w:r/>
            <w:r>
              <w:rPr>
                <w:rFonts w:ascii="Times New Roman" w:hAnsi="Times New Roman" w:eastAsia="Times New Roman"/>
                <w:b w:val="0"/>
                <w:i w:val="0"/>
                <w:sz w:val="18"/>
              </w:rPr>
              <w:t>1</w:t>
            </w:r>
          </w:p>
        </w:tc>
      </w:tr>
      <w:tr>
        <w:tc>
          <w:tcPr>
            <w:tcW w:type="dxa" w:w="2160"/>
          </w:tcPr>
          <w:p>
            <w:pPr>
              <w:spacing w:after="0" w:line="240" w:lineRule="auto"/>
              <w:jc w:val="left"/>
            </w:pPr>
            <w:r/>
            <w:r>
              <w:rPr>
                <w:rFonts w:ascii="Times New Roman" w:hAnsi="Times New Roman" w:eastAsia="Times New Roman"/>
                <w:b w:val="0"/>
                <w:i w:val="0"/>
                <w:sz w:val="18"/>
              </w:rPr>
              <w:t>Related diversification</w:t>
            </w:r>
          </w:p>
        </w:tc>
        <w:tc>
          <w:tcPr>
            <w:tcW w:type="dxa" w:w="2160"/>
          </w:tcPr>
          <w:p>
            <w:pPr>
              <w:spacing w:after="0" w:line="240" w:lineRule="auto"/>
              <w:jc w:val="left"/>
            </w:pPr>
            <w:r/>
            <w:r>
              <w:rPr>
                <w:rFonts w:ascii="Times New Roman" w:hAnsi="Times New Roman" w:eastAsia="Times New Roman"/>
                <w:b w:val="0"/>
                <w:i w:val="0"/>
                <w:sz w:val="18"/>
              </w:rPr>
              <w:t>Service adjacency beyond the core insurance offering</w:t>
            </w:r>
          </w:p>
        </w:tc>
        <w:tc>
          <w:tcPr>
            <w:tcW w:type="dxa" w:w="2160"/>
          </w:tcPr>
          <w:p>
            <w:pPr>
              <w:spacing w:after="0" w:line="240" w:lineRule="auto"/>
              <w:jc w:val="left"/>
            </w:pPr>
            <w:r/>
            <w:r>
              <w:rPr>
                <w:rFonts w:ascii="Times New Roman" w:hAnsi="Times New Roman" w:eastAsia="Times New Roman"/>
                <w:b w:val="0"/>
                <w:i w:val="0"/>
                <w:sz w:val="18"/>
              </w:rPr>
              <w:t>Offers higher long-term upside, but also the highest capability and capital stretch</w:t>
            </w:r>
          </w:p>
        </w:tc>
        <w:tc>
          <w:tcPr>
            <w:tcW w:type="dxa" w:w="2160"/>
          </w:tcPr>
          <w:p>
            <w:pPr>
              <w:spacing w:after="0" w:line="240" w:lineRule="auto"/>
              <w:jc w:val="left"/>
            </w:pPr>
            <w:r/>
            <w:r>
              <w:rPr>
                <w:rFonts w:ascii="Times New Roman" w:hAnsi="Times New Roman" w:eastAsia="Times New Roman"/>
                <w:b w:val="0"/>
                <w:i w:val="0"/>
                <w:sz w:val="18"/>
              </w:rPr>
              <w:t>2</w:t>
            </w:r>
          </w:p>
        </w:tc>
      </w:tr>
      <w:tr>
        <w:tc>
          <w:tcPr>
            <w:tcW w:type="dxa" w:w="2160"/>
          </w:tcPr>
          <w:p>
            <w:pPr>
              <w:spacing w:after="0" w:line="240" w:lineRule="auto"/>
              <w:jc w:val="left"/>
            </w:pPr>
            <w:r/>
            <w:r>
              <w:rPr>
                <w:rFonts w:ascii="Times New Roman" w:hAnsi="Times New Roman" w:eastAsia="Times New Roman"/>
                <w:b w:val="0"/>
                <w:i w:val="0"/>
                <w:sz w:val="18"/>
              </w:rPr>
              <w:t>Market development</w:t>
            </w:r>
          </w:p>
        </w:tc>
        <w:tc>
          <w:tcPr>
            <w:tcW w:type="dxa" w:w="2160"/>
          </w:tcPr>
          <w:p>
            <w:pPr>
              <w:spacing w:after="0" w:line="240" w:lineRule="auto"/>
              <w:jc w:val="left"/>
            </w:pPr>
            <w:r/>
            <w:r>
              <w:rPr>
                <w:rFonts w:ascii="Times New Roman" w:hAnsi="Times New Roman" w:eastAsia="Times New Roman"/>
                <w:b w:val="0"/>
                <w:i w:val="0"/>
                <w:sz w:val="18"/>
              </w:rPr>
              <w:t>Existing capabilities into new customer segments and adjacent demand spaces</w:t>
            </w:r>
          </w:p>
        </w:tc>
        <w:tc>
          <w:tcPr>
            <w:tcW w:type="dxa" w:w="2160"/>
          </w:tcPr>
          <w:p>
            <w:pPr>
              <w:spacing w:after="0" w:line="240" w:lineRule="auto"/>
              <w:jc w:val="left"/>
            </w:pPr>
            <w:r/>
            <w:r>
              <w:rPr>
                <w:rFonts w:ascii="Times New Roman" w:hAnsi="Times New Roman" w:eastAsia="Times New Roman"/>
                <w:b w:val="0"/>
                <w:i w:val="0"/>
                <w:sz w:val="18"/>
              </w:rPr>
              <w:t>Useful, but constrained by China's already broad national insurance presence</w:t>
            </w:r>
          </w:p>
        </w:tc>
        <w:tc>
          <w:tcPr>
            <w:tcW w:type="dxa" w:w="2160"/>
          </w:tcPr>
          <w:p>
            <w:pPr>
              <w:spacing w:after="0" w:line="240" w:lineRule="auto"/>
              <w:jc w:val="left"/>
            </w:pPr>
            <w:r/>
            <w:r>
              <w:rPr>
                <w:rFonts w:ascii="Times New Roman" w:hAnsi="Times New Roman" w:eastAsia="Times New Roman"/>
                <w:b w:val="0"/>
                <w:i w:val="0"/>
                <w:sz w:val="18"/>
              </w:rPr>
              <w:t>3</w:t>
            </w:r>
          </w:p>
        </w:tc>
      </w:tr>
      <w:tr>
        <w:tc>
          <w:tcPr>
            <w:tcW w:type="dxa" w:w="2160"/>
          </w:tcPr>
          <w:p>
            <w:pPr>
              <w:spacing w:after="0" w:line="240" w:lineRule="auto"/>
              <w:jc w:val="left"/>
            </w:pPr>
            <w:r/>
            <w:r>
              <w:rPr>
                <w:rFonts w:ascii="Times New Roman" w:hAnsi="Times New Roman" w:eastAsia="Times New Roman"/>
                <w:b w:val="0"/>
                <w:i w:val="0"/>
                <w:sz w:val="18"/>
              </w:rPr>
              <w:t>Market penetration</w:t>
            </w:r>
          </w:p>
        </w:tc>
        <w:tc>
          <w:tcPr>
            <w:tcW w:type="dxa" w:w="2160"/>
          </w:tcPr>
          <w:p>
            <w:pPr>
              <w:spacing w:after="0" w:line="240" w:lineRule="auto"/>
              <w:jc w:val="left"/>
            </w:pPr>
            <w:r/>
            <w:r>
              <w:rPr>
                <w:rFonts w:ascii="Times New Roman" w:hAnsi="Times New Roman" w:eastAsia="Times New Roman"/>
                <w:b w:val="0"/>
                <w:i w:val="0"/>
                <w:sz w:val="18"/>
              </w:rPr>
              <w:t>Existing products to existing customers</w:t>
            </w:r>
          </w:p>
        </w:tc>
        <w:tc>
          <w:tcPr>
            <w:tcW w:type="dxa" w:w="2160"/>
          </w:tcPr>
          <w:p>
            <w:pPr>
              <w:spacing w:after="0" w:line="240" w:lineRule="auto"/>
              <w:jc w:val="left"/>
            </w:pPr>
            <w:r/>
            <w:r>
              <w:rPr>
                <w:rFonts w:ascii="Times New Roman" w:hAnsi="Times New Roman" w:eastAsia="Times New Roman"/>
                <w:b w:val="0"/>
                <w:i w:val="0"/>
                <w:sz w:val="18"/>
              </w:rPr>
              <w:t>Necessary for core defence, but weakest transformative upside</w:t>
            </w:r>
          </w:p>
        </w:tc>
        <w:tc>
          <w:tcPr>
            <w:tcW w:type="dxa" w:w="2160"/>
          </w:tcPr>
          <w:p>
            <w:pPr>
              <w:spacing w:after="0" w:line="240" w:lineRule="auto"/>
              <w:jc w:val="left"/>
            </w:pPr>
            <w:r/>
            <w:r>
              <w:rPr>
                <w:rFonts w:ascii="Times New Roman" w:hAnsi="Times New Roman" w:eastAsia="Times New Roman"/>
                <w:b w:val="0"/>
                <w:i w:val="0"/>
                <w:sz w:val="18"/>
              </w:rPr>
              <w:t>4</w:t>
            </w:r>
          </w:p>
        </w:tc>
      </w:tr>
    </w:tbl>
    <w:p/>
    <w:p>
      <w:pPr>
        <w:pStyle w:val="Heading2"/>
        <w:spacing w:before="120" w:after="60"/>
        <w:jc w:val="left"/>
      </w:pPr>
      <w:r>
        <w:rPr>
          <w:rFonts w:ascii="Times New Roman" w:hAnsi="Times New Roman" w:eastAsia="Times New Roman"/>
          <w:b/>
          <w:i w:val="0"/>
          <w:sz w:val="24"/>
        </w:rPr>
        <w:t>B2. Weighted Decision Matrix</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512"/>
          </w:tcPr>
          <w:p>
            <w:pPr>
              <w:spacing w:after="0" w:line="240" w:lineRule="auto"/>
              <w:jc w:val="left"/>
            </w:pPr>
            <w:r/>
            <w:r>
              <w:rPr>
                <w:rFonts w:ascii="Times New Roman" w:hAnsi="Times New Roman" w:eastAsia="Times New Roman"/>
                <w:b/>
                <w:i w:val="0"/>
                <w:sz w:val="17"/>
              </w:rPr>
              <w:t>Criterion</w:t>
            </w:r>
          </w:p>
        </w:tc>
        <w:tc>
          <w:tcPr>
            <w:tcW w:type="dxa" w:w="1008"/>
          </w:tcPr>
          <w:p>
            <w:pPr>
              <w:spacing w:after="0" w:line="240" w:lineRule="auto"/>
              <w:jc w:val="left"/>
            </w:pPr>
            <w:r/>
            <w:r>
              <w:rPr>
                <w:rFonts w:ascii="Times New Roman" w:hAnsi="Times New Roman" w:eastAsia="Times New Roman"/>
                <w:b/>
                <w:i w:val="0"/>
                <w:sz w:val="17"/>
              </w:rPr>
              <w:t>Weight</w:t>
            </w:r>
          </w:p>
        </w:tc>
        <w:tc>
          <w:tcPr>
            <w:tcW w:type="dxa" w:w="1728"/>
          </w:tcPr>
          <w:p>
            <w:pPr>
              <w:spacing w:after="0" w:line="240" w:lineRule="auto"/>
              <w:jc w:val="left"/>
            </w:pPr>
            <w:r/>
            <w:r>
              <w:rPr>
                <w:rFonts w:ascii="Times New Roman" w:hAnsi="Times New Roman" w:eastAsia="Times New Roman"/>
                <w:b/>
                <w:i w:val="0"/>
                <w:sz w:val="17"/>
              </w:rPr>
              <w:t>Product development</w:t>
            </w:r>
          </w:p>
        </w:tc>
        <w:tc>
          <w:tcPr>
            <w:tcW w:type="dxa" w:w="1800"/>
          </w:tcPr>
          <w:p>
            <w:pPr>
              <w:spacing w:after="0" w:line="240" w:lineRule="auto"/>
              <w:jc w:val="left"/>
            </w:pPr>
            <w:r/>
            <w:r>
              <w:rPr>
                <w:rFonts w:ascii="Times New Roman" w:hAnsi="Times New Roman" w:eastAsia="Times New Roman"/>
                <w:b/>
                <w:i w:val="0"/>
                <w:sz w:val="17"/>
              </w:rPr>
              <w:t>Related diversification</w:t>
            </w:r>
          </w:p>
        </w:tc>
        <w:tc>
          <w:tcPr>
            <w:tcW w:type="dxa" w:w="1656"/>
          </w:tcPr>
          <w:p>
            <w:pPr>
              <w:spacing w:after="0" w:line="240" w:lineRule="auto"/>
              <w:jc w:val="left"/>
            </w:pPr>
            <w:r/>
            <w:r>
              <w:rPr>
                <w:rFonts w:ascii="Times New Roman" w:hAnsi="Times New Roman" w:eastAsia="Times New Roman"/>
                <w:b/>
                <w:i w:val="0"/>
                <w:sz w:val="17"/>
              </w:rPr>
              <w:t>Market development</w:t>
            </w:r>
          </w:p>
        </w:tc>
        <w:tc>
          <w:tcPr>
            <w:tcW w:type="dxa" w:w="1656"/>
          </w:tcPr>
          <w:p>
            <w:pPr>
              <w:spacing w:after="0" w:line="240" w:lineRule="auto"/>
              <w:jc w:val="left"/>
            </w:pPr>
            <w:r/>
            <w:r>
              <w:rPr>
                <w:rFonts w:ascii="Times New Roman" w:hAnsi="Times New Roman" w:eastAsia="Times New Roman"/>
                <w:b/>
                <w:i w:val="0"/>
                <w:sz w:val="17"/>
              </w:rPr>
              <w:t>Market penetration</w:t>
            </w:r>
          </w:p>
        </w:tc>
      </w:tr>
      <w:tr>
        <w:tc>
          <w:tcPr>
            <w:tcW w:type="dxa" w:w="1512"/>
          </w:tcPr>
          <w:p>
            <w:pPr>
              <w:spacing w:after="0" w:line="240" w:lineRule="auto"/>
              <w:jc w:val="left"/>
            </w:pPr>
            <w:r/>
            <w:r>
              <w:rPr>
                <w:rFonts w:ascii="Times New Roman" w:hAnsi="Times New Roman" w:eastAsia="Times New Roman"/>
                <w:b w:val="0"/>
                <w:i w:val="0"/>
                <w:sz w:val="17"/>
              </w:rPr>
              <w:t>Strategic fit</w:t>
            </w:r>
          </w:p>
        </w:tc>
        <w:tc>
          <w:tcPr>
            <w:tcW w:type="dxa" w:w="1008"/>
          </w:tcPr>
          <w:p>
            <w:pPr>
              <w:spacing w:after="0" w:line="240" w:lineRule="auto"/>
              <w:jc w:val="left"/>
            </w:pPr>
            <w:r/>
            <w:r>
              <w:rPr>
                <w:rFonts w:ascii="Times New Roman" w:hAnsi="Times New Roman" w:eastAsia="Times New Roman"/>
                <w:b w:val="0"/>
                <w:i w:val="0"/>
                <w:sz w:val="17"/>
              </w:rPr>
              <w:t>0.30</w:t>
            </w:r>
          </w:p>
        </w:tc>
        <w:tc>
          <w:tcPr>
            <w:tcW w:type="dxa" w:w="1728"/>
          </w:tcPr>
          <w:p>
            <w:pPr>
              <w:spacing w:after="0" w:line="240" w:lineRule="auto"/>
              <w:jc w:val="left"/>
            </w:pPr>
            <w:r/>
            <w:r>
              <w:rPr>
                <w:rFonts w:ascii="Times New Roman" w:hAnsi="Times New Roman" w:eastAsia="Times New Roman"/>
                <w:b w:val="0"/>
                <w:i w:val="0"/>
                <w:sz w:val="17"/>
              </w:rPr>
              <w:t>High</w:t>
            </w:r>
          </w:p>
        </w:tc>
        <w:tc>
          <w:tcPr>
            <w:tcW w:type="dxa" w:w="1800"/>
          </w:tcPr>
          <w:p>
            <w:pPr>
              <w:spacing w:after="0" w:line="240" w:lineRule="auto"/>
              <w:jc w:val="left"/>
            </w:pPr>
            <w:r/>
            <w:r>
              <w:rPr>
                <w:rFonts w:ascii="Times New Roman" w:hAnsi="Times New Roman" w:eastAsia="Times New Roman"/>
                <w:b w:val="0"/>
                <w:i w:val="0"/>
                <w:sz w:val="17"/>
              </w:rPr>
              <w:t>High</w:t>
            </w:r>
          </w:p>
        </w:tc>
        <w:tc>
          <w:tcPr>
            <w:tcW w:type="dxa" w:w="1656"/>
          </w:tcPr>
          <w:p>
            <w:pPr>
              <w:spacing w:after="0" w:line="240" w:lineRule="auto"/>
              <w:jc w:val="left"/>
            </w:pPr>
            <w:r/>
            <w:r>
              <w:rPr>
                <w:rFonts w:ascii="Times New Roman" w:hAnsi="Times New Roman" w:eastAsia="Times New Roman"/>
                <w:b w:val="0"/>
                <w:i w:val="0"/>
                <w:sz w:val="17"/>
              </w:rPr>
              <w:t>Moderate</w:t>
            </w:r>
          </w:p>
        </w:tc>
        <w:tc>
          <w:tcPr>
            <w:tcW w:type="dxa" w:w="1656"/>
          </w:tcPr>
          <w:p>
            <w:pPr>
              <w:spacing w:after="0" w:line="240" w:lineRule="auto"/>
              <w:jc w:val="left"/>
            </w:pPr>
            <w:r/>
            <w:r>
              <w:rPr>
                <w:rFonts w:ascii="Times New Roman" w:hAnsi="Times New Roman" w:eastAsia="Times New Roman"/>
                <w:b w:val="0"/>
                <w:i w:val="0"/>
                <w:sz w:val="17"/>
              </w:rPr>
              <w:t>Moderate</w:t>
            </w:r>
          </w:p>
        </w:tc>
      </w:tr>
      <w:tr>
        <w:tc>
          <w:tcPr>
            <w:tcW w:type="dxa" w:w="1512"/>
          </w:tcPr>
          <w:p>
            <w:pPr>
              <w:spacing w:after="0" w:line="240" w:lineRule="auto"/>
              <w:jc w:val="left"/>
            </w:pPr>
            <w:r/>
            <w:r>
              <w:rPr>
                <w:rFonts w:ascii="Times New Roman" w:hAnsi="Times New Roman" w:eastAsia="Times New Roman"/>
                <w:b w:val="0"/>
                <w:i w:val="0"/>
                <w:sz w:val="17"/>
              </w:rPr>
              <w:t>Expected return</w:t>
            </w:r>
          </w:p>
        </w:tc>
        <w:tc>
          <w:tcPr>
            <w:tcW w:type="dxa" w:w="1008"/>
          </w:tcPr>
          <w:p>
            <w:pPr>
              <w:spacing w:after="0" w:line="240" w:lineRule="auto"/>
              <w:jc w:val="left"/>
            </w:pPr>
            <w:r/>
            <w:r>
              <w:rPr>
                <w:rFonts w:ascii="Times New Roman" w:hAnsi="Times New Roman" w:eastAsia="Times New Roman"/>
                <w:b w:val="0"/>
                <w:i w:val="0"/>
                <w:sz w:val="17"/>
              </w:rPr>
              <w:t>0.25</w:t>
            </w:r>
          </w:p>
        </w:tc>
        <w:tc>
          <w:tcPr>
            <w:tcW w:type="dxa" w:w="1728"/>
          </w:tcPr>
          <w:p>
            <w:pPr>
              <w:spacing w:after="0" w:line="240" w:lineRule="auto"/>
              <w:jc w:val="left"/>
            </w:pPr>
            <w:r/>
            <w:r>
              <w:rPr>
                <w:rFonts w:ascii="Times New Roman" w:hAnsi="Times New Roman" w:eastAsia="Times New Roman"/>
                <w:b w:val="0"/>
                <w:i w:val="0"/>
                <w:sz w:val="17"/>
              </w:rPr>
              <w:t>High</w:t>
            </w:r>
          </w:p>
        </w:tc>
        <w:tc>
          <w:tcPr>
            <w:tcW w:type="dxa" w:w="1800"/>
          </w:tcPr>
          <w:p>
            <w:pPr>
              <w:spacing w:after="0" w:line="240" w:lineRule="auto"/>
              <w:jc w:val="left"/>
            </w:pPr>
            <w:r/>
            <w:r>
              <w:rPr>
                <w:rFonts w:ascii="Times New Roman" w:hAnsi="Times New Roman" w:eastAsia="Times New Roman"/>
                <w:b w:val="0"/>
                <w:i w:val="0"/>
                <w:sz w:val="17"/>
              </w:rPr>
              <w:t>Moderate-High</w:t>
            </w:r>
          </w:p>
        </w:tc>
        <w:tc>
          <w:tcPr>
            <w:tcW w:type="dxa" w:w="1656"/>
          </w:tcPr>
          <w:p>
            <w:pPr>
              <w:spacing w:after="0" w:line="240" w:lineRule="auto"/>
              <w:jc w:val="left"/>
            </w:pPr>
            <w:r/>
            <w:r>
              <w:rPr>
                <w:rFonts w:ascii="Times New Roman" w:hAnsi="Times New Roman" w:eastAsia="Times New Roman"/>
                <w:b w:val="0"/>
                <w:i w:val="0"/>
                <w:sz w:val="17"/>
              </w:rPr>
              <w:t>Moderate</w:t>
            </w:r>
          </w:p>
        </w:tc>
        <w:tc>
          <w:tcPr>
            <w:tcW w:type="dxa" w:w="1656"/>
          </w:tcPr>
          <w:p>
            <w:pPr>
              <w:spacing w:after="0" w:line="240" w:lineRule="auto"/>
              <w:jc w:val="left"/>
            </w:pPr>
            <w:r/>
            <w:r>
              <w:rPr>
                <w:rFonts w:ascii="Times New Roman" w:hAnsi="Times New Roman" w:eastAsia="Times New Roman"/>
                <w:b w:val="0"/>
                <w:i w:val="0"/>
                <w:sz w:val="17"/>
              </w:rPr>
              <w:t>Low-Moderate</w:t>
            </w:r>
          </w:p>
        </w:tc>
      </w:tr>
      <w:tr>
        <w:tc>
          <w:tcPr>
            <w:tcW w:type="dxa" w:w="1512"/>
          </w:tcPr>
          <w:p>
            <w:pPr>
              <w:spacing w:after="0" w:line="240" w:lineRule="auto"/>
              <w:jc w:val="left"/>
            </w:pPr>
            <w:r/>
            <w:r>
              <w:rPr>
                <w:rFonts w:ascii="Times New Roman" w:hAnsi="Times New Roman" w:eastAsia="Times New Roman"/>
                <w:b w:val="0"/>
                <w:i w:val="0"/>
                <w:sz w:val="17"/>
              </w:rPr>
              <w:t>Capability stretch</w:t>
            </w:r>
          </w:p>
        </w:tc>
        <w:tc>
          <w:tcPr>
            <w:tcW w:type="dxa" w:w="1008"/>
          </w:tcPr>
          <w:p>
            <w:pPr>
              <w:spacing w:after="0" w:line="240" w:lineRule="auto"/>
              <w:jc w:val="left"/>
            </w:pPr>
            <w:r/>
            <w:r>
              <w:rPr>
                <w:rFonts w:ascii="Times New Roman" w:hAnsi="Times New Roman" w:eastAsia="Times New Roman"/>
                <w:b w:val="0"/>
                <w:i w:val="0"/>
                <w:sz w:val="17"/>
              </w:rPr>
              <w:t>0.15</w:t>
            </w:r>
          </w:p>
        </w:tc>
        <w:tc>
          <w:tcPr>
            <w:tcW w:type="dxa" w:w="1728"/>
          </w:tcPr>
          <w:p>
            <w:pPr>
              <w:spacing w:after="0" w:line="240" w:lineRule="auto"/>
              <w:jc w:val="left"/>
            </w:pPr>
            <w:r/>
            <w:r>
              <w:rPr>
                <w:rFonts w:ascii="Times New Roman" w:hAnsi="Times New Roman" w:eastAsia="Times New Roman"/>
                <w:b w:val="0"/>
                <w:i w:val="0"/>
                <w:sz w:val="17"/>
              </w:rPr>
              <w:t>Low-Moderate</w:t>
            </w:r>
          </w:p>
        </w:tc>
        <w:tc>
          <w:tcPr>
            <w:tcW w:type="dxa" w:w="1800"/>
          </w:tcPr>
          <w:p>
            <w:pPr>
              <w:spacing w:after="0" w:line="240" w:lineRule="auto"/>
              <w:jc w:val="left"/>
            </w:pPr>
            <w:r/>
            <w:r>
              <w:rPr>
                <w:rFonts w:ascii="Times New Roman" w:hAnsi="Times New Roman" w:eastAsia="Times New Roman"/>
                <w:b w:val="0"/>
                <w:i w:val="0"/>
                <w:sz w:val="17"/>
              </w:rPr>
              <w:t>High</w:t>
            </w:r>
          </w:p>
        </w:tc>
        <w:tc>
          <w:tcPr>
            <w:tcW w:type="dxa" w:w="1656"/>
          </w:tcPr>
          <w:p>
            <w:pPr>
              <w:spacing w:after="0" w:line="240" w:lineRule="auto"/>
              <w:jc w:val="left"/>
            </w:pPr>
            <w:r/>
            <w:r>
              <w:rPr>
                <w:rFonts w:ascii="Times New Roman" w:hAnsi="Times New Roman" w:eastAsia="Times New Roman"/>
                <w:b w:val="0"/>
                <w:i w:val="0"/>
                <w:sz w:val="17"/>
              </w:rPr>
              <w:t>Moderate</w:t>
            </w:r>
          </w:p>
        </w:tc>
        <w:tc>
          <w:tcPr>
            <w:tcW w:type="dxa" w:w="1656"/>
          </w:tcPr>
          <w:p>
            <w:pPr>
              <w:spacing w:after="0" w:line="240" w:lineRule="auto"/>
              <w:jc w:val="left"/>
            </w:pPr>
            <w:r/>
            <w:r>
              <w:rPr>
                <w:rFonts w:ascii="Times New Roman" w:hAnsi="Times New Roman" w:eastAsia="Times New Roman"/>
                <w:b w:val="0"/>
                <w:i w:val="0"/>
                <w:sz w:val="17"/>
              </w:rPr>
              <w:t>Low</w:t>
            </w:r>
          </w:p>
        </w:tc>
      </w:tr>
      <w:tr>
        <w:tc>
          <w:tcPr>
            <w:tcW w:type="dxa" w:w="1512"/>
          </w:tcPr>
          <w:p>
            <w:pPr>
              <w:spacing w:after="0" w:line="240" w:lineRule="auto"/>
              <w:jc w:val="left"/>
            </w:pPr>
            <w:r/>
            <w:r>
              <w:rPr>
                <w:rFonts w:ascii="Times New Roman" w:hAnsi="Times New Roman" w:eastAsia="Times New Roman"/>
                <w:b w:val="0"/>
                <w:i w:val="0"/>
                <w:sz w:val="17"/>
              </w:rPr>
              <w:t>Capital exposure</w:t>
            </w:r>
          </w:p>
        </w:tc>
        <w:tc>
          <w:tcPr>
            <w:tcW w:type="dxa" w:w="1008"/>
          </w:tcPr>
          <w:p>
            <w:pPr>
              <w:spacing w:after="0" w:line="240" w:lineRule="auto"/>
              <w:jc w:val="left"/>
            </w:pPr>
            <w:r/>
            <w:r>
              <w:rPr>
                <w:rFonts w:ascii="Times New Roman" w:hAnsi="Times New Roman" w:eastAsia="Times New Roman"/>
                <w:b w:val="0"/>
                <w:i w:val="0"/>
                <w:sz w:val="17"/>
              </w:rPr>
              <w:t>0.20</w:t>
            </w:r>
          </w:p>
        </w:tc>
        <w:tc>
          <w:tcPr>
            <w:tcW w:type="dxa" w:w="1728"/>
          </w:tcPr>
          <w:p>
            <w:pPr>
              <w:spacing w:after="0" w:line="240" w:lineRule="auto"/>
              <w:jc w:val="left"/>
            </w:pPr>
            <w:r/>
            <w:r>
              <w:rPr>
                <w:rFonts w:ascii="Times New Roman" w:hAnsi="Times New Roman" w:eastAsia="Times New Roman"/>
                <w:b w:val="0"/>
                <w:i w:val="0"/>
                <w:sz w:val="17"/>
              </w:rPr>
              <w:t>Moderate</w:t>
            </w:r>
          </w:p>
        </w:tc>
        <w:tc>
          <w:tcPr>
            <w:tcW w:type="dxa" w:w="1800"/>
          </w:tcPr>
          <w:p>
            <w:pPr>
              <w:spacing w:after="0" w:line="240" w:lineRule="auto"/>
              <w:jc w:val="left"/>
            </w:pPr>
            <w:r/>
            <w:r>
              <w:rPr>
                <w:rFonts w:ascii="Times New Roman" w:hAnsi="Times New Roman" w:eastAsia="Times New Roman"/>
                <w:b w:val="0"/>
                <w:i w:val="0"/>
                <w:sz w:val="17"/>
              </w:rPr>
              <w:t>High</w:t>
            </w:r>
          </w:p>
        </w:tc>
        <w:tc>
          <w:tcPr>
            <w:tcW w:type="dxa" w:w="1656"/>
          </w:tcPr>
          <w:p>
            <w:pPr>
              <w:spacing w:after="0" w:line="240" w:lineRule="auto"/>
              <w:jc w:val="left"/>
            </w:pPr>
            <w:r/>
            <w:r>
              <w:rPr>
                <w:rFonts w:ascii="Times New Roman" w:hAnsi="Times New Roman" w:eastAsia="Times New Roman"/>
                <w:b w:val="0"/>
                <w:i w:val="0"/>
                <w:sz w:val="17"/>
              </w:rPr>
              <w:t>Moderate</w:t>
            </w:r>
          </w:p>
        </w:tc>
        <w:tc>
          <w:tcPr>
            <w:tcW w:type="dxa" w:w="1656"/>
          </w:tcPr>
          <w:p>
            <w:pPr>
              <w:spacing w:after="0" w:line="240" w:lineRule="auto"/>
              <w:jc w:val="left"/>
            </w:pPr>
            <w:r/>
            <w:r>
              <w:rPr>
                <w:rFonts w:ascii="Times New Roman" w:hAnsi="Times New Roman" w:eastAsia="Times New Roman"/>
                <w:b w:val="0"/>
                <w:i w:val="0"/>
                <w:sz w:val="17"/>
              </w:rPr>
              <w:t>Low</w:t>
            </w:r>
          </w:p>
        </w:tc>
      </w:tr>
      <w:tr>
        <w:tc>
          <w:tcPr>
            <w:tcW w:type="dxa" w:w="1512"/>
          </w:tcPr>
          <w:p>
            <w:pPr>
              <w:spacing w:after="0" w:line="240" w:lineRule="auto"/>
              <w:jc w:val="left"/>
            </w:pPr>
            <w:r/>
            <w:r>
              <w:rPr>
                <w:rFonts w:ascii="Times New Roman" w:hAnsi="Times New Roman" w:eastAsia="Times New Roman"/>
                <w:b w:val="0"/>
                <w:i w:val="0"/>
                <w:sz w:val="17"/>
              </w:rPr>
              <w:t>Regulatory dependency</w:t>
            </w:r>
          </w:p>
        </w:tc>
        <w:tc>
          <w:tcPr>
            <w:tcW w:type="dxa" w:w="1008"/>
          </w:tcPr>
          <w:p>
            <w:pPr>
              <w:spacing w:after="0" w:line="240" w:lineRule="auto"/>
              <w:jc w:val="left"/>
            </w:pPr>
            <w:r/>
            <w:r>
              <w:rPr>
                <w:rFonts w:ascii="Times New Roman" w:hAnsi="Times New Roman" w:eastAsia="Times New Roman"/>
                <w:b w:val="0"/>
                <w:i w:val="0"/>
                <w:sz w:val="17"/>
              </w:rPr>
              <w:t>0.10</w:t>
            </w:r>
          </w:p>
        </w:tc>
        <w:tc>
          <w:tcPr>
            <w:tcW w:type="dxa" w:w="1728"/>
          </w:tcPr>
          <w:p>
            <w:pPr>
              <w:spacing w:after="0" w:line="240" w:lineRule="auto"/>
              <w:jc w:val="left"/>
            </w:pPr>
            <w:r/>
            <w:r>
              <w:rPr>
                <w:rFonts w:ascii="Times New Roman" w:hAnsi="Times New Roman" w:eastAsia="Times New Roman"/>
                <w:b w:val="0"/>
                <w:i w:val="0"/>
                <w:sz w:val="17"/>
              </w:rPr>
              <w:t>Moderate</w:t>
            </w:r>
          </w:p>
        </w:tc>
        <w:tc>
          <w:tcPr>
            <w:tcW w:type="dxa" w:w="1800"/>
          </w:tcPr>
          <w:p>
            <w:pPr>
              <w:spacing w:after="0" w:line="240" w:lineRule="auto"/>
              <w:jc w:val="left"/>
            </w:pPr>
            <w:r/>
            <w:r>
              <w:rPr>
                <w:rFonts w:ascii="Times New Roman" w:hAnsi="Times New Roman" w:eastAsia="Times New Roman"/>
                <w:b w:val="0"/>
                <w:i w:val="0"/>
                <w:sz w:val="17"/>
              </w:rPr>
              <w:t>High</w:t>
            </w:r>
          </w:p>
        </w:tc>
        <w:tc>
          <w:tcPr>
            <w:tcW w:type="dxa" w:w="1656"/>
          </w:tcPr>
          <w:p>
            <w:pPr>
              <w:spacing w:after="0" w:line="240" w:lineRule="auto"/>
              <w:jc w:val="left"/>
            </w:pPr>
            <w:r/>
            <w:r>
              <w:rPr>
                <w:rFonts w:ascii="Times New Roman" w:hAnsi="Times New Roman" w:eastAsia="Times New Roman"/>
                <w:b w:val="0"/>
                <w:i w:val="0"/>
                <w:sz w:val="17"/>
              </w:rPr>
              <w:t>Moderate</w:t>
            </w:r>
          </w:p>
        </w:tc>
        <w:tc>
          <w:tcPr>
            <w:tcW w:type="dxa" w:w="1656"/>
          </w:tcPr>
          <w:p>
            <w:pPr>
              <w:spacing w:after="0" w:line="240" w:lineRule="auto"/>
              <w:jc w:val="left"/>
            </w:pPr>
            <w:r/>
            <w:r>
              <w:rPr>
                <w:rFonts w:ascii="Times New Roman" w:hAnsi="Times New Roman" w:eastAsia="Times New Roman"/>
                <w:b w:val="0"/>
                <w:i w:val="0"/>
                <w:sz w:val="17"/>
              </w:rPr>
              <w:t>Low</w:t>
            </w:r>
          </w:p>
        </w:tc>
      </w:tr>
      <w:tr>
        <w:tc>
          <w:tcPr>
            <w:tcW w:type="dxa" w:w="1512"/>
          </w:tcPr>
          <w:p>
            <w:pPr>
              <w:spacing w:after="0" w:line="240" w:lineRule="auto"/>
              <w:jc w:val="left"/>
            </w:pPr>
            <w:r/>
            <w:r>
              <w:rPr>
                <w:rFonts w:ascii="Times New Roman" w:hAnsi="Times New Roman" w:eastAsia="Times New Roman"/>
                <w:b w:val="0"/>
                <w:i w:val="0"/>
                <w:sz w:val="17"/>
              </w:rPr>
              <w:t>Overall implication</w:t>
            </w:r>
          </w:p>
        </w:tc>
        <w:tc>
          <w:tcPr>
            <w:tcW w:type="dxa" w:w="1008"/>
          </w:tcPr>
          <w:p>
            <w:pPr>
              <w:spacing w:after="0" w:line="240" w:lineRule="auto"/>
              <w:jc w:val="left"/>
            </w:pPr>
            <w:r/>
          </w:p>
        </w:tc>
        <w:tc>
          <w:tcPr>
            <w:tcW w:type="dxa" w:w="1728"/>
          </w:tcPr>
          <w:p>
            <w:pPr>
              <w:spacing w:after="0" w:line="240" w:lineRule="auto"/>
              <w:jc w:val="left"/>
            </w:pPr>
            <w:r/>
            <w:r>
              <w:rPr>
                <w:rFonts w:ascii="Times New Roman" w:hAnsi="Times New Roman" w:eastAsia="Times New Roman"/>
                <w:b w:val="0"/>
                <w:i w:val="0"/>
                <w:sz w:val="17"/>
              </w:rPr>
              <w:t>Strongest near-term case</w:t>
            </w:r>
          </w:p>
        </w:tc>
        <w:tc>
          <w:tcPr>
            <w:tcW w:type="dxa" w:w="1800"/>
          </w:tcPr>
          <w:p>
            <w:pPr>
              <w:spacing w:after="0" w:line="240" w:lineRule="auto"/>
              <w:jc w:val="left"/>
            </w:pPr>
            <w:r/>
            <w:r>
              <w:rPr>
                <w:rFonts w:ascii="Times New Roman" w:hAnsi="Times New Roman" w:eastAsia="Times New Roman"/>
                <w:b w:val="0"/>
                <w:i w:val="0"/>
                <w:sz w:val="17"/>
              </w:rPr>
              <w:t>High upside but slower and riskier</w:t>
            </w:r>
          </w:p>
        </w:tc>
        <w:tc>
          <w:tcPr>
            <w:tcW w:type="dxa" w:w="1656"/>
          </w:tcPr>
          <w:p>
            <w:pPr>
              <w:spacing w:after="0" w:line="240" w:lineRule="auto"/>
              <w:jc w:val="left"/>
            </w:pPr>
            <w:r/>
            <w:r>
              <w:rPr>
                <w:rFonts w:ascii="Times New Roman" w:hAnsi="Times New Roman" w:eastAsia="Times New Roman"/>
                <w:b w:val="0"/>
                <w:i w:val="0"/>
                <w:sz w:val="17"/>
              </w:rPr>
              <w:t>Selective extension only</w:t>
            </w:r>
          </w:p>
        </w:tc>
        <w:tc>
          <w:tcPr>
            <w:tcW w:type="dxa" w:w="1656"/>
          </w:tcPr>
          <w:p>
            <w:pPr>
              <w:spacing w:after="0" w:line="240" w:lineRule="auto"/>
              <w:jc w:val="left"/>
            </w:pPr>
            <w:r/>
            <w:r>
              <w:rPr>
                <w:rFonts w:ascii="Times New Roman" w:hAnsi="Times New Roman" w:eastAsia="Times New Roman"/>
                <w:b w:val="0"/>
                <w:i w:val="0"/>
                <w:sz w:val="17"/>
              </w:rPr>
              <w:t>Necessary but mainly defensive</w:t>
            </w:r>
          </w:p>
        </w:tc>
      </w:tr>
    </w:tbl>
    <w:p/>
    <w:p>
      <w:pPr>
        <w:pStyle w:val="Heading1"/>
        <w:spacing w:before="240" w:after="120"/>
        <w:jc w:val="left"/>
      </w:pPr>
      <w:r>
        <w:rPr>
          <w:rFonts w:ascii="Times New Roman" w:hAnsi="Times New Roman" w:eastAsia="Times New Roman"/>
          <w:b/>
          <w:i w:val="0"/>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944"/>
          </w:tcPr>
          <w:p>
            <w:pPr>
              <w:spacing w:after="0" w:line="240" w:lineRule="auto"/>
              <w:jc w:val="left"/>
            </w:pPr>
            <w:r/>
            <w:r>
              <w:rPr>
                <w:rFonts w:ascii="Times New Roman" w:hAnsi="Times New Roman" w:eastAsia="Times New Roman"/>
                <w:b/>
                <w:i w:val="0"/>
                <w:sz w:val="18"/>
              </w:rPr>
              <w:t>Initiative</w:t>
            </w:r>
          </w:p>
        </w:tc>
        <w:tc>
          <w:tcPr>
            <w:tcW w:type="dxa" w:w="1656"/>
          </w:tcPr>
          <w:p>
            <w:pPr>
              <w:spacing w:after="0" w:line="240" w:lineRule="auto"/>
              <w:jc w:val="left"/>
            </w:pPr>
            <w:r/>
            <w:r>
              <w:rPr>
                <w:rFonts w:ascii="Times New Roman" w:hAnsi="Times New Roman" w:eastAsia="Times New Roman"/>
                <w:b/>
                <w:i w:val="0"/>
                <w:sz w:val="18"/>
              </w:rPr>
              <w:t>Owner</w:t>
            </w:r>
          </w:p>
        </w:tc>
        <w:tc>
          <w:tcPr>
            <w:tcW w:type="dxa" w:w="2880"/>
          </w:tcPr>
          <w:p>
            <w:pPr>
              <w:spacing w:after="0" w:line="240" w:lineRule="auto"/>
              <w:jc w:val="left"/>
            </w:pPr>
            <w:r/>
            <w:r>
              <w:rPr>
                <w:rFonts w:ascii="Times New Roman" w:hAnsi="Times New Roman" w:eastAsia="Times New Roman"/>
                <w:b/>
                <w:i w:val="0"/>
                <w:sz w:val="18"/>
              </w:rPr>
              <w:t>Baseline / comparator</w:t>
            </w:r>
          </w:p>
        </w:tc>
        <w:tc>
          <w:tcPr>
            <w:tcW w:type="dxa" w:w="1296"/>
          </w:tcPr>
          <w:p>
            <w:pPr>
              <w:spacing w:after="0" w:line="240" w:lineRule="auto"/>
              <w:jc w:val="left"/>
            </w:pPr>
            <w:r/>
            <w:r>
              <w:rPr>
                <w:rFonts w:ascii="Times New Roman" w:hAnsi="Times New Roman" w:eastAsia="Times New Roman"/>
                <w:b/>
                <w:i w:val="0"/>
                <w:sz w:val="18"/>
              </w:rPr>
              <w:t>Review cycle</w:t>
            </w:r>
          </w:p>
        </w:tc>
        <w:tc>
          <w:tcPr>
            <w:tcW w:type="dxa" w:w="3024"/>
          </w:tcPr>
          <w:p>
            <w:pPr>
              <w:spacing w:after="0" w:line="240" w:lineRule="auto"/>
              <w:jc w:val="left"/>
            </w:pPr>
            <w:r/>
            <w:r>
              <w:rPr>
                <w:rFonts w:ascii="Times New Roman" w:hAnsi="Times New Roman" w:eastAsia="Times New Roman"/>
                <w:b/>
                <w:i w:val="0"/>
                <w:sz w:val="18"/>
              </w:rPr>
              <w:t>Go / no-go rule</w:t>
            </w:r>
          </w:p>
        </w:tc>
      </w:tr>
      <w:tr>
        <w:tc>
          <w:tcPr>
            <w:tcW w:type="dxa" w:w="1944"/>
          </w:tcPr>
          <w:p>
            <w:pPr>
              <w:spacing w:after="0" w:line="240" w:lineRule="auto"/>
              <w:jc w:val="left"/>
            </w:pPr>
            <w:r/>
            <w:r>
              <w:rPr>
                <w:rFonts w:ascii="Times New Roman" w:hAnsi="Times New Roman" w:eastAsia="Times New Roman"/>
                <w:b w:val="0"/>
                <w:i w:val="0"/>
                <w:sz w:val="18"/>
              </w:rPr>
              <w:t>Pre-retirement annuity-health bundle</w:t>
            </w:r>
          </w:p>
        </w:tc>
        <w:tc>
          <w:tcPr>
            <w:tcW w:type="dxa" w:w="1656"/>
          </w:tcPr>
          <w:p>
            <w:pPr>
              <w:spacing w:after="0" w:line="240" w:lineRule="auto"/>
              <w:jc w:val="left"/>
            </w:pPr>
            <w:r/>
            <w:r>
              <w:rPr>
                <w:rFonts w:ascii="Times New Roman" w:hAnsi="Times New Roman" w:eastAsia="Times New Roman"/>
                <w:b w:val="0"/>
                <w:i w:val="0"/>
                <w:sz w:val="18"/>
              </w:rPr>
              <w:t>Product, actuarial and bancassurance teams</w:t>
            </w:r>
          </w:p>
        </w:tc>
        <w:tc>
          <w:tcPr>
            <w:tcW w:type="dxa" w:w="2880"/>
          </w:tcPr>
          <w:p>
            <w:pPr>
              <w:spacing w:after="0" w:line="240" w:lineRule="auto"/>
              <w:jc w:val="left"/>
            </w:pPr>
            <w:r/>
            <w:r>
              <w:rPr>
                <w:rFonts w:ascii="Times New Roman" w:hAnsi="Times New Roman" w:eastAsia="Times New Roman"/>
                <w:b w:val="0"/>
                <w:i w:val="0"/>
                <w:sz w:val="18"/>
              </w:rPr>
              <w:t>2024 conversion, retention and claims performance in comparable retirement products</w:t>
            </w:r>
          </w:p>
        </w:tc>
        <w:tc>
          <w:tcPr>
            <w:tcW w:type="dxa" w:w="1296"/>
          </w:tcPr>
          <w:p>
            <w:pPr>
              <w:spacing w:after="0" w:line="240" w:lineRule="auto"/>
              <w:jc w:val="left"/>
            </w:pPr>
            <w:r/>
            <w:r>
              <w:rPr>
                <w:rFonts w:ascii="Times New Roman" w:hAnsi="Times New Roman" w:eastAsia="Times New Roman"/>
                <w:b w:val="0"/>
                <w:i w:val="0"/>
                <w:sz w:val="18"/>
              </w:rPr>
              <w:t>Quarterly pilot review</w:t>
            </w:r>
          </w:p>
        </w:tc>
        <w:tc>
          <w:tcPr>
            <w:tcW w:type="dxa" w:w="3024"/>
          </w:tcPr>
          <w:p>
            <w:pPr>
              <w:spacing w:after="0" w:line="240" w:lineRule="auto"/>
              <w:jc w:val="left"/>
            </w:pPr>
            <w:r/>
            <w:r>
              <w:rPr>
                <w:rFonts w:ascii="Times New Roman" w:hAnsi="Times New Roman" w:eastAsia="Times New Roman"/>
                <w:b w:val="0"/>
                <w:i w:val="0"/>
                <w:sz w:val="18"/>
              </w:rPr>
              <w:t>Scale only if conversion and retention improve without claims pressure eroding capital efficiency</w:t>
            </w:r>
          </w:p>
        </w:tc>
      </w:tr>
      <w:tr>
        <w:tc>
          <w:tcPr>
            <w:tcW w:type="dxa" w:w="1944"/>
          </w:tcPr>
          <w:p>
            <w:pPr>
              <w:spacing w:after="0" w:line="240" w:lineRule="auto"/>
              <w:jc w:val="left"/>
            </w:pPr>
            <w:r/>
            <w:r>
              <w:rPr>
                <w:rFonts w:ascii="Times New Roman" w:hAnsi="Times New Roman" w:eastAsia="Times New Roman"/>
                <w:b w:val="0"/>
                <w:i w:val="0"/>
                <w:sz w:val="18"/>
              </w:rPr>
              <w:t>Top-up health and care-referral offer</w:t>
            </w:r>
          </w:p>
        </w:tc>
        <w:tc>
          <w:tcPr>
            <w:tcW w:type="dxa" w:w="1656"/>
          </w:tcPr>
          <w:p>
            <w:pPr>
              <w:spacing w:after="0" w:line="240" w:lineRule="auto"/>
              <w:jc w:val="left"/>
            </w:pPr>
            <w:r/>
            <w:r>
              <w:rPr>
                <w:rFonts w:ascii="Times New Roman" w:hAnsi="Times New Roman" w:eastAsia="Times New Roman"/>
                <w:b w:val="0"/>
                <w:i w:val="0"/>
                <w:sz w:val="18"/>
              </w:rPr>
              <w:t>Product, claims and digital teams</w:t>
            </w:r>
          </w:p>
        </w:tc>
        <w:tc>
          <w:tcPr>
            <w:tcW w:type="dxa" w:w="2880"/>
          </w:tcPr>
          <w:p>
            <w:pPr>
              <w:spacing w:after="0" w:line="240" w:lineRule="auto"/>
              <w:jc w:val="left"/>
            </w:pPr>
            <w:r/>
            <w:r>
              <w:rPr>
                <w:rFonts w:ascii="Times New Roman" w:hAnsi="Times New Roman" w:eastAsia="Times New Roman"/>
                <w:b w:val="0"/>
                <w:i w:val="0"/>
                <w:sz w:val="18"/>
              </w:rPr>
              <w:t>2024 cross-sell, persistency and claims turnaround for existing policyholders</w:t>
            </w:r>
          </w:p>
        </w:tc>
        <w:tc>
          <w:tcPr>
            <w:tcW w:type="dxa" w:w="1296"/>
          </w:tcPr>
          <w:p>
            <w:pPr>
              <w:spacing w:after="0" w:line="240" w:lineRule="auto"/>
              <w:jc w:val="left"/>
            </w:pPr>
            <w:r/>
            <w:r>
              <w:rPr>
                <w:rFonts w:ascii="Times New Roman" w:hAnsi="Times New Roman" w:eastAsia="Times New Roman"/>
                <w:b w:val="0"/>
                <w:i w:val="0"/>
                <w:sz w:val="18"/>
              </w:rPr>
              <w:t>Quarterly pilot review</w:t>
            </w:r>
          </w:p>
        </w:tc>
        <w:tc>
          <w:tcPr>
            <w:tcW w:type="dxa" w:w="3024"/>
          </w:tcPr>
          <w:p>
            <w:pPr>
              <w:spacing w:after="0" w:line="240" w:lineRule="auto"/>
              <w:jc w:val="left"/>
            </w:pPr>
            <w:r/>
            <w:r>
              <w:rPr>
                <w:rFonts w:ascii="Times New Roman" w:hAnsi="Times New Roman" w:eastAsia="Times New Roman"/>
                <w:b w:val="0"/>
                <w:i w:val="0"/>
                <w:sz w:val="18"/>
              </w:rPr>
              <w:t>Continue only if cross-sell and persistency improve together and claims turnaround does not deteriorate</w:t>
            </w:r>
          </w:p>
        </w:tc>
      </w:tr>
      <w:tr>
        <w:tc>
          <w:tcPr>
            <w:tcW w:type="dxa" w:w="1944"/>
          </w:tcPr>
          <w:p>
            <w:pPr>
              <w:spacing w:after="0" w:line="240" w:lineRule="auto"/>
              <w:jc w:val="left"/>
            </w:pPr>
            <w:r/>
            <w:r>
              <w:rPr>
                <w:rFonts w:ascii="Times New Roman" w:hAnsi="Times New Roman" w:eastAsia="Times New Roman"/>
                <w:b w:val="0"/>
                <w:i w:val="0"/>
                <w:sz w:val="18"/>
              </w:rPr>
              <w:t>Senior-care ecosystem pilot</w:t>
            </w:r>
          </w:p>
        </w:tc>
        <w:tc>
          <w:tcPr>
            <w:tcW w:type="dxa" w:w="1656"/>
          </w:tcPr>
          <w:p>
            <w:pPr>
              <w:spacing w:after="0" w:line="240" w:lineRule="auto"/>
              <w:jc w:val="left"/>
            </w:pPr>
            <w:r/>
            <w:r>
              <w:rPr>
                <w:rFonts w:ascii="Times New Roman" w:hAnsi="Times New Roman" w:eastAsia="Times New Roman"/>
                <w:b w:val="0"/>
                <w:i w:val="0"/>
                <w:sz w:val="18"/>
              </w:rPr>
              <w:t>Dedicated ecosystem office with finance oversight</w:t>
            </w:r>
          </w:p>
        </w:tc>
        <w:tc>
          <w:tcPr>
            <w:tcW w:type="dxa" w:w="2880"/>
          </w:tcPr>
          <w:p>
            <w:pPr>
              <w:spacing w:after="0" w:line="240" w:lineRule="auto"/>
              <w:jc w:val="left"/>
            </w:pPr>
            <w:r/>
            <w:r>
              <w:rPr>
                <w:rFonts w:ascii="Times New Roman" w:hAnsi="Times New Roman" w:eastAsia="Times New Roman"/>
                <w:b w:val="0"/>
                <w:i w:val="0"/>
                <w:sz w:val="18"/>
              </w:rPr>
              <w:t>2024 ecosystem-linked new business, elderly retention and pilot-city operating evidence</w:t>
            </w:r>
          </w:p>
        </w:tc>
        <w:tc>
          <w:tcPr>
            <w:tcW w:type="dxa" w:w="1296"/>
          </w:tcPr>
          <w:p>
            <w:pPr>
              <w:spacing w:after="0" w:line="240" w:lineRule="auto"/>
              <w:jc w:val="left"/>
            </w:pPr>
            <w:r/>
            <w:r>
              <w:rPr>
                <w:rFonts w:ascii="Times New Roman" w:hAnsi="Times New Roman" w:eastAsia="Times New Roman"/>
                <w:b w:val="0"/>
                <w:i w:val="0"/>
                <w:sz w:val="18"/>
              </w:rPr>
              <w:t>Half-yearly review</w:t>
            </w:r>
          </w:p>
        </w:tc>
        <w:tc>
          <w:tcPr>
            <w:tcW w:type="dxa" w:w="3024"/>
          </w:tcPr>
          <w:p>
            <w:pPr>
              <w:spacing w:after="0" w:line="240" w:lineRule="auto"/>
              <w:jc w:val="left"/>
            </w:pPr>
            <w:r/>
            <w:r>
              <w:rPr>
                <w:rFonts w:ascii="Times New Roman" w:hAnsi="Times New Roman" w:eastAsia="Times New Roman"/>
                <w:b w:val="0"/>
                <w:i w:val="0"/>
                <w:sz w:val="18"/>
              </w:rPr>
              <w:t>Pause if ecosystem expansion weakens core return metrics; prefer partnership delivery if it improves outcomes without owned-asset expansion</w:t>
            </w:r>
          </w:p>
        </w:tc>
      </w:tr>
      <w:tr>
        <w:tc>
          <w:tcPr>
            <w:tcW w:type="dxa" w:w="1944"/>
          </w:tcPr>
          <w:p>
            <w:pPr>
              <w:spacing w:after="0" w:line="240" w:lineRule="auto"/>
              <w:jc w:val="left"/>
            </w:pPr>
            <w:r/>
            <w:r>
              <w:rPr>
                <w:rFonts w:ascii="Times New Roman" w:hAnsi="Times New Roman" w:eastAsia="Times New Roman"/>
                <w:b w:val="0"/>
                <w:i w:val="0"/>
                <w:sz w:val="18"/>
              </w:rPr>
              <w:t>Life-core performance engine</w:t>
            </w:r>
          </w:p>
        </w:tc>
        <w:tc>
          <w:tcPr>
            <w:tcW w:type="dxa" w:w="1656"/>
          </w:tcPr>
          <w:p>
            <w:pPr>
              <w:spacing w:after="0" w:line="240" w:lineRule="auto"/>
              <w:jc w:val="left"/>
            </w:pPr>
            <w:r/>
            <w:r>
              <w:rPr>
                <w:rFonts w:ascii="Times New Roman" w:hAnsi="Times New Roman" w:eastAsia="Times New Roman"/>
                <w:b w:val="0"/>
                <w:i w:val="0"/>
                <w:sz w:val="18"/>
              </w:rPr>
              <w:t>Sales reform, finance and branch management</w:t>
            </w:r>
          </w:p>
        </w:tc>
        <w:tc>
          <w:tcPr>
            <w:tcW w:type="dxa" w:w="2880"/>
          </w:tcPr>
          <w:p>
            <w:pPr>
              <w:spacing w:after="0" w:line="240" w:lineRule="auto"/>
              <w:jc w:val="left"/>
            </w:pPr>
            <w:r/>
            <w:r>
              <w:rPr>
                <w:rFonts w:ascii="Times New Roman" w:hAnsi="Times New Roman" w:eastAsia="Times New Roman"/>
                <w:b w:val="0"/>
                <w:i w:val="0"/>
                <w:sz w:val="18"/>
              </w:rPr>
              <w:t>2024 value of one year's sales, persistence, agent productivity and capital efficiency</w:t>
            </w:r>
          </w:p>
        </w:tc>
        <w:tc>
          <w:tcPr>
            <w:tcW w:type="dxa" w:w="1296"/>
          </w:tcPr>
          <w:p>
            <w:pPr>
              <w:spacing w:after="0" w:line="240" w:lineRule="auto"/>
              <w:jc w:val="left"/>
            </w:pPr>
            <w:r/>
            <w:r>
              <w:rPr>
                <w:rFonts w:ascii="Times New Roman" w:hAnsi="Times New Roman" w:eastAsia="Times New Roman"/>
                <w:b w:val="0"/>
                <w:i w:val="0"/>
                <w:sz w:val="18"/>
              </w:rPr>
              <w:t>Half-yearly review</w:t>
            </w:r>
          </w:p>
        </w:tc>
        <w:tc>
          <w:tcPr>
            <w:tcW w:type="dxa" w:w="3024"/>
          </w:tcPr>
          <w:p>
            <w:pPr>
              <w:spacing w:after="0" w:line="240" w:lineRule="auto"/>
              <w:jc w:val="left"/>
            </w:pPr>
            <w:r/>
            <w:r>
              <w:rPr>
                <w:rFonts w:ascii="Times New Roman" w:hAnsi="Times New Roman" w:eastAsia="Times New Roman"/>
                <w:b w:val="0"/>
                <w:i w:val="0"/>
                <w:sz w:val="18"/>
              </w:rPr>
              <w:t>Expansionary initiatives pause if core efficiency does not improve after two review cycles</w:t>
            </w:r>
          </w:p>
        </w:tc>
      </w:tr>
    </w:tbl>
    <w:p/>
    <w:p>
      <w:pPr>
        <w:pStyle w:val="Heading1"/>
        <w:spacing w:before="240" w:after="120"/>
        <w:jc w:val="left"/>
      </w:pPr>
      <w:r>
        <w:rPr>
          <w:rFonts w:ascii="Times New Roman" w:hAnsi="Times New Roman" w:eastAsia="Times New Roman"/>
          <w:b/>
          <w:i w:val="0"/>
          <w:sz w:val="24"/>
        </w:rPr>
        <w:t>Appendix D. Competitor Model Transferability</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spacing w:after="0" w:line="240" w:lineRule="auto"/>
              <w:jc w:val="left"/>
            </w:pPr>
            <w:r/>
            <w:r>
              <w:rPr>
                <w:rFonts w:ascii="Times New Roman" w:hAnsi="Times New Roman" w:eastAsia="Times New Roman"/>
                <w:b/>
                <w:i w:val="0"/>
                <w:sz w:val="18"/>
              </w:rPr>
              <w:t>Company</w:t>
            </w:r>
          </w:p>
        </w:tc>
        <w:tc>
          <w:tcPr>
            <w:tcW w:type="dxa" w:w="2160"/>
          </w:tcPr>
          <w:p>
            <w:pPr>
              <w:spacing w:after="0" w:line="240" w:lineRule="auto"/>
              <w:jc w:val="left"/>
            </w:pPr>
            <w:r/>
            <w:r>
              <w:rPr>
                <w:rFonts w:ascii="Times New Roman" w:hAnsi="Times New Roman" w:eastAsia="Times New Roman"/>
                <w:b/>
                <w:i w:val="0"/>
                <w:sz w:val="18"/>
              </w:rPr>
              <w:t>Core advantage</w:t>
            </w:r>
          </w:p>
        </w:tc>
        <w:tc>
          <w:tcPr>
            <w:tcW w:type="dxa" w:w="2160"/>
          </w:tcPr>
          <w:p>
            <w:pPr>
              <w:spacing w:after="0" w:line="240" w:lineRule="auto"/>
              <w:jc w:val="left"/>
            </w:pPr>
            <w:r/>
            <w:r>
              <w:rPr>
                <w:rFonts w:ascii="Times New Roman" w:hAnsi="Times New Roman" w:eastAsia="Times New Roman"/>
                <w:b/>
                <w:i w:val="0"/>
                <w:sz w:val="18"/>
              </w:rPr>
              <w:t>Health / retirement strength</w:t>
            </w:r>
          </w:p>
        </w:tc>
        <w:tc>
          <w:tcPr>
            <w:tcW w:type="dxa" w:w="2160"/>
          </w:tcPr>
          <w:p>
            <w:pPr>
              <w:spacing w:after="0" w:line="240" w:lineRule="auto"/>
              <w:jc w:val="left"/>
            </w:pPr>
            <w:r/>
            <w:r>
              <w:rPr>
                <w:rFonts w:ascii="Times New Roman" w:hAnsi="Times New Roman" w:eastAsia="Times New Roman"/>
                <w:b/>
                <w:i w:val="0"/>
                <w:sz w:val="18"/>
              </w:rPr>
              <w:t>Strategic implication for China Life</w:t>
            </w:r>
          </w:p>
        </w:tc>
      </w:tr>
      <w:tr>
        <w:tc>
          <w:tcPr>
            <w:tcW w:type="dxa" w:w="2160"/>
          </w:tcPr>
          <w:p>
            <w:pPr>
              <w:spacing w:after="0" w:line="240" w:lineRule="auto"/>
              <w:jc w:val="left"/>
            </w:pPr>
            <w:r/>
            <w:r>
              <w:rPr>
                <w:rFonts w:ascii="Times New Roman" w:hAnsi="Times New Roman" w:eastAsia="Times New Roman"/>
                <w:b w:val="0"/>
                <w:i w:val="0"/>
                <w:sz w:val="18"/>
              </w:rPr>
              <w:t>China Life</w:t>
            </w:r>
          </w:p>
        </w:tc>
        <w:tc>
          <w:tcPr>
            <w:tcW w:type="dxa" w:w="2160"/>
          </w:tcPr>
          <w:p>
            <w:pPr>
              <w:spacing w:after="0" w:line="240" w:lineRule="auto"/>
              <w:jc w:val="left"/>
            </w:pPr>
            <w:r/>
            <w:r>
              <w:rPr>
                <w:rFonts w:ascii="Times New Roman" w:hAnsi="Times New Roman" w:eastAsia="Times New Roman"/>
                <w:b w:val="0"/>
                <w:i w:val="0"/>
                <w:sz w:val="18"/>
              </w:rPr>
              <w:t>Scale, embedded value, pension positioning</w:t>
            </w:r>
          </w:p>
        </w:tc>
        <w:tc>
          <w:tcPr>
            <w:tcW w:type="dxa" w:w="2160"/>
          </w:tcPr>
          <w:p>
            <w:pPr>
              <w:spacing w:after="0" w:line="240" w:lineRule="auto"/>
              <w:jc w:val="left"/>
            </w:pPr>
            <w:r/>
            <w:r>
              <w:rPr>
                <w:rFonts w:ascii="Times New Roman" w:hAnsi="Times New Roman" w:eastAsia="Times New Roman"/>
                <w:b w:val="0"/>
                <w:i w:val="0"/>
                <w:sz w:val="18"/>
              </w:rPr>
              <w:t>Stronger at product-level retirement positioning than at full ecosystem monetisation</w:t>
            </w:r>
          </w:p>
        </w:tc>
        <w:tc>
          <w:tcPr>
            <w:tcW w:type="dxa" w:w="2160"/>
          </w:tcPr>
          <w:p>
            <w:pPr>
              <w:spacing w:after="0" w:line="240" w:lineRule="auto"/>
              <w:jc w:val="left"/>
            </w:pPr>
            <w:r/>
            <w:r>
              <w:rPr>
                <w:rFonts w:ascii="Times New Roman" w:hAnsi="Times New Roman" w:eastAsia="Times New Roman"/>
                <w:b w:val="0"/>
                <w:i w:val="0"/>
                <w:sz w:val="18"/>
              </w:rPr>
              <w:t>Defend the core and extend selectively from insurance strength</w:t>
            </w:r>
          </w:p>
        </w:tc>
      </w:tr>
      <w:tr>
        <w:tc>
          <w:tcPr>
            <w:tcW w:type="dxa" w:w="2160"/>
          </w:tcPr>
          <w:p>
            <w:pPr>
              <w:spacing w:after="0" w:line="240" w:lineRule="auto"/>
              <w:jc w:val="left"/>
            </w:pPr>
            <w:r/>
            <w:r>
              <w:rPr>
                <w:rFonts w:ascii="Times New Roman" w:hAnsi="Times New Roman" w:eastAsia="Times New Roman"/>
                <w:b w:val="0"/>
                <w:i w:val="0"/>
                <w:sz w:val="18"/>
              </w:rPr>
              <w:t>Ping An</w:t>
            </w:r>
          </w:p>
        </w:tc>
        <w:tc>
          <w:tcPr>
            <w:tcW w:type="dxa" w:w="2160"/>
          </w:tcPr>
          <w:p>
            <w:pPr>
              <w:spacing w:after="0" w:line="240" w:lineRule="auto"/>
              <w:jc w:val="left"/>
            </w:pPr>
            <w:r/>
            <w:r>
              <w:rPr>
                <w:rFonts w:ascii="Times New Roman" w:hAnsi="Times New Roman" w:eastAsia="Times New Roman"/>
                <w:b w:val="0"/>
                <w:i w:val="0"/>
                <w:sz w:val="18"/>
              </w:rPr>
              <w:t>Ecosystem integration and monetisation capability</w:t>
            </w:r>
          </w:p>
        </w:tc>
        <w:tc>
          <w:tcPr>
            <w:tcW w:type="dxa" w:w="2160"/>
          </w:tcPr>
          <w:p>
            <w:pPr>
              <w:spacing w:after="0" w:line="240" w:lineRule="auto"/>
              <w:jc w:val="left"/>
            </w:pPr>
            <w:r/>
            <w:r>
              <w:rPr>
                <w:rFonts w:ascii="Times New Roman" w:hAnsi="Times New Roman" w:eastAsia="Times New Roman"/>
                <w:b w:val="0"/>
                <w:i w:val="0"/>
                <w:sz w:val="18"/>
              </w:rPr>
              <w:t>Deeper health and senior-care service integration</w:t>
            </w:r>
          </w:p>
        </w:tc>
        <w:tc>
          <w:tcPr>
            <w:tcW w:type="dxa" w:w="2160"/>
          </w:tcPr>
          <w:p>
            <w:pPr>
              <w:spacing w:after="0" w:line="240" w:lineRule="auto"/>
              <w:jc w:val="left"/>
            </w:pPr>
            <w:r/>
            <w:r>
              <w:rPr>
                <w:rFonts w:ascii="Times New Roman" w:hAnsi="Times New Roman" w:eastAsia="Times New Roman"/>
                <w:b w:val="0"/>
                <w:i w:val="0"/>
                <w:sz w:val="18"/>
              </w:rPr>
              <w:t>Useful reference for service adjacency, but not a full model to copy</w:t>
            </w:r>
          </w:p>
        </w:tc>
      </w:tr>
      <w:tr>
        <w:tc>
          <w:tcPr>
            <w:tcW w:type="dxa" w:w="2160"/>
          </w:tcPr>
          <w:p>
            <w:pPr>
              <w:spacing w:after="0" w:line="240" w:lineRule="auto"/>
              <w:jc w:val="left"/>
            </w:pPr>
            <w:r/>
            <w:r>
              <w:rPr>
                <w:rFonts w:ascii="Times New Roman" w:hAnsi="Times New Roman" w:eastAsia="Times New Roman"/>
                <w:b w:val="0"/>
                <w:i w:val="0"/>
                <w:sz w:val="18"/>
              </w:rPr>
              <w:t>CPIC</w:t>
            </w:r>
          </w:p>
        </w:tc>
        <w:tc>
          <w:tcPr>
            <w:tcW w:type="dxa" w:w="2160"/>
          </w:tcPr>
          <w:p>
            <w:pPr>
              <w:spacing w:after="0" w:line="240" w:lineRule="auto"/>
              <w:jc w:val="left"/>
            </w:pPr>
            <w:r/>
            <w:r>
              <w:rPr>
                <w:rFonts w:ascii="Times New Roman" w:hAnsi="Times New Roman" w:eastAsia="Times New Roman"/>
                <w:b w:val="0"/>
                <w:i w:val="0"/>
                <w:sz w:val="18"/>
              </w:rPr>
              <w:t>Broadening retirement-service footprint</w:t>
            </w:r>
          </w:p>
        </w:tc>
        <w:tc>
          <w:tcPr>
            <w:tcW w:type="dxa" w:w="2160"/>
          </w:tcPr>
          <w:p>
            <w:pPr>
              <w:spacing w:after="0" w:line="240" w:lineRule="auto"/>
              <w:jc w:val="left"/>
            </w:pPr>
            <w:r/>
            <w:r>
              <w:rPr>
                <w:rFonts w:ascii="Times New Roman" w:hAnsi="Times New Roman" w:eastAsia="Times New Roman"/>
                <w:b w:val="0"/>
                <w:i w:val="0"/>
                <w:sz w:val="18"/>
              </w:rPr>
              <w:t>Shows that retirement-service competition is widening beyond a single rival</w:t>
            </w:r>
          </w:p>
        </w:tc>
        <w:tc>
          <w:tcPr>
            <w:tcW w:type="dxa" w:w="2160"/>
          </w:tcPr>
          <w:p>
            <w:pPr>
              <w:spacing w:after="0" w:line="240" w:lineRule="auto"/>
              <w:jc w:val="left"/>
            </w:pPr>
            <w:r/>
            <w:r>
              <w:rPr>
                <w:rFonts w:ascii="Times New Roman" w:hAnsi="Times New Roman" w:eastAsia="Times New Roman"/>
                <w:b w:val="0"/>
                <w:i w:val="0"/>
                <w:sz w:val="18"/>
              </w:rPr>
              <w:t>Confirms China Life needs a response, but not wholesale imitation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