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2196</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it is a dominant incumbent in a large market. In 2024, China’s insurance industry generated RMB5.7 trillion in premium income and held RMB35.91 trillion in total assets (China Insurance Association, 2025). China Life reported gross written premiums of RMB671,457 million, embedded value of RMB1,401,146 million, about 326 million long-term policies in force and a sales force of 666,000 people (China Life Insurance Company Limited, 2025a). The issue is how resources should be reallocated as ageing, pension reform, health demand and channel transformation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However, abandoning BCG entirely would also weaken portfolio discipline. It remains useful as a resource-ordering heuristic if the units are defined carefully. For that reason, this report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 This is preferable to overlapping ecosystem clusters because it produces cleaner units.</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This does not turn BCG into a line-by-line valuation model, but it does make it usable for resource ordering. Classification confidence is therefore highest for life insurance, moderate for annuity and health insurance, and lowest for accident insurance.</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The labels remain proxy-based, but they can still guide priorities if alternative interpretations are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embedded value and distribution capacity indicate a mature but highly productive core (China Life Insurance Company Limited, 2025a). External evidence supports that reading. The China Insurance Association (2024) reported that life insurers’ premium income grew by 8.85% in 2023 and that 13-month policy persistency reached 93.47%, suggesting that the sector’s challenge is quality and efficiency rather than explosive growth. McKinsey &amp; Company (2024) likewise argues that life insurers are searching for relevance beyond traditional products. The line is therefore large and fund-generating, but not the strongest source of future growth.</w:t>
      </w:r>
    </w:p>
    <w:p>
      <w:pPr>
        <w:ind w:firstLine="480"/>
        <w:jc w:val="both"/>
      </w:pPr>
      <w:r>
        <w:rPr>
          <w:rFonts w:ascii="Times New Roman" w:hAnsi="Times New Roman" w:eastAsia="Times New Roman"/>
          <w:sz w:val="24"/>
        </w:rPr>
        <w:t>An alternative reading would treat life insurance as a low-growth legacy line that deserves little new attention. That interpretation is rejected because China Life’s relative position in life insurance is still stronger and more cash-generative than in any other line. The more persuasive concern is not whether life belongs in the core, but whether its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Star Candidate</w:t>
      </w:r>
    </w:p>
    <w:p>
      <w:pPr>
        <w:ind w:firstLine="480"/>
        <w:jc w:val="both"/>
      </w:pPr>
      <w:r>
        <w:rPr>
          <w:rFonts w:ascii="Times New Roman" w:hAnsi="Times New Roman" w:eastAsia="Times New Roman"/>
          <w:sz w:val="24"/>
        </w:rPr>
        <w:t>Annuity insurance is the strongest Star candidate. China Life states that its third-pillar private pension and commercial annuity insurance businesses ranked first in the industry and that commercial annuity insurance accelerated in 2024 (China Life Insurance Company Limited, 2025a). In late 2024, the State Council highlighted commercial insurance annuities as a core third-pillar category and confirmed that the personal pension system would be implemented nationwide from December 15, 2024 (State Council of the People’s Republic of China, 2024a, 2024b). Population ageing and the underdevelopment of the third pillar likewise support retirement-related demand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interpretation is partly persuasive, but it is not adopted because China Life’s disclosed first-place position in third-pillar private pension and commercial annuity gives stronger evidence of relative position than exists in health insurance. Even so, the label remains conditional rather than absolute. China Life appears strongest at the product level, while Ping An and CPIC have moved further across the wider retirement-service chain (China Pacific Insurance (Group) Co., Ltd., 2025; Ping An Insurance (Group) Company of China, Ltd., 2025a, 2025b). Annuity insurance is therefore persuasive for resource ordering, but not strong enough to remove the qualifier.</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opportunity is reinforced by recent policy direction: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 The growth logic is therefore strong.</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does not yet demonstrate profitable dominance under stricter pricing and sustainability requirements.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Dog-Like Support Line</w:t>
      </w:r>
    </w:p>
    <w:p>
      <w:pPr>
        <w:ind w:firstLine="480"/>
        <w:jc w:val="both"/>
      </w:pPr>
      <w:r>
        <w:rPr>
          <w:rFonts w:ascii="Times New Roman" w:hAnsi="Times New Roman" w:eastAsia="Times New Roman"/>
          <w:sz w:val="24"/>
        </w:rPr>
        <w:t>Accident insurance is the weakest line in BCG terms and is best treated as a Dog-like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that sits outside BCG rather than within it. That view is not adopted because even support products still compete for management attention, distribution effort and capital. The stronger conclusion is that accident insurance should stay in the portfolio mainly for completion and bundling, not for growth investment.</w:t>
      </w:r>
    </w:p>
    <w:p>
      <w:pPr>
        <w:ind w:firstLine="480"/>
        <w:jc w:val="both"/>
      </w:pPr>
      <w:r>
        <w:rPr>
          <w:rFonts w:ascii="Times New Roman" w:hAnsi="Times New Roman" w:eastAsia="Times New Roman"/>
          <w:sz w:val="24"/>
        </w:rPr>
        <w:t>Taken together, the peer comparison should not be read as a search for a single model to copy. China Life’s strongest advantage lies in scale, embedded value and pension positioning; Ping An is stronger in ecosystem integration and customer monetisation; CPIC shows that retirement-service competition extends beyond a single rival. The implication is that China Life should not imitate a full ecosystem model, but should selectively integrate service adjacencies where it can still leverage its insurance core.</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In this case,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long-term upside but also the highest capability and capital stretch.</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and can use its installed customer base, channels and trust to extend annuity and health offerings (China Life Insurance Company Limited, 2025a). McKinsey &amp; Company (2024) argues that life carriers need new avenues beyond traditional life and that customer experience has become a competitive differentiator. Product development is therefore the strongest immediate route because China Life’s main bottleneck is product-service relevance within an already extensive customer base, not lack of reach.</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strategic upside is high, but the return horizon is longer and the implementation burden is materially higher. The senior-care ecosystem belongs here. It cuts across annuity and health insurance, yet it can deepen customer value and differentiate retirement-related offerings. China Life already has 17 institutional elderly-care projects across 14 cities and three senior-care product lines in operation (China Life Insurance Company Limited, 2025a, 2025b). It ranks below product development not because the upside is lower, but because capability stretch, capital exposure and payback uncertainty are materially higher. China Life’s most defensible path is therefore not to copy Ping An’s ecosystem model wholesale, but to extend from scale-and-pension strength into selectively integrated service adjacencies.</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Yet the issue is whether current capabilities can adapt without margin dilution.</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Even so, penetration remains defensive rather than transformative.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rather than a stand-alone growth line; and avoid overcommitting capital to accident insurance beyond its bundling and inclusion role.</w:t>
      </w:r>
    </w:p>
    <w:p>
      <w:pPr>
        <w:ind w:firstLine="480"/>
        <w:jc w:val="both"/>
      </w:pPr>
      <w:r>
        <w:rPr>
          <w:rFonts w:ascii="Times New Roman" w:hAnsi="Times New Roman" w:eastAsia="Times New Roman"/>
          <w:sz w:val="24"/>
        </w:rPr>
        <w:t>Organisational learning is not just an implementation detail here; it changes strategy selection itself. China Life’s scale, brand and sales force are valuable, but they do not automatically create a defensible retirement-care ecosystem. The company therefore needs learning loops to test whether annuity-health bundles improve retention and conversion, whether claims and service data sharpen pricing discipline, and whether partnership delivery can create value without asset-heavy drag. Those results should change strategic boundaries: strong evidence should deepen commitment, mixed evidence should keep pilots capped, and weak evidence should redirect capital back toward product-led growth rather than ecosystem expansion.</w:t>
      </w:r>
    </w:p>
    <w:p>
      <w:pPr>
        <w:ind w:firstLine="480"/>
        <w:jc w:val="both"/>
      </w:pPr>
      <w:r>
        <w:rPr>
          <w:rFonts w:ascii="Times New Roman" w:hAnsi="Times New Roman" w:eastAsia="Times New Roman"/>
          <w:sz w:val="24"/>
        </w:rPr>
        <w:t>The action plan should therefore be phased. In the next 12 months, China Life should treat the life insurance core as a performance engine, cap capital reallocation to ecosystem pilots, and shift branch and agent scorecards away from premium volume alone toward value of one year’s sales, agent productivity, persistence and capital efficiency. Over the same period, it should standardise customer data, claims workflows and service referral processes in cities where it already operates elderly-care projects. From months 12 to 24, it should pilot bundled propositions combining annuity, health cover and care-related services, while a selected cohort of agents receives retirement-planning certification and the China Life App integrates claims and targeted cross-sell prompts. From months 24 to 36, rollout should scale only if evidence improves.</w:t>
      </w:r>
    </w:p>
    <w:p>
      <w:pPr>
        <w:ind w:firstLine="480"/>
        <w:jc w:val="both"/>
      </w:pPr>
      <w:r>
        <w:rPr>
          <w:rFonts w:ascii="Times New Roman" w:hAnsi="Times New Roman" w:eastAsia="Times New Roman"/>
          <w:sz w:val="24"/>
        </w:rPr>
        <w:t>KPIs should also be explicit. Core metrics should include value of one year’s sales, persistence, agent productivity and capital efficiency. Ecosystem pilots should be judged through cross-sell ratio, ecosystem-linked new business, elderly retention, claims turnaround time and customer satisfaction. The dual-engine distribution model should be assessed through digital claims adoption, channel cross-sell rates, app engagement and service satisfaction. Go/no-go rules should also be clear: if core efficiency fails to improve after 12 months, expansionary initiatives should pause; if ecosystem pilots show only partial improvement, rollout should remain limited and partnership-led; if channel integration improves digital usage but damages agent productivity, incentives should be redesigned before wider rollout.</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the strongest Star candidate, health insurance is a Question Mark, and accident insurance should remain a Dog-like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The strategic direction is therefore clear. China Life should prioritise annuity and health product development now because that is the highest-fit and shortest-horizon growth route; invest in senior-care diversification selectively and on a partnership-led basis; defend but not overfund the mature life core; and avoid treating accident insurance as an independent growth engine. This is not the lowest-risk path, but it is the most defensible one under China Life’s resource profile and the current structure of the Chinese life insurance market.</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McKinsey &amp; Company. (2024, November 19). </w:t>
      </w:r>
      <w:r>
        <w:rPr>
          <w:rFonts w:ascii="Times New Roman" w:hAnsi="Times New Roman" w:eastAsia="Times New Roman"/>
          <w:i/>
          <w:sz w:val="24"/>
        </w:rPr>
        <w:t>Global insurance report 2025: Growth and relevance in life and beyond</w:t>
      </w:r>
      <w:r>
        <w:rPr>
          <w:rFonts w:ascii="Times New Roman" w:hAnsi="Times New Roman" w:eastAsia="Times New Roman"/>
          <w:sz w:val="24"/>
        </w:rPr>
        <w:t>. https://www.mckinsey.com/industries/financial-services/our-insights/global-insurance-report-2025-growth-and-relevance-in-life-and-beyond</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Star candidate</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Emerging Star if breadth can be translated into profitable dominance</w:t>
            </w:r>
          </w:p>
        </w:tc>
        <w:tc>
          <w:tcPr>
            <w:tcW w:type="dxa" w:w="1234"/>
          </w:tcPr>
          <w:p>
            <w:pPr>
              <w:jc w:val="left"/>
            </w:pPr>
            <w:r/>
            <w:r>
              <w:rPr>
                <w:rFonts w:ascii="Times New Roman" w:hAnsi="Times New Roman" w:eastAsia="Times New Roman"/>
                <w:sz w:val="20"/>
              </w:rPr>
              <w:t>Rejected because scale still does not prove sustainable economics under tighter pricing discipline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Dog-like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New service adjacency beyond the core insurance offering</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