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China Life's Product and Service Portfolio: A Strategic Evaluation through the BCG Matrix and the Ansoff Matrix</w:t>
      </w:r>
    </w:p>
    <w:p>
      <w:pPr>
        <w:jc w:val="center"/>
      </w:pPr>
      <w:r>
        <w:rPr>
          <w:rFonts w:ascii="Times New Roman" w:hAnsi="Times New Roman" w:eastAsia="Times New Roman"/>
          <w:sz w:val="24"/>
        </w:rPr>
        <w:t>Word count (main body, excluding references and appendix): 2174</w:t>
      </w:r>
    </w:p>
    <w:p>
      <w:pPr>
        <w:pStyle w:val="Heading1"/>
        <w:jc w:val="left"/>
      </w:pPr>
      <w:r>
        <w:rPr>
          <w:rFonts w:ascii="Times New Roman" w:hAnsi="Times New Roman" w:eastAsia="Times New Roman"/>
          <w:b/>
          <w:sz w:val="24"/>
        </w:rPr>
        <w:t>1. Introduction and Methodological Justification</w:t>
      </w:r>
    </w:p>
    <w:p>
      <w:pPr>
        <w:ind w:firstLine="480"/>
        <w:jc w:val="both"/>
      </w:pPr>
      <w:r>
        <w:rPr>
          <w:rFonts w:ascii="Times New Roman" w:hAnsi="Times New Roman" w:eastAsia="Times New Roman"/>
          <w:sz w:val="24"/>
        </w:rPr>
        <w:t>China Life is a useful portfolio case because it is a dominant incumbent. In 2024, China’s insurance industry generated RMB5.7 trillion in premium income and China Life reported gross written premiums of RMB671,457 million, embedded value of RMB1,401,146 million, about 326 million long-term policies in force and a sales force of 666,000 people (China Insurance Association, 2025; China Life Insurance Company Limited, 2025a). The strategic issue is how resources should be reallocated as ageing, pension reform, health demand and channel transformation reshape Chinese life insurance.</w:t>
      </w:r>
    </w:p>
    <w:p>
      <w:pPr>
        <w:ind w:firstLine="480"/>
        <w:jc w:val="both"/>
      </w:pPr>
      <w:r>
        <w:rPr>
          <w:rFonts w:ascii="Times New Roman" w:hAnsi="Times New Roman" w:eastAsia="Times New Roman"/>
          <w:sz w:val="24"/>
        </w:rPr>
        <w:t>The report retains the BCG Matrix and the Ansoff Matrix, but only after narrowing their use. BCG is imperfect in insurance because relative market share and market growth do not map neatly onto value creation: persistence, claims experience, distribution quality and capital intensity also matter (Armstrong &amp; Brodie, 1994; Morrison &amp; Wensley, 1991). However, abandoning BCG entirely would weaken portfolio discipline. It remains useful as a resource-ordering heuristic if the units are defined carefully. For that reason, this report uses only China Life’s four formally disclosed insurance categories as BCG units: life insurance, annuity insurance, health insurance and accident insurance (China Life Insurance Company Limited, 2025a). The senior-care ecosystem is excluded from the BCG matrix and treated instead as a related-diversification platform under Ansoff.</w:t>
      </w:r>
    </w:p>
    <w:p>
      <w:pPr>
        <w:ind w:firstLine="480"/>
        <w:jc w:val="both"/>
      </w:pPr>
      <w:r>
        <w:rPr>
          <w:rFonts w:ascii="Times New Roman" w:hAnsi="Times New Roman" w:eastAsia="Times New Roman"/>
          <w:sz w:val="24"/>
        </w:rPr>
        <w:t>The classification follows three rules. First, the scale or relative-share proxy is judged through disclosed market position, business scale and peer comparison. Second, the growth proxy is judged through external demand or policy evidence rather than management aspiration alone. Third, profitability and capital discipline act as a caveat, so a line is not treated as a full Star unless growth is matched by at least some evidence of defensible position and manageable economics. Classification confidence is highest for life insurance, moderate for annuity and health insurance, and lowest for accident insurance.</w:t>
      </w:r>
    </w:p>
    <w:p>
      <w:pPr>
        <w:pStyle w:val="Heading1"/>
        <w:jc w:val="left"/>
      </w:pPr>
      <w:r>
        <w:rPr>
          <w:rFonts w:ascii="Times New Roman" w:hAnsi="Times New Roman" w:eastAsia="Times New Roman"/>
          <w:b/>
          <w:sz w:val="24"/>
        </w:rPr>
        <w:t>2. BCG Matrix Analysis</w:t>
      </w:r>
    </w:p>
    <w:p>
      <w:pPr>
        <w:ind w:firstLine="480"/>
        <w:jc w:val="both"/>
      </w:pPr>
      <w:r>
        <w:rPr>
          <w:rFonts w:ascii="Times New Roman" w:hAnsi="Times New Roman" w:eastAsia="Times New Roman"/>
          <w:sz w:val="24"/>
        </w:rPr>
        <w:t>Using four disclosed insurance categories creates a cleaner portfolio framework than earlier mixed units. The labels remain proxy-based, but they can still guide priorities if alternative interpretations are made explicit.</w:t>
      </w:r>
    </w:p>
    <w:p>
      <w:pPr>
        <w:ind w:firstLine="480"/>
        <w:jc w:val="both"/>
      </w:pPr>
      <w:r>
        <w:rPr>
          <w:rFonts w:ascii="Times New Roman" w:hAnsi="Times New Roman" w:eastAsia="Times New Roman"/>
          <w:sz w:val="24"/>
        </w:rPr>
        <w:t>### Life Insurance: Cash Cow</w:t>
      </w:r>
    </w:p>
    <w:p>
      <w:pPr>
        <w:ind w:firstLine="480"/>
        <w:jc w:val="both"/>
      </w:pPr>
      <w:r>
        <w:rPr>
          <w:rFonts w:ascii="Times New Roman" w:hAnsi="Times New Roman" w:eastAsia="Times New Roman"/>
          <w:sz w:val="24"/>
        </w:rPr>
        <w:t>Life insurance is the clearest Cash Cow. China Life remains a leading life insurer, and its scale, embedded value and distribution capacity indicate a mature but highly productive core (China Life Insurance Company Limited, 2025a). The China Insurance Association (2024) reported that life insurers’ premium income grew by 8.85% in 2023 and that 13-month policy persistency reached 93.47%, suggesting that the sector’s challenge is quality and efficiency rather than explosive growth. McKinsey &amp; Company (2024) likewise argues that life insurers are searching for relevance beyond traditional products. Relative to Ping An and CPIC, China Life’s clearest advantage still lies in scale and embedded value rather than service-led ecosystem monetisation (China Pacific Insurance (Group) Co., Ltd., 2025; Ping An Insurance (Group) Company of China, Ltd., 2025a, 2025b).</w:t>
      </w:r>
    </w:p>
    <w:p>
      <w:pPr>
        <w:ind w:firstLine="480"/>
        <w:jc w:val="both"/>
      </w:pPr>
      <w:r>
        <w:rPr>
          <w:rFonts w:ascii="Times New Roman" w:hAnsi="Times New Roman" w:eastAsia="Times New Roman"/>
          <w:sz w:val="24"/>
        </w:rPr>
        <w:t>An alternative reading would treat life insurance as a low-growth legacy line that deserves little new attention. That interpretation is rejected because China Life’s relative position and cash-generation remain stronger here than in any other line. The more persuasive concern is not whether life belongs in the core, but whether its cash-generation quality could weaken if interest-rate conditions, regulation or agent productivity deteriorate. Cash Cow should therefore mean disciplined defence, not assumed stability.</w:t>
      </w:r>
    </w:p>
    <w:p>
      <w:pPr>
        <w:ind w:firstLine="480"/>
        <w:jc w:val="both"/>
      </w:pPr>
      <w:r>
        <w:rPr>
          <w:rFonts w:ascii="Times New Roman" w:hAnsi="Times New Roman" w:eastAsia="Times New Roman"/>
          <w:sz w:val="24"/>
        </w:rPr>
        <w:t>### Annuity Insurance: Borderline Star</w:t>
      </w:r>
    </w:p>
    <w:p>
      <w:pPr>
        <w:ind w:firstLine="480"/>
        <w:jc w:val="both"/>
      </w:pPr>
      <w:r>
        <w:rPr>
          <w:rFonts w:ascii="Times New Roman" w:hAnsi="Times New Roman" w:eastAsia="Times New Roman"/>
          <w:sz w:val="24"/>
        </w:rPr>
        <w:t>Annuity insurance is best seen as a borderline Star. China Life states that its third-pillar private pension and commercial annuity insurance businesses ranked first in the industry and that commercial annuity insurance accelerated in 2024 (China Life Insurance Company Limited, 2025a). Late-2024 policy changes confirmed commercial insurance annuities as a core third-pillar category and implemented the personal pension system nationwide, reinforcing retirement-related demand (State Council of the People’s Republic of China, 2024a, 2024b; Chen et al., 2023; Cousins, 2025).</w:t>
      </w:r>
    </w:p>
    <w:p>
      <w:pPr>
        <w:ind w:firstLine="480"/>
        <w:jc w:val="both"/>
      </w:pPr>
      <w:r>
        <w:rPr>
          <w:rFonts w:ascii="Times New Roman" w:hAnsi="Times New Roman" w:eastAsia="Times New Roman"/>
          <w:sz w:val="24"/>
        </w:rPr>
        <w:t>An alternative interpretation is that annuity insurance remains a Question Mark because policy tailwinds do not necessarily imply profitable conversion. This interpretation is partly persuasive, but it is not adopted because China Life’s disclosed first-place position in third-pillar private pension and commercial annuity provides stronger evidence of relative position than exists in health insurance. By contrast, Ping An and CPIC report broader retirement-service footprints across multiple cities, so China Life’s strongest advantage still appears closer to product-level pension positioning than to full-chain ecosystem monetisation (China Pacific Insurance (Group) Co., Ltd., 2025; Ping An Insurance (Group) Company of China, Ltd., 2025a, 2025b). The line is therefore closer to Star than to Question Mark, but not strong enough to lose the qualifier.</w:t>
      </w:r>
    </w:p>
    <w:p>
      <w:pPr>
        <w:ind w:firstLine="480"/>
        <w:jc w:val="both"/>
      </w:pPr>
      <w:r>
        <w:rPr>
          <w:rFonts w:ascii="Times New Roman" w:hAnsi="Times New Roman" w:eastAsia="Times New Roman"/>
          <w:sz w:val="24"/>
        </w:rPr>
        <w:t>### Health Insurance: Question Mark</w:t>
      </w:r>
    </w:p>
    <w:p>
      <w:pPr>
        <w:ind w:firstLine="480"/>
        <w:jc w:val="both"/>
      </w:pPr>
      <w:r>
        <w:rPr>
          <w:rFonts w:ascii="Times New Roman" w:hAnsi="Times New Roman" w:eastAsia="Times New Roman"/>
          <w:sz w:val="24"/>
        </w:rPr>
        <w:t>Health insurance is best classified as a Question Mark. Commercial health insurance, LTCI-related insurance and supplementary medical protection remain structurally important as China ages and public-private care arrangements deepen (Choi et al., 2018; Cousins, 2025; Yang et al., 2023; Zhu &amp; Bai, 2025). The National Healthcare Security Administration (2026) describes long-term care insurance as moving from pilot exploration to accelerated institutionalisation. In 2024 China Life participated in over 200 supplementary major medical expense programs, 80 long-term care insurance programs and over 130 city-customised commercial medical insurance projects (China Life Insurance Company Limited, 2025a).</w:t>
      </w:r>
    </w:p>
    <w:p>
      <w:pPr>
        <w:ind w:firstLine="480"/>
        <w:jc w:val="both"/>
      </w:pPr>
      <w:r>
        <w:rPr>
          <w:rFonts w:ascii="Times New Roman" w:hAnsi="Times New Roman" w:eastAsia="Times New Roman"/>
          <w:sz w:val="24"/>
        </w:rPr>
        <w:t>A more optimistic interpretation would classify health insurance as an emerging Star. This is rejected at present because programme breadth and policy participation do not yet demonstrate profitable dominance under tighter pricing discipline, especially when peers show deeper service integration. Choi et al. (2018) show that the Chinese commercial health insurance market is shaped by claims management, product design and policy conditions as much as by scale. Regulation points in the same direction: a 2025 NFRA notice on city commercial medical insurance stressed precise pricing, commercial sustainability and actuarial discipline rather than growth at any cost (State Council of the People’s Republic of China, 2025). Ping An’s disclosure of more than 31 million paying retail customers for health and senior-care services indicates a stronger monetisation position than China Life’s programme-participation evidence alone (Ping An Insurance (Group) Company of China, Ltd., 2025a). If underwriting, claims management and digital pricing improve, health insurance could evolve toward Star status; if they do not, growth may create complexity rather than value.</w:t>
      </w:r>
    </w:p>
    <w:p>
      <w:pPr>
        <w:ind w:firstLine="480"/>
        <w:jc w:val="both"/>
      </w:pPr>
      <w:r>
        <w:rPr>
          <w:rFonts w:ascii="Times New Roman" w:hAnsi="Times New Roman" w:eastAsia="Times New Roman"/>
          <w:sz w:val="24"/>
        </w:rPr>
        <w:t>### Accident Insurance: Low-Priority Support Line</w:t>
      </w:r>
    </w:p>
    <w:p>
      <w:pPr>
        <w:ind w:firstLine="480"/>
        <w:jc w:val="both"/>
      </w:pPr>
      <w:r>
        <w:rPr>
          <w:rFonts w:ascii="Times New Roman" w:hAnsi="Times New Roman" w:eastAsia="Times New Roman"/>
          <w:sz w:val="24"/>
        </w:rPr>
        <w:t>Accident insurance is the weakest line in BCG terms and is best treated as a low-priority support line. China Life still offers it as part of a wider protection portfolio, which gives it value for bundling, cross-selling and inclusion (China Life Insurance Company Limited, 2025a, 2025b). However, there is little evidence of stand-alone growth leadership or clear differentiation relative to life, annuity or health insurance.</w:t>
      </w:r>
    </w:p>
    <w:p>
      <w:pPr>
        <w:ind w:firstLine="480"/>
        <w:jc w:val="both"/>
      </w:pPr>
      <w:r>
        <w:rPr>
          <w:rFonts w:ascii="Times New Roman" w:hAnsi="Times New Roman" w:eastAsia="Times New Roman"/>
          <w:sz w:val="24"/>
        </w:rPr>
        <w:t>An alternative interpretation would treat accident insurance as a neutral support product that sits outside BCG rather than within it. That view is not adopted because support products still absorb distribution effort, managerial attention and some capital. The stronger conclusion is that accident insurance should stay in the portfolio mainly for completion and bundling, not for growth investment.</w:t>
      </w:r>
    </w:p>
    <w:p>
      <w:pPr>
        <w:ind w:firstLine="480"/>
        <w:jc w:val="both"/>
      </w:pPr>
      <w:r>
        <w:rPr>
          <w:rFonts w:ascii="Times New Roman" w:hAnsi="Times New Roman" w:eastAsia="Times New Roman"/>
          <w:sz w:val="24"/>
        </w:rPr>
        <w:t>China Life, Ping An and CPIC are not interchangeable peers: China Life is strongest in scale and pension positioning, Ping An in ecosystem monetisation, and CPIC in broadening retirement-service competition. China Life should therefore borrow adjacency logic selectively, not imitate a full ecosystem model.</w:t>
      </w:r>
    </w:p>
    <w:p>
      <w:pPr>
        <w:pStyle w:val="Heading1"/>
        <w:jc w:val="left"/>
      </w:pPr>
      <w:r>
        <w:rPr>
          <w:rFonts w:ascii="Times New Roman" w:hAnsi="Times New Roman" w:eastAsia="Times New Roman"/>
          <w:b/>
          <w:sz w:val="24"/>
        </w:rPr>
        <w:t>3. Ansoff Matrix Analysis and Ranked Strategic Choice</w:t>
      </w:r>
    </w:p>
    <w:p>
      <w:pPr>
        <w:ind w:firstLine="480"/>
        <w:jc w:val="both"/>
      </w:pPr>
      <w:r>
        <w:rPr>
          <w:rFonts w:ascii="Times New Roman" w:hAnsi="Times New Roman" w:eastAsia="Times New Roman"/>
          <w:sz w:val="24"/>
        </w:rPr>
        <w:t>The Ansoff Matrix is more useful here as a ranking framework than as four parallel descriptions. In this case, market penetration means existing products to existing customers; product development means adapted or new insurance solutions for the existing customer base; market development means extending current capabilities into new customer segments and adjacent demand spaces; and related diversification means moving into service adjacencies beyond the core insurance product. The four routes are not equally attractive for China Life. Market penetration is constrained by maturity of the domestic life core, product development is favoured because the main gap is relevance rather than reach, market development is limited by the firm’s already extensive national presence, and related diversification offers higher long-term upside but also the highest capability and capital stretch.</w:t>
      </w:r>
    </w:p>
    <w:p>
      <w:pPr>
        <w:ind w:firstLine="480"/>
        <w:jc w:val="both"/>
      </w:pPr>
      <w:r>
        <w:rPr>
          <w:rFonts w:ascii="Times New Roman" w:hAnsi="Times New Roman" w:eastAsia="Times New Roman"/>
          <w:sz w:val="24"/>
        </w:rPr>
        <w:t>### 1. Product Development</w:t>
      </w:r>
    </w:p>
    <w:p>
      <w:pPr>
        <w:ind w:firstLine="480"/>
        <w:jc w:val="both"/>
      </w:pPr>
      <w:r>
        <w:rPr>
          <w:rFonts w:ascii="Times New Roman" w:hAnsi="Times New Roman" w:eastAsia="Times New Roman"/>
          <w:sz w:val="24"/>
        </w:rPr>
        <w:t>Product development ranks first because it offers the strongest near-term return with the lowest capability stretch. China Life already upgraded more than 100 products in 2024 and can use its installed customer base, channels and trust to extend annuity and health offerings (China Life Insurance Company Limited, 2025a). Product development is therefore the strongest immediate route because China Life’s main bottleneck is product-service relevance within an already extensive customer base, not lack of reach. Two priority moves are especially defensible: a pre-retirement bundle combining commercial annuity accumulation with health or long-term care protection, and a top-up health and care-referral offer for existing policyholders.</w:t>
      </w:r>
    </w:p>
    <w:p>
      <w:pPr>
        <w:ind w:firstLine="480"/>
        <w:jc w:val="both"/>
      </w:pPr>
      <w:r>
        <w:rPr>
          <w:rFonts w:ascii="Times New Roman" w:hAnsi="Times New Roman" w:eastAsia="Times New Roman"/>
          <w:sz w:val="24"/>
        </w:rPr>
        <w:t>### 2. Related Diversification</w:t>
      </w:r>
    </w:p>
    <w:p>
      <w:pPr>
        <w:ind w:firstLine="480"/>
        <w:jc w:val="both"/>
      </w:pPr>
      <w:r>
        <w:rPr>
          <w:rFonts w:ascii="Times New Roman" w:hAnsi="Times New Roman" w:eastAsia="Times New Roman"/>
          <w:sz w:val="24"/>
        </w:rPr>
        <w:t>Related diversification ranks second because the strategic upside is high, but the return horizon is longer and the implementation burden is materially higher. The senior-care ecosystem belongs here. It cuts across annuity and health insurance, and China Life already has 17 institutional elderly-care projects across 14 cities and three senior-care product lines in operation (China Life Insurance Company Limited, 2025a, 2025b). It ranks below product development not because the upside is lower, but because capability stretch, capital exposure and payback uncertainty are materially higher. China Life’s most defensible path is therefore not to copy Ping An’s ecosystem model wholesale, but to extend from scale-and-pension strength into selectively integrated service adjacencies. If ecosystem expansion weakens core return metrics, capital should be reallocated back toward product-led growth; if partnership delivery improves service integration without requiring owned asset expansion, that route should dominate.</w:t>
      </w:r>
    </w:p>
    <w:p>
      <w:pPr>
        <w:ind w:firstLine="480"/>
        <w:jc w:val="both"/>
      </w:pPr>
      <w:r>
        <w:rPr>
          <w:rFonts w:ascii="Times New Roman" w:hAnsi="Times New Roman" w:eastAsia="Times New Roman"/>
          <w:sz w:val="24"/>
        </w:rPr>
        <w:t>### 3. Market Development</w:t>
      </w:r>
    </w:p>
    <w:p>
      <w:pPr>
        <w:ind w:firstLine="480"/>
        <w:jc w:val="both"/>
      </w:pPr>
      <w:r>
        <w:rPr>
          <w:rFonts w:ascii="Times New Roman" w:hAnsi="Times New Roman" w:eastAsia="Times New Roman"/>
          <w:sz w:val="24"/>
        </w:rPr>
        <w:t>Market development ranks third because the fit is selective and the likely return is moderate. China Life can broaden reach into pre-retirement households, older customers, community channels, bancassurance-led retirement segments and public-private health schemes. Yet the issue is whether current capabilities can adapt without margin dilution.</w:t>
      </w:r>
    </w:p>
    <w:p>
      <w:pPr>
        <w:ind w:firstLine="480"/>
        <w:jc w:val="both"/>
      </w:pPr>
      <w:r>
        <w:rPr>
          <w:rFonts w:ascii="Times New Roman" w:hAnsi="Times New Roman" w:eastAsia="Times New Roman"/>
          <w:sz w:val="24"/>
        </w:rPr>
        <w:t>### 4. Market Penetration</w:t>
      </w:r>
    </w:p>
    <w:p>
      <w:pPr>
        <w:ind w:firstLine="480"/>
        <w:jc w:val="both"/>
      </w:pPr>
      <w:r>
        <w:rPr>
          <w:rFonts w:ascii="Times New Roman" w:hAnsi="Times New Roman" w:eastAsia="Times New Roman"/>
          <w:sz w:val="24"/>
        </w:rPr>
        <w:t>Market penetration ranks fourth because its implementation burden is lowest, but its strategic upside is also lowest. It can improve the Cash Cow through better retention, agent productivity and claims service. Even so, penetration remains defensive rather than transformative.</w:t>
      </w:r>
    </w:p>
    <w:p>
      <w:pPr>
        <w:pStyle w:val="Heading1"/>
        <w:jc w:val="left"/>
      </w:pPr>
      <w:r>
        <w:rPr>
          <w:rFonts w:ascii="Times New Roman" w:hAnsi="Times New Roman" w:eastAsia="Times New Roman"/>
          <w:b/>
          <w:sz w:val="24"/>
        </w:rPr>
        <w:t>4. Strategic Direction, Organisational Learning and Action Priorities</w:t>
      </w:r>
    </w:p>
    <w:p>
      <w:pPr>
        <w:ind w:firstLine="480"/>
        <w:jc w:val="both"/>
      </w:pPr>
      <w:r>
        <w:rPr>
          <w:rFonts w:ascii="Times New Roman" w:hAnsi="Times New Roman" w:eastAsia="Times New Roman"/>
          <w:sz w:val="24"/>
        </w:rPr>
        <w:t>The combined logic of BCG and Ansoff produces a clear recommendation. China Life should defend life insurance as a Cash Cow and funding base; prioritise annuity and health product development; use the senior-care ecosystem as a related-diversification platform rather than a stand-alone growth line; and avoid overcommitting capital to accident insurance beyond its bundling and inclusion role.</w:t>
      </w:r>
    </w:p>
    <w:p>
      <w:pPr>
        <w:ind w:firstLine="480"/>
        <w:jc w:val="both"/>
      </w:pPr>
      <w:r>
        <w:rPr>
          <w:rFonts w:ascii="Times New Roman" w:hAnsi="Times New Roman" w:eastAsia="Times New Roman"/>
          <w:sz w:val="24"/>
        </w:rPr>
        <w:t>Organisational learning is not just an implementation detail here; it changes strategy selection itself. Following March (1991), China Life faces an exploration-exploitation problem: over-exploiting the mature life core may protect short-run efficiency but weaken future relevance, while over-exploring ecosystem assets may destroy value before the organisation learns how to monetise them. The company therefore needs learning loops to test whether annuity-health bundles improve retention and conversion, whether claims and service data sharpen pricing discipline, and whether partnership delivery can create value without asset-heavy drag. Strong evidence should deepen commitment, mixed evidence should keep pilots capped, and weak evidence should redirect capital back toward product-led growth.</w:t>
      </w:r>
    </w:p>
    <w:p>
      <w:pPr>
        <w:ind w:firstLine="480"/>
        <w:jc w:val="both"/>
      </w:pPr>
      <w:r>
        <w:rPr>
          <w:rFonts w:ascii="Times New Roman" w:hAnsi="Times New Roman" w:eastAsia="Times New Roman"/>
          <w:sz w:val="24"/>
        </w:rPr>
        <w:t>The action plan should therefore be phased. In the next 12 months, China Life should treat the life insurance core as a performance engine, cap capital reallocation to ecosystem pilots, and shift branch and agent scorecards away from premium volume alone toward value of one year’s sales, agent productivity, persistence and capital efficiency. Over the same period, it should standardise customer data, claims workflows and service referral processes in cities where it already operates elderly-care projects. From months 12 to 24, it should pilot bundled propositions combining annuity, health cover and care-related services, while a selected cohort of agents receives retirement-planning certification and the China Life App integrates claims and targeted cross-sell prompts. From months 24 to 36, rollout should scale only if evidence improves.</w:t>
      </w:r>
    </w:p>
    <w:p>
      <w:pPr>
        <w:ind w:firstLine="480"/>
        <w:jc w:val="both"/>
      </w:pPr>
      <w:r>
        <w:rPr>
          <w:rFonts w:ascii="Times New Roman" w:hAnsi="Times New Roman" w:eastAsia="Times New Roman"/>
          <w:sz w:val="24"/>
        </w:rPr>
        <w:t>KPIs should also be explicit. Core metrics should include value of one year’s sales, persistence, agent productivity and capital efficiency. Ecosystem pilots should be judged through cross-sell ratio, ecosystem-linked new business, elderly retention and claims turnaround time. Go/no-go rules should also be clear: if core efficiency fails to improve after 12 months, expansionary initiatives should pause; if ecosystem expansion weakens core return metrics, capital should be reallocated back toward product-led growth; and if digital routing and agent incentives conflict, redesign should prioritise whichever side better protects retention and value of new business.</w:t>
      </w:r>
    </w:p>
    <w:p>
      <w:pPr>
        <w:pStyle w:val="Heading1"/>
        <w:jc w:val="left"/>
      </w:pPr>
      <w:r>
        <w:rPr>
          <w:rFonts w:ascii="Times New Roman" w:hAnsi="Times New Roman" w:eastAsia="Times New Roman"/>
          <w:b/>
          <w:sz w:val="24"/>
        </w:rPr>
        <w:t>5. Conclusion</w:t>
      </w:r>
    </w:p>
    <w:p>
      <w:pPr>
        <w:ind w:firstLine="480"/>
        <w:jc w:val="both"/>
      </w:pPr>
      <w:r>
        <w:rPr>
          <w:rFonts w:ascii="Times New Roman" w:hAnsi="Times New Roman" w:eastAsia="Times New Roman"/>
          <w:sz w:val="24"/>
        </w:rPr>
        <w:t>In BCG terms, life insurance is the clearest Cash Cow, annuity insurance is best seen as a borderline Star, health insurance is a Question Mark, and accident insurance should remain a low-priority support line. The senior-care ecosystem should not be treated as a separate BCG unit, but as a related-diversification platform under Ansoff.</w:t>
      </w:r>
    </w:p>
    <w:p>
      <w:pPr>
        <w:ind w:firstLine="480"/>
        <w:jc w:val="both"/>
      </w:pPr>
      <w:r>
        <w:rPr>
          <w:rFonts w:ascii="Times New Roman" w:hAnsi="Times New Roman" w:eastAsia="Times New Roman"/>
          <w:sz w:val="24"/>
        </w:rPr>
        <w:t>The strategic direction is therefore clear. China Life should prioritise annuity and health product development now because that is the highest-fit and shortest-horizon growth route; invest in senior-care diversification selectively and on a partnership-led basis; defend but not overfund the mature life core; and avoid treating accident insurance as an independent growth engine. This is not the lowest-risk path, but it is the most defensible one under China Life’s resource profile and the current structure of the Chinese life insurance market.</w:t>
      </w:r>
    </w:p>
    <w:p>
      <w:pPr>
        <w:pStyle w:val="Heading1"/>
        <w:jc w:val="left"/>
      </w:pPr>
      <w:r>
        <w:rPr>
          <w:rFonts w:ascii="Times New Roman" w:hAnsi="Times New Roman" w:eastAsia="Times New Roman"/>
          <w:b/>
          <w:sz w:val="24"/>
        </w:rPr>
        <w:t>References</w:t>
      </w:r>
    </w:p>
    <w:p>
      <w:pPr>
        <w:ind w:left="720" w:hanging="720"/>
        <w:jc w:val="both"/>
      </w:pPr>
      <w:r>
        <w:rPr>
          <w:rFonts w:ascii="Times New Roman" w:hAnsi="Times New Roman" w:eastAsia="Times New Roman"/>
          <w:sz w:val="24"/>
        </w:rPr>
        <w:t xml:space="preserve">Ansoff, H. I. (1957). Strategies for diversification. </w:t>
      </w:r>
      <w:r>
        <w:rPr>
          <w:rFonts w:ascii="Times New Roman" w:hAnsi="Times New Roman" w:eastAsia="Times New Roman"/>
          <w:i/>
          <w:sz w:val="24"/>
        </w:rPr>
        <w:t>Harvard Business Review, 35</w:t>
      </w:r>
      <w:r>
        <w:rPr>
          <w:rFonts w:ascii="Times New Roman" w:hAnsi="Times New Roman" w:eastAsia="Times New Roman"/>
          <w:sz w:val="24"/>
        </w:rPr>
        <w:t>(5), 113-124.</w:t>
      </w:r>
    </w:p>
    <w:p>
      <w:pPr>
        <w:ind w:left="720" w:hanging="720"/>
        <w:jc w:val="both"/>
      </w:pPr>
      <w:r>
        <w:rPr>
          <w:rFonts w:ascii="Times New Roman" w:hAnsi="Times New Roman" w:eastAsia="Times New Roman"/>
          <w:sz w:val="24"/>
        </w:rPr>
        <w:t xml:space="preserve">Armstrong, J. S., &amp; Brodie, R. J. (1994). Effects of portfolio planning methods on decision making: Experimental results. </w:t>
      </w:r>
      <w:r>
        <w:rPr>
          <w:rFonts w:ascii="Times New Roman" w:hAnsi="Times New Roman" w:eastAsia="Times New Roman"/>
          <w:i/>
          <w:sz w:val="24"/>
        </w:rPr>
        <w:t>International Journal of Research in Marketing, 11</w:t>
      </w:r>
      <w:r>
        <w:rPr>
          <w:rFonts w:ascii="Times New Roman" w:hAnsi="Times New Roman" w:eastAsia="Times New Roman"/>
          <w:sz w:val="24"/>
        </w:rPr>
        <w:t>(1), 73-84. https://doi.org/10.1016/0167-8116(94)90035-3</w:t>
      </w:r>
    </w:p>
    <w:p>
      <w:pPr>
        <w:ind w:left="720" w:hanging="720"/>
        <w:jc w:val="both"/>
      </w:pPr>
      <w:r>
        <w:rPr>
          <w:rFonts w:ascii="Times New Roman" w:hAnsi="Times New Roman" w:eastAsia="Times New Roman"/>
          <w:sz w:val="24"/>
        </w:rPr>
        <w:t xml:space="preserve">Barney, J. (1991). Firm resources and sustained competitive advantage. </w:t>
      </w:r>
      <w:r>
        <w:rPr>
          <w:rFonts w:ascii="Times New Roman" w:hAnsi="Times New Roman" w:eastAsia="Times New Roman"/>
          <w:i/>
          <w:sz w:val="24"/>
        </w:rPr>
        <w:t>Journal of Management, 17</w:t>
      </w:r>
      <w:r>
        <w:rPr>
          <w:rFonts w:ascii="Times New Roman" w:hAnsi="Times New Roman" w:eastAsia="Times New Roman"/>
          <w:sz w:val="24"/>
        </w:rPr>
        <w:t>(1), 99-120. https://doi.org/10.1177/014920639101700108</w:t>
      </w:r>
    </w:p>
    <w:p>
      <w:pPr>
        <w:ind w:left="720" w:hanging="720"/>
        <w:jc w:val="both"/>
      </w:pPr>
      <w:r>
        <w:rPr>
          <w:rFonts w:ascii="Times New Roman" w:hAnsi="Times New Roman" w:eastAsia="Times New Roman"/>
          <w:sz w:val="24"/>
        </w:rPr>
        <w:t xml:space="preserve">Chen, S., Li, L., Jiao, L., &amp; Wang, C. (2023). Long-term care insurance and the future of healthy aging in China. </w:t>
      </w:r>
      <w:r>
        <w:rPr>
          <w:rFonts w:ascii="Times New Roman" w:hAnsi="Times New Roman" w:eastAsia="Times New Roman"/>
          <w:i/>
          <w:sz w:val="24"/>
        </w:rPr>
        <w:t>Nature Aging, 3</w:t>
      </w:r>
      <w:r>
        <w:rPr>
          <w:rFonts w:ascii="Times New Roman" w:hAnsi="Times New Roman" w:eastAsia="Times New Roman"/>
          <w:sz w:val="24"/>
        </w:rPr>
        <w:t>(12), 1465-1468. https://doi.org/10.1038/s43587-023-00540-9</w:t>
      </w:r>
    </w:p>
    <w:p>
      <w:pPr>
        <w:ind w:left="720" w:hanging="720"/>
        <w:jc w:val="both"/>
      </w:pPr>
      <w:r>
        <w:rPr>
          <w:rFonts w:ascii="Times New Roman" w:hAnsi="Times New Roman" w:eastAsia="Times New Roman"/>
          <w:sz w:val="24"/>
        </w:rPr>
        <w:t>China Insurance Association. (2024, December 31). 2023年度保险公司法人机构经营状况数据解读 [Interpretation of 2023 operating data of legal-entity insurance companies]. https://www.iachina.cn/art/2024/12/31/art_22_108139.html</w:t>
      </w:r>
    </w:p>
    <w:p>
      <w:pPr>
        <w:ind w:left="720" w:hanging="720"/>
        <w:jc w:val="both"/>
      </w:pPr>
      <w:r>
        <w:rPr>
          <w:rFonts w:ascii="Times New Roman" w:hAnsi="Times New Roman" w:eastAsia="Times New Roman"/>
          <w:sz w:val="24"/>
        </w:rPr>
        <w:t>China Insurance Association. (2025, April 27). 中国保险行业协会发布“中国保险业2024年度十件大事” [China Insurance Association releases the top ten events of China’s insurance industry in 2024]. https://www.iachina.cn/art/2025/4/27/art_22_108350.html</w:t>
      </w:r>
    </w:p>
    <w:p>
      <w:pPr>
        <w:ind w:left="720" w:hanging="720"/>
        <w:jc w:val="both"/>
      </w:pPr>
      <w:r>
        <w:rPr>
          <w:rFonts w:ascii="Times New Roman" w:hAnsi="Times New Roman" w:eastAsia="Times New Roman"/>
          <w:sz w:val="24"/>
        </w:rPr>
        <w:t xml:space="preserve">China Life Insurance Company Limited. (2025a, April 23). </w:t>
      </w:r>
      <w:r>
        <w:rPr>
          <w:rFonts w:ascii="Times New Roman" w:hAnsi="Times New Roman" w:eastAsia="Times New Roman"/>
          <w:i/>
          <w:sz w:val="24"/>
        </w:rPr>
        <w:t>Annual report 2024</w:t>
      </w:r>
      <w:r>
        <w:rPr>
          <w:rFonts w:ascii="Times New Roman" w:hAnsi="Times New Roman" w:eastAsia="Times New Roman"/>
          <w:sz w:val="24"/>
        </w:rPr>
        <w:t>. https://www1.hkexnews.hk/listedco/listconews/sehk/2025/0423/2025042300417.pdf</w:t>
      </w:r>
    </w:p>
    <w:p>
      <w:pPr>
        <w:ind w:left="720" w:hanging="720"/>
        <w:jc w:val="both"/>
      </w:pPr>
      <w:r>
        <w:rPr>
          <w:rFonts w:ascii="Times New Roman" w:hAnsi="Times New Roman" w:eastAsia="Times New Roman"/>
          <w:sz w:val="24"/>
        </w:rPr>
        <w:t xml:space="preserve">China Life Insurance Company Limited. (2025b, March 26). </w:t>
      </w:r>
      <w:r>
        <w:rPr>
          <w:rFonts w:ascii="Times New Roman" w:hAnsi="Times New Roman" w:eastAsia="Times New Roman"/>
          <w:i/>
          <w:sz w:val="24"/>
        </w:rPr>
        <w:t>2024 ESG &amp; social responsibility report</w:t>
      </w:r>
      <w:r>
        <w:rPr>
          <w:rFonts w:ascii="Times New Roman" w:hAnsi="Times New Roman" w:eastAsia="Times New Roman"/>
          <w:sz w:val="24"/>
        </w:rPr>
        <w:t>. https://www.e-chinalife.com/upload/resources/file/2025/03/26/1.pdf</w:t>
      </w:r>
    </w:p>
    <w:p>
      <w:pPr>
        <w:ind w:left="720" w:hanging="720"/>
        <w:jc w:val="both"/>
      </w:pPr>
      <w:r>
        <w:rPr>
          <w:rFonts w:ascii="Times New Roman" w:hAnsi="Times New Roman" w:eastAsia="Times New Roman"/>
          <w:sz w:val="24"/>
        </w:rPr>
        <w:t xml:space="preserve">China Pacific Insurance (Group) Co., Ltd. (2025, April 22). </w:t>
      </w:r>
      <w:r>
        <w:rPr>
          <w:rFonts w:ascii="Times New Roman" w:hAnsi="Times New Roman" w:eastAsia="Times New Roman"/>
          <w:i/>
          <w:sz w:val="24"/>
        </w:rPr>
        <w:t>2024 annual report</w:t>
      </w:r>
      <w:r>
        <w:rPr>
          <w:rFonts w:ascii="Times New Roman" w:hAnsi="Times New Roman" w:eastAsia="Times New Roman"/>
          <w:sz w:val="24"/>
        </w:rPr>
        <w:t>. https://www.cpic.com.cn/upload/resources/file/2025/04/22/86279.pdf</w:t>
      </w:r>
    </w:p>
    <w:p>
      <w:pPr>
        <w:ind w:left="720" w:hanging="720"/>
        <w:jc w:val="both"/>
      </w:pPr>
      <w:r>
        <w:rPr>
          <w:rFonts w:ascii="Times New Roman" w:hAnsi="Times New Roman" w:eastAsia="Times New Roman"/>
          <w:sz w:val="24"/>
        </w:rPr>
        <w:t xml:space="preserve">Choi, W. I., Shi, H., Bian, Y., &amp; Hu, H. (2018). Development of commercial health insurance in China: A systematic literature review. </w:t>
      </w:r>
      <w:r>
        <w:rPr>
          <w:rFonts w:ascii="Times New Roman" w:hAnsi="Times New Roman" w:eastAsia="Times New Roman"/>
          <w:i/>
          <w:sz w:val="24"/>
        </w:rPr>
        <w:t>BioMed Research International, 2018</w:t>
      </w:r>
      <w:r>
        <w:rPr>
          <w:rFonts w:ascii="Times New Roman" w:hAnsi="Times New Roman" w:eastAsia="Times New Roman"/>
          <w:sz w:val="24"/>
        </w:rPr>
        <w:t>, Article 3163746. https://doi.org/10.1155/2018/3163746</w:t>
      </w:r>
    </w:p>
    <w:p>
      <w:pPr>
        <w:ind w:left="720" w:hanging="720"/>
        <w:jc w:val="both"/>
      </w:pPr>
      <w:r>
        <w:rPr>
          <w:rFonts w:ascii="Times New Roman" w:hAnsi="Times New Roman" w:eastAsia="Times New Roman"/>
          <w:sz w:val="24"/>
        </w:rPr>
        <w:t xml:space="preserve">Cousins, M. (2025). Developing long-term care insurance in China: A review of structure, impact and future directions. </w:t>
      </w:r>
      <w:r>
        <w:rPr>
          <w:rFonts w:ascii="Times New Roman" w:hAnsi="Times New Roman" w:eastAsia="Times New Roman"/>
          <w:i/>
          <w:sz w:val="24"/>
        </w:rPr>
        <w:t>International Social Security Review, 78</w:t>
      </w:r>
      <w:r>
        <w:rPr>
          <w:rFonts w:ascii="Times New Roman" w:hAnsi="Times New Roman" w:eastAsia="Times New Roman"/>
          <w:sz w:val="24"/>
        </w:rPr>
        <w:t>(1), 83-103. https://doi.org/10.1111/issr.12383</w:t>
      </w:r>
    </w:p>
    <w:p>
      <w:pPr>
        <w:ind w:left="720" w:hanging="720"/>
        <w:jc w:val="both"/>
      </w:pPr>
      <w:r>
        <w:rPr>
          <w:rFonts w:ascii="Times New Roman" w:hAnsi="Times New Roman" w:eastAsia="Times New Roman"/>
          <w:sz w:val="24"/>
        </w:rPr>
        <w:t xml:space="preserve">Day, G. S. (1994). The capabilities of market-driven organizations. </w:t>
      </w:r>
      <w:r>
        <w:rPr>
          <w:rFonts w:ascii="Times New Roman" w:hAnsi="Times New Roman" w:eastAsia="Times New Roman"/>
          <w:i/>
          <w:sz w:val="24"/>
        </w:rPr>
        <w:t>Journal of Marketing, 58</w:t>
      </w:r>
      <w:r>
        <w:rPr>
          <w:rFonts w:ascii="Times New Roman" w:hAnsi="Times New Roman" w:eastAsia="Times New Roman"/>
          <w:sz w:val="24"/>
        </w:rPr>
        <w:t>(4), 37-52. https://doi.org/10.1177/002224299405800404</w:t>
      </w:r>
    </w:p>
    <w:p>
      <w:pPr>
        <w:ind w:left="720" w:hanging="720"/>
        <w:jc w:val="both"/>
      </w:pPr>
      <w:r>
        <w:rPr>
          <w:rFonts w:ascii="Times New Roman" w:hAnsi="Times New Roman" w:eastAsia="Times New Roman"/>
          <w:sz w:val="24"/>
        </w:rPr>
        <w:t xml:space="preserve">March, J. G. (1991). Exploration and exploitation in organizational learning. </w:t>
      </w:r>
      <w:r>
        <w:rPr>
          <w:rFonts w:ascii="Times New Roman" w:hAnsi="Times New Roman" w:eastAsia="Times New Roman"/>
          <w:i/>
          <w:sz w:val="24"/>
        </w:rPr>
        <w:t>Organization Science, 2</w:t>
      </w:r>
      <w:r>
        <w:rPr>
          <w:rFonts w:ascii="Times New Roman" w:hAnsi="Times New Roman" w:eastAsia="Times New Roman"/>
          <w:sz w:val="24"/>
        </w:rPr>
        <w:t>(1), 71-87. https://doi.org/10.1287/orsc.2.1.71</w:t>
      </w:r>
    </w:p>
    <w:p>
      <w:pPr>
        <w:ind w:left="720" w:hanging="720"/>
        <w:jc w:val="both"/>
      </w:pPr>
      <w:r>
        <w:rPr>
          <w:rFonts w:ascii="Times New Roman" w:hAnsi="Times New Roman" w:eastAsia="Times New Roman"/>
          <w:sz w:val="24"/>
        </w:rPr>
        <w:t xml:space="preserve">McKinsey &amp; Company. (2024, November 19). </w:t>
      </w:r>
      <w:r>
        <w:rPr>
          <w:rFonts w:ascii="Times New Roman" w:hAnsi="Times New Roman" w:eastAsia="Times New Roman"/>
          <w:i/>
          <w:sz w:val="24"/>
        </w:rPr>
        <w:t>Global insurance report 2025: Growth and relevance in life and beyond</w:t>
      </w:r>
      <w:r>
        <w:rPr>
          <w:rFonts w:ascii="Times New Roman" w:hAnsi="Times New Roman" w:eastAsia="Times New Roman"/>
          <w:sz w:val="24"/>
        </w:rPr>
        <w:t>. https://www.mckinsey.com/industries/financial-services/our-insights/global-insurance-report-2025-growth-and-relevance-in-life-and-beyond</w:t>
      </w:r>
    </w:p>
    <w:p>
      <w:pPr>
        <w:ind w:left="720" w:hanging="720"/>
        <w:jc w:val="both"/>
      </w:pPr>
      <w:r>
        <w:rPr>
          <w:rFonts w:ascii="Times New Roman" w:hAnsi="Times New Roman" w:eastAsia="Times New Roman"/>
          <w:sz w:val="24"/>
        </w:rPr>
        <w:t xml:space="preserve">Morrison, A., &amp; Wensley, R. (1991). Boxing up or boxed in? A short history of the Boston Consulting Group share/growth matrix. </w:t>
      </w:r>
      <w:r>
        <w:rPr>
          <w:rFonts w:ascii="Times New Roman" w:hAnsi="Times New Roman" w:eastAsia="Times New Roman"/>
          <w:i/>
          <w:sz w:val="24"/>
        </w:rPr>
        <w:t>Journal of Marketing Management, 7</w:t>
      </w:r>
      <w:r>
        <w:rPr>
          <w:rFonts w:ascii="Times New Roman" w:hAnsi="Times New Roman" w:eastAsia="Times New Roman"/>
          <w:sz w:val="24"/>
        </w:rPr>
        <w:t>(2), 105-129. https://doi.org/10.1080/0267257X.1991.9964145</w:t>
      </w:r>
    </w:p>
    <w:p>
      <w:pPr>
        <w:ind w:left="720" w:hanging="720"/>
        <w:jc w:val="both"/>
      </w:pPr>
      <w:r>
        <w:rPr>
          <w:rFonts w:ascii="Times New Roman" w:hAnsi="Times New Roman" w:eastAsia="Times New Roman"/>
          <w:sz w:val="24"/>
        </w:rPr>
        <w:t>National Healthcare Security Administration. (2026, March 30). 加快建立长期护理保险制度 [Accelerating the establishment of the long-term care insurance system]. https://www.nhsa.gov.cn/art/2026/3/30/art_14_20061.html</w:t>
      </w:r>
    </w:p>
    <w:p>
      <w:pPr>
        <w:ind w:left="720" w:hanging="720"/>
        <w:jc w:val="both"/>
      </w:pPr>
      <w:r>
        <w:rPr>
          <w:rFonts w:ascii="Times New Roman" w:hAnsi="Times New Roman" w:eastAsia="Times New Roman"/>
          <w:sz w:val="24"/>
        </w:rPr>
        <w:t xml:space="preserve">Ping An Insurance (Group) Company of China, Ltd. (2025a, March 19). </w:t>
      </w:r>
      <w:r>
        <w:rPr>
          <w:rFonts w:ascii="Times New Roman" w:hAnsi="Times New Roman" w:eastAsia="Times New Roman"/>
          <w:i/>
          <w:sz w:val="24"/>
        </w:rPr>
        <w:t>Annual report 2024</w:t>
      </w:r>
      <w:r>
        <w:rPr>
          <w:rFonts w:ascii="Times New Roman" w:hAnsi="Times New Roman" w:eastAsia="Times New Roman"/>
          <w:sz w:val="24"/>
        </w:rPr>
        <w:t>. https://group.pingan.com/resource/pingan/IR-Docs/2025/pingan-ar24-report.pdf</w:t>
      </w:r>
    </w:p>
    <w:p>
      <w:pPr>
        <w:ind w:left="720" w:hanging="720"/>
        <w:jc w:val="both"/>
      </w:pPr>
      <w:r>
        <w:rPr>
          <w:rFonts w:ascii="Times New Roman" w:hAnsi="Times New Roman" w:eastAsia="Times New Roman"/>
          <w:sz w:val="24"/>
        </w:rPr>
        <w:t xml:space="preserve">Ping An Insurance (Group) Company of China, Ltd. (2025b, April 7). </w:t>
      </w:r>
      <w:r>
        <w:rPr>
          <w:rFonts w:ascii="Times New Roman" w:hAnsi="Times New Roman" w:eastAsia="Times New Roman"/>
          <w:i/>
          <w:sz w:val="24"/>
        </w:rPr>
        <w:t>Ping An releases 2024 sustainability report</w:t>
      </w:r>
      <w:r>
        <w:rPr>
          <w:rFonts w:ascii="Times New Roman" w:hAnsi="Times New Roman" w:eastAsia="Times New Roman"/>
          <w:sz w:val="24"/>
        </w:rPr>
        <w:t>. https://group.pingan.com/media/news/2025/pingan-releases-2024-sustainability-report.html</w:t>
      </w:r>
    </w:p>
    <w:p>
      <w:pPr>
        <w:ind w:left="720" w:hanging="720"/>
        <w:jc w:val="both"/>
      </w:pPr>
      <w:r>
        <w:rPr>
          <w:rFonts w:ascii="Times New Roman" w:hAnsi="Times New Roman" w:eastAsia="Times New Roman"/>
          <w:sz w:val="24"/>
        </w:rPr>
        <w:t>State Council of the People’s Republic of China. (2024a, October 14). 商业保险年金满足多样保障需求 [Commercial insurance annuities meet diverse protection needs]. https://www.gov.cn/zhengce/202410/content_6979770.htm</w:t>
      </w:r>
    </w:p>
    <w:p>
      <w:pPr>
        <w:ind w:left="720" w:hanging="720"/>
        <w:jc w:val="both"/>
      </w:pPr>
      <w:r>
        <w:rPr>
          <w:rFonts w:ascii="Times New Roman" w:hAnsi="Times New Roman" w:eastAsia="Times New Roman"/>
          <w:sz w:val="24"/>
        </w:rPr>
        <w:t>State Council of the People’s Republic of China. (2024b, December 13). 个人养老金制度在全国范围内实施 [Personal pension system implemented nationwide]. https://www.gov.cn/lianbo/bumen/202412/content_6992312.htm</w:t>
      </w:r>
    </w:p>
    <w:p>
      <w:pPr>
        <w:ind w:left="720" w:hanging="720"/>
        <w:jc w:val="both"/>
      </w:pPr>
      <w:r>
        <w:rPr>
          <w:rFonts w:ascii="Times New Roman" w:hAnsi="Times New Roman" w:eastAsia="Times New Roman"/>
          <w:sz w:val="24"/>
        </w:rPr>
        <w:t>State Council of the People’s Republic of China. (2025, July 31). 金融监管总局发文要求城市商业医疗险坚守商业属性规范精准定价 [NFRA requires city commercial medical insurance to follow commercial discipline and precise pricing]. https://www.gov.cn/lianbo/bumen/202507/content_7034687.htm</w:t>
      </w:r>
    </w:p>
    <w:p>
      <w:pPr>
        <w:ind w:left="720" w:hanging="720"/>
        <w:jc w:val="both"/>
      </w:pPr>
      <w:r>
        <w:rPr>
          <w:rFonts w:ascii="Times New Roman" w:hAnsi="Times New Roman" w:eastAsia="Times New Roman"/>
          <w:sz w:val="24"/>
        </w:rPr>
        <w:t xml:space="preserve">Teece, D. J. (2007). Explicating dynamic capabilities: The nature and microfoundations of (sustainable) enterprise performance. </w:t>
      </w:r>
      <w:r>
        <w:rPr>
          <w:rFonts w:ascii="Times New Roman" w:hAnsi="Times New Roman" w:eastAsia="Times New Roman"/>
          <w:i/>
          <w:sz w:val="24"/>
        </w:rPr>
        <w:t>Strategic Management Journal, 28</w:t>
      </w:r>
      <w:r>
        <w:rPr>
          <w:rFonts w:ascii="Times New Roman" w:hAnsi="Times New Roman" w:eastAsia="Times New Roman"/>
          <w:sz w:val="24"/>
        </w:rPr>
        <w:t>(13), 1319-1350. https://doi.org/10.1002/smj.640</w:t>
      </w:r>
    </w:p>
    <w:p>
      <w:pPr>
        <w:ind w:left="720" w:hanging="720"/>
        <w:jc w:val="both"/>
      </w:pPr>
      <w:r>
        <w:rPr>
          <w:rFonts w:ascii="Times New Roman" w:hAnsi="Times New Roman" w:eastAsia="Times New Roman"/>
          <w:sz w:val="24"/>
        </w:rPr>
        <w:t xml:space="preserve">Yang, S., Guo, D., Bi, S., &amp; Chen, Y. (2023). The effect of long-term care insurance on healthcare utilization of middle-aged and older adults: Evidence from China Health and Retirement Longitudinal Study. </w:t>
      </w:r>
      <w:r>
        <w:rPr>
          <w:rFonts w:ascii="Times New Roman" w:hAnsi="Times New Roman" w:eastAsia="Times New Roman"/>
          <w:i/>
          <w:sz w:val="24"/>
        </w:rPr>
        <w:t>International Journal for Equity in Health, 22</w:t>
      </w:r>
      <w:r>
        <w:rPr>
          <w:rFonts w:ascii="Times New Roman" w:hAnsi="Times New Roman" w:eastAsia="Times New Roman"/>
          <w:sz w:val="24"/>
        </w:rPr>
        <w:t>, Article 228. https://doi.org/10.1186/s12939-023-02042-x</w:t>
      </w:r>
    </w:p>
    <w:p>
      <w:pPr>
        <w:ind w:left="720" w:hanging="720"/>
        <w:jc w:val="both"/>
      </w:pPr>
      <w:r>
        <w:rPr>
          <w:rFonts w:ascii="Times New Roman" w:hAnsi="Times New Roman" w:eastAsia="Times New Roman"/>
          <w:sz w:val="24"/>
        </w:rPr>
        <w:t xml:space="preserve">Zhu, Z., &amp; Bai, C. (2025). Assessing the role of long-term care insurance in shaping living arrangements of older adults: Evidence from China. </w:t>
      </w:r>
      <w:r>
        <w:rPr>
          <w:rFonts w:ascii="Times New Roman" w:hAnsi="Times New Roman" w:eastAsia="Times New Roman"/>
          <w:i/>
          <w:sz w:val="24"/>
        </w:rPr>
        <w:t>Health Policy and Planning, 40</w:t>
      </w:r>
      <w:r>
        <w:rPr>
          <w:rFonts w:ascii="Times New Roman" w:hAnsi="Times New Roman" w:eastAsia="Times New Roman"/>
          <w:sz w:val="24"/>
        </w:rPr>
        <w:t>(6), 641-651. https://doi.org/10.1093/heapol/czaf027</w:t>
      </w:r>
    </w:p>
    <w:p>
      <w:pPr>
        <w:pStyle w:val="Heading1"/>
        <w:jc w:val="left"/>
      </w:pPr>
      <w:r>
        <w:rPr>
          <w:rFonts w:ascii="Times New Roman" w:hAnsi="Times New Roman" w:eastAsia="Times New Roman"/>
          <w:b/>
          <w:sz w:val="24"/>
        </w:rPr>
        <w:t>Appendix A. BCG Proxy Matrix</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
              <w:rPr>
                <w:rFonts w:ascii="Times New Roman" w:hAnsi="Times New Roman" w:eastAsia="Times New Roman"/>
                <w:b/>
                <w:sz w:val="20"/>
              </w:rPr>
              <w:t>Business Unit</w:t>
            </w:r>
          </w:p>
        </w:tc>
        <w:tc>
          <w:tcPr>
            <w:tcW w:type="dxa" w:w="1234"/>
          </w:tcPr>
          <w:p>
            <w:pPr>
              <w:jc w:val="left"/>
            </w:pPr>
            <w:r/>
            <w:r>
              <w:rPr>
                <w:rFonts w:ascii="Times New Roman" w:hAnsi="Times New Roman" w:eastAsia="Times New Roman"/>
                <w:b/>
                <w:sz w:val="20"/>
              </w:rPr>
              <w:t>Scale / Share Evidence</w:t>
            </w:r>
          </w:p>
        </w:tc>
        <w:tc>
          <w:tcPr>
            <w:tcW w:type="dxa" w:w="1234"/>
          </w:tcPr>
          <w:p>
            <w:pPr>
              <w:jc w:val="left"/>
            </w:pPr>
            <w:r/>
            <w:r>
              <w:rPr>
                <w:rFonts w:ascii="Times New Roman" w:hAnsi="Times New Roman" w:eastAsia="Times New Roman"/>
                <w:b/>
                <w:sz w:val="20"/>
              </w:rPr>
              <w:t>Growth Evidence</w:t>
            </w:r>
          </w:p>
        </w:tc>
        <w:tc>
          <w:tcPr>
            <w:tcW w:type="dxa" w:w="1234"/>
          </w:tcPr>
          <w:p>
            <w:pPr>
              <w:jc w:val="left"/>
            </w:pPr>
            <w:r/>
            <w:r>
              <w:rPr>
                <w:rFonts w:ascii="Times New Roman" w:hAnsi="Times New Roman" w:eastAsia="Times New Roman"/>
                <w:b/>
                <w:sz w:val="20"/>
              </w:rPr>
              <w:t>BCG Position</w:t>
            </w:r>
          </w:p>
        </w:tc>
        <w:tc>
          <w:tcPr>
            <w:tcW w:type="dxa" w:w="1234"/>
          </w:tcPr>
          <w:p>
            <w:pPr>
              <w:jc w:val="left"/>
            </w:pPr>
            <w:r/>
            <w:r>
              <w:rPr>
                <w:rFonts w:ascii="Times New Roman" w:hAnsi="Times New Roman" w:eastAsia="Times New Roman"/>
                <w:b/>
                <w:sz w:val="20"/>
              </w:rPr>
              <w:t>Classification Confidence</w:t>
            </w:r>
          </w:p>
        </w:tc>
        <w:tc>
          <w:tcPr>
            <w:tcW w:type="dxa" w:w="1234"/>
          </w:tcPr>
          <w:p>
            <w:pPr>
              <w:jc w:val="left"/>
            </w:pPr>
            <w:r/>
            <w:r>
              <w:rPr>
                <w:rFonts w:ascii="Times New Roman" w:hAnsi="Times New Roman" w:eastAsia="Times New Roman"/>
                <w:b/>
                <w:sz w:val="20"/>
              </w:rPr>
              <w:t>Alternative Interpretation</w:t>
            </w:r>
          </w:p>
        </w:tc>
        <w:tc>
          <w:tcPr>
            <w:tcW w:type="dxa" w:w="1234"/>
          </w:tcPr>
          <w:p>
            <w:pPr>
              <w:jc w:val="left"/>
            </w:pPr>
            <w:r/>
            <w:r>
              <w:rPr>
                <w:rFonts w:ascii="Times New Roman" w:hAnsi="Times New Roman" w:eastAsia="Times New Roman"/>
                <w:b/>
                <w:sz w:val="20"/>
              </w:rPr>
              <w:t>Why Not Adopted?</w:t>
            </w:r>
          </w:p>
        </w:tc>
      </w:tr>
      <w:tr>
        <w:tc>
          <w:tcPr>
            <w:tcW w:type="dxa" w:w="1234"/>
          </w:tcPr>
          <w:p>
            <w:pPr>
              <w:jc w:val="left"/>
            </w:pPr>
            <w:r/>
            <w:r>
              <w:rPr>
                <w:rFonts w:ascii="Times New Roman" w:hAnsi="Times New Roman" w:eastAsia="Times New Roman"/>
                <w:sz w:val="20"/>
              </w:rPr>
              <w:t>Life insurance</w:t>
            </w:r>
          </w:p>
        </w:tc>
        <w:tc>
          <w:tcPr>
            <w:tcW w:type="dxa" w:w="1234"/>
          </w:tcPr>
          <w:p>
            <w:pPr>
              <w:jc w:val="left"/>
            </w:pPr>
            <w:r/>
            <w:r>
              <w:rPr>
                <w:rFonts w:ascii="Times New Roman" w:hAnsi="Times New Roman" w:eastAsia="Times New Roman"/>
                <w:sz w:val="20"/>
              </w:rPr>
              <w:t>China Life is a leading life insurer with industry-leading scale and embedded value</w:t>
            </w:r>
          </w:p>
        </w:tc>
        <w:tc>
          <w:tcPr>
            <w:tcW w:type="dxa" w:w="1234"/>
          </w:tcPr>
          <w:p>
            <w:pPr>
              <w:jc w:val="left"/>
            </w:pPr>
            <w:r/>
            <w:r>
              <w:rPr>
                <w:rFonts w:ascii="Times New Roman" w:hAnsi="Times New Roman" w:eastAsia="Times New Roman"/>
                <w:sz w:val="20"/>
              </w:rPr>
              <w:t>Mature line; external industry data show emphasis on persistency and quality rather than explosive growth</w:t>
            </w:r>
          </w:p>
        </w:tc>
        <w:tc>
          <w:tcPr>
            <w:tcW w:type="dxa" w:w="1234"/>
          </w:tcPr>
          <w:p>
            <w:pPr>
              <w:jc w:val="left"/>
            </w:pPr>
            <w:r/>
            <w:r>
              <w:rPr>
                <w:rFonts w:ascii="Times New Roman" w:hAnsi="Times New Roman" w:eastAsia="Times New Roman"/>
                <w:sz w:val="20"/>
              </w:rPr>
              <w:t>Cash Cow</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Low-growth legacy line with declining strategic relevance</w:t>
            </w:r>
          </w:p>
        </w:tc>
        <w:tc>
          <w:tcPr>
            <w:tcW w:type="dxa" w:w="1234"/>
          </w:tcPr>
          <w:p>
            <w:pPr>
              <w:jc w:val="left"/>
            </w:pPr>
            <w:r/>
            <w:r>
              <w:rPr>
                <w:rFonts w:ascii="Times New Roman" w:hAnsi="Times New Roman" w:eastAsia="Times New Roman"/>
                <w:sz w:val="20"/>
              </w:rPr>
              <w:t>Rejected because relative position and cash-generation remain stronger than in any other line</w:t>
            </w:r>
          </w:p>
        </w:tc>
      </w:tr>
      <w:tr>
        <w:tc>
          <w:tcPr>
            <w:tcW w:type="dxa" w:w="1234"/>
          </w:tcPr>
          <w:p>
            <w:pPr>
              <w:jc w:val="left"/>
            </w:pPr>
            <w:r/>
            <w:r>
              <w:rPr>
                <w:rFonts w:ascii="Times New Roman" w:hAnsi="Times New Roman" w:eastAsia="Times New Roman"/>
                <w:sz w:val="20"/>
              </w:rPr>
              <w:t>Annuity / pension insurance</w:t>
            </w:r>
          </w:p>
        </w:tc>
        <w:tc>
          <w:tcPr>
            <w:tcW w:type="dxa" w:w="1234"/>
          </w:tcPr>
          <w:p>
            <w:pPr>
              <w:jc w:val="left"/>
            </w:pPr>
            <w:r/>
            <w:r>
              <w:rPr>
                <w:rFonts w:ascii="Times New Roman" w:hAnsi="Times New Roman" w:eastAsia="Times New Roman"/>
                <w:sz w:val="20"/>
              </w:rPr>
              <w:t>China Life states that third-pillar private pension and commercial annuity businesses ranked first in the industry</w:t>
            </w:r>
          </w:p>
        </w:tc>
        <w:tc>
          <w:tcPr>
            <w:tcW w:type="dxa" w:w="1234"/>
          </w:tcPr>
          <w:p>
            <w:pPr>
              <w:jc w:val="left"/>
            </w:pPr>
            <w:r/>
            <w:r>
              <w:rPr>
                <w:rFonts w:ascii="Times New Roman" w:hAnsi="Times New Roman" w:eastAsia="Times New Roman"/>
                <w:sz w:val="20"/>
              </w:rPr>
              <w:t>Strong demographic and policy tailwinds from ageing, pension reform and nationwide personal pension implementation</w:t>
            </w:r>
          </w:p>
        </w:tc>
        <w:tc>
          <w:tcPr>
            <w:tcW w:type="dxa" w:w="1234"/>
          </w:tcPr>
          <w:p>
            <w:pPr>
              <w:jc w:val="left"/>
            </w:pPr>
            <w:r/>
            <w:r>
              <w:rPr>
                <w:rFonts w:ascii="Times New Roman" w:hAnsi="Times New Roman" w:eastAsia="Times New Roman"/>
                <w:sz w:val="20"/>
              </w:rPr>
              <w:t>Borderline Star</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Question Mark if policy demand fails to convert into profitable retention and cross-sell</w:t>
            </w:r>
          </w:p>
        </w:tc>
        <w:tc>
          <w:tcPr>
            <w:tcW w:type="dxa" w:w="1234"/>
          </w:tcPr>
          <w:p>
            <w:pPr>
              <w:jc w:val="left"/>
            </w:pPr>
            <w:r/>
            <w:r>
              <w:rPr>
                <w:rFonts w:ascii="Times New Roman" w:hAnsi="Times New Roman" w:eastAsia="Times New Roman"/>
                <w:sz w:val="20"/>
              </w:rPr>
              <w:t>Partly persuasive, but China Life shows stronger relative position here than in health insurance</w:t>
            </w:r>
          </w:p>
        </w:tc>
      </w:tr>
      <w:tr>
        <w:tc>
          <w:tcPr>
            <w:tcW w:type="dxa" w:w="1234"/>
          </w:tcPr>
          <w:p>
            <w:pPr>
              <w:jc w:val="left"/>
            </w:pPr>
            <w:r/>
            <w:r>
              <w:rPr>
                <w:rFonts w:ascii="Times New Roman" w:hAnsi="Times New Roman" w:eastAsia="Times New Roman"/>
                <w:sz w:val="20"/>
              </w:rPr>
              <w:t>Health / LTCI-related insurance</w:t>
            </w:r>
          </w:p>
        </w:tc>
        <w:tc>
          <w:tcPr>
            <w:tcW w:type="dxa" w:w="1234"/>
          </w:tcPr>
          <w:p>
            <w:pPr>
              <w:jc w:val="left"/>
            </w:pPr>
            <w:r/>
            <w:r>
              <w:rPr>
                <w:rFonts w:ascii="Times New Roman" w:hAnsi="Times New Roman" w:eastAsia="Times New Roman"/>
                <w:sz w:val="20"/>
              </w:rPr>
              <w:t>China Life operates at scale in supplementary medical, LTCI and city-customised health programs</w:t>
            </w:r>
          </w:p>
        </w:tc>
        <w:tc>
          <w:tcPr>
            <w:tcW w:type="dxa" w:w="1234"/>
          </w:tcPr>
          <w:p>
            <w:pPr>
              <w:jc w:val="left"/>
            </w:pPr>
            <w:r/>
            <w:r>
              <w:rPr>
                <w:rFonts w:ascii="Times New Roman" w:hAnsi="Times New Roman" w:eastAsia="Times New Roman"/>
                <w:sz w:val="20"/>
              </w:rPr>
              <w:t>Strong demand growth, but uncertain profitability and claims discipline</w:t>
            </w:r>
          </w:p>
        </w:tc>
        <w:tc>
          <w:tcPr>
            <w:tcW w:type="dxa" w:w="1234"/>
          </w:tcPr>
          <w:p>
            <w:pPr>
              <w:jc w:val="left"/>
            </w:pPr>
            <w:r/>
            <w:r>
              <w:rPr>
                <w:rFonts w:ascii="Times New Roman" w:hAnsi="Times New Roman" w:eastAsia="Times New Roman"/>
                <w:sz w:val="20"/>
              </w:rPr>
              <w:t>Question Mark</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Emerging Star if breadth can be translated into profitable dominance</w:t>
            </w:r>
          </w:p>
        </w:tc>
        <w:tc>
          <w:tcPr>
            <w:tcW w:type="dxa" w:w="1234"/>
          </w:tcPr>
          <w:p>
            <w:pPr>
              <w:jc w:val="left"/>
            </w:pPr>
            <w:r/>
            <w:r>
              <w:rPr>
                <w:rFonts w:ascii="Times New Roman" w:hAnsi="Times New Roman" w:eastAsia="Times New Roman"/>
                <w:sz w:val="20"/>
              </w:rPr>
              <w:t>Rejected because scale still does not prove sustainable economics under tighter pricing discipline</w:t>
            </w:r>
          </w:p>
        </w:tc>
      </w:tr>
      <w:tr>
        <w:tc>
          <w:tcPr>
            <w:tcW w:type="dxa" w:w="1234"/>
          </w:tcPr>
          <w:p>
            <w:pPr>
              <w:jc w:val="left"/>
            </w:pPr>
            <w:r/>
            <w:r>
              <w:rPr>
                <w:rFonts w:ascii="Times New Roman" w:hAnsi="Times New Roman" w:eastAsia="Times New Roman"/>
                <w:sz w:val="20"/>
              </w:rPr>
              <w:t>Accident / short-term protection</w:t>
            </w:r>
          </w:p>
        </w:tc>
        <w:tc>
          <w:tcPr>
            <w:tcW w:type="dxa" w:w="1234"/>
          </w:tcPr>
          <w:p>
            <w:pPr>
              <w:jc w:val="left"/>
            </w:pPr>
            <w:r/>
            <w:r>
              <w:rPr>
                <w:rFonts w:ascii="Times New Roman" w:hAnsi="Times New Roman" w:eastAsia="Times New Roman"/>
                <w:sz w:val="20"/>
              </w:rPr>
              <w:t>Included in the company’s protection portfolio, but weak stand-alone evidence of growth leadership or differentiation</w:t>
            </w:r>
          </w:p>
        </w:tc>
        <w:tc>
          <w:tcPr>
            <w:tcW w:type="dxa" w:w="1234"/>
          </w:tcPr>
          <w:p>
            <w:pPr>
              <w:jc w:val="left"/>
            </w:pPr>
            <w:r/>
            <w:r>
              <w:rPr>
                <w:rFonts w:ascii="Times New Roman" w:hAnsi="Times New Roman" w:eastAsia="Times New Roman"/>
                <w:sz w:val="20"/>
              </w:rPr>
              <w:t>Limited structural growth signal compared with other lines</w:t>
            </w:r>
          </w:p>
        </w:tc>
        <w:tc>
          <w:tcPr>
            <w:tcW w:type="dxa" w:w="1234"/>
          </w:tcPr>
          <w:p>
            <w:pPr>
              <w:jc w:val="left"/>
            </w:pPr>
            <w:r/>
            <w:r>
              <w:rPr>
                <w:rFonts w:ascii="Times New Roman" w:hAnsi="Times New Roman" w:eastAsia="Times New Roman"/>
                <w:sz w:val="20"/>
              </w:rPr>
              <w:t>Low-priority support line</w:t>
            </w:r>
          </w:p>
        </w:tc>
        <w:tc>
          <w:tcPr>
            <w:tcW w:type="dxa" w:w="1234"/>
          </w:tcPr>
          <w:p>
            <w:pPr>
              <w:jc w:val="left"/>
            </w:pPr>
            <w:r/>
            <w:r>
              <w:rPr>
                <w:rFonts w:ascii="Times New Roman" w:hAnsi="Times New Roman" w:eastAsia="Times New Roman"/>
                <w:sz w:val="20"/>
              </w:rPr>
              <w:t>Low</w:t>
            </w:r>
          </w:p>
        </w:tc>
        <w:tc>
          <w:tcPr>
            <w:tcW w:type="dxa" w:w="1234"/>
          </w:tcPr>
          <w:p>
            <w:pPr>
              <w:jc w:val="left"/>
            </w:pPr>
            <w:r/>
            <w:r>
              <w:rPr>
                <w:rFonts w:ascii="Times New Roman" w:hAnsi="Times New Roman" w:eastAsia="Times New Roman"/>
                <w:sz w:val="20"/>
              </w:rPr>
              <w:t>Neutral support product outside BCG</w:t>
            </w:r>
          </w:p>
        </w:tc>
        <w:tc>
          <w:tcPr>
            <w:tcW w:type="dxa" w:w="1234"/>
          </w:tcPr>
          <w:p>
            <w:pPr>
              <w:jc w:val="left"/>
            </w:pPr>
            <w:r/>
            <w:r>
              <w:rPr>
                <w:rFonts w:ascii="Times New Roman" w:hAnsi="Times New Roman" w:eastAsia="Times New Roman"/>
                <w:sz w:val="20"/>
              </w:rPr>
              <w:t>Not adopted because support products still absorb distribution effort and managerial attention</w:t>
            </w:r>
          </w:p>
        </w:tc>
      </w:tr>
    </w:tbl>
    <w:p/>
    <w:p>
      <w:pPr>
        <w:pStyle w:val="Heading1"/>
        <w:jc w:val="left"/>
      </w:pPr>
      <w:r>
        <w:rPr>
          <w:rFonts w:ascii="Times New Roman" w:hAnsi="Times New Roman" w:eastAsia="Times New Roman"/>
          <w:b/>
          <w:sz w:val="24"/>
        </w:rPr>
        <w:t>Appendix B. Ansoff Ranking</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eastAsia="Times New Roman"/>
                <w:b/>
                <w:sz w:val="20"/>
              </w:rPr>
              <w:t>Ansoff Option</w:t>
            </w:r>
          </w:p>
        </w:tc>
        <w:tc>
          <w:tcPr>
            <w:tcW w:type="dxa" w:w="2160"/>
          </w:tcPr>
          <w:p>
            <w:pPr>
              <w:jc w:val="left"/>
            </w:pPr>
            <w:r/>
            <w:r>
              <w:rPr>
                <w:rFonts w:ascii="Times New Roman" w:hAnsi="Times New Roman" w:eastAsia="Times New Roman"/>
                <w:b/>
                <w:sz w:val="20"/>
              </w:rPr>
              <w:t>Matrix Logic</w:t>
            </w:r>
          </w:p>
        </w:tc>
        <w:tc>
          <w:tcPr>
            <w:tcW w:type="dxa" w:w="2160"/>
          </w:tcPr>
          <w:p>
            <w:pPr>
              <w:jc w:val="left"/>
            </w:pPr>
            <w:r/>
            <w:r>
              <w:rPr>
                <w:rFonts w:ascii="Times New Roman" w:hAnsi="Times New Roman" w:eastAsia="Times New Roman"/>
                <w:b/>
                <w:sz w:val="20"/>
              </w:rPr>
              <w:t>Why It Matters for China Life</w:t>
            </w:r>
          </w:p>
        </w:tc>
        <w:tc>
          <w:tcPr>
            <w:tcW w:type="dxa" w:w="2160"/>
          </w:tcPr>
          <w:p>
            <w:pPr>
              <w:jc w:val="left"/>
            </w:pPr>
            <w:r/>
            <w:r>
              <w:rPr>
                <w:rFonts w:ascii="Times New Roman" w:hAnsi="Times New Roman" w:eastAsia="Times New Roman"/>
                <w:b/>
                <w:sz w:val="20"/>
              </w:rPr>
              <w:t>Final Priority</w:t>
            </w:r>
          </w:p>
        </w:tc>
      </w:tr>
      <w:tr>
        <w:tc>
          <w:tcPr>
            <w:tcW w:type="dxa" w:w="2160"/>
          </w:tcPr>
          <w:p>
            <w:pPr>
              <w:jc w:val="left"/>
            </w:pPr>
            <w:r/>
            <w:r>
              <w:rPr>
                <w:rFonts w:ascii="Times New Roman" w:hAnsi="Times New Roman" w:eastAsia="Times New Roman"/>
                <w:sz w:val="20"/>
              </w:rPr>
              <w:t>Product development</w:t>
            </w:r>
          </w:p>
        </w:tc>
        <w:tc>
          <w:tcPr>
            <w:tcW w:type="dxa" w:w="2160"/>
          </w:tcPr>
          <w:p>
            <w:pPr>
              <w:jc w:val="left"/>
            </w:pPr>
            <w:r/>
            <w:r>
              <w:rPr>
                <w:rFonts w:ascii="Times New Roman" w:hAnsi="Times New Roman" w:eastAsia="Times New Roman"/>
                <w:sz w:val="20"/>
              </w:rPr>
              <w:t>New or adapted products for the existing customer base</w:t>
            </w:r>
          </w:p>
        </w:tc>
        <w:tc>
          <w:tcPr>
            <w:tcW w:type="dxa" w:w="2160"/>
          </w:tcPr>
          <w:p>
            <w:pPr>
              <w:jc w:val="left"/>
            </w:pPr>
            <w:r/>
            <w:r>
              <w:rPr>
                <w:rFonts w:ascii="Times New Roman" w:hAnsi="Times New Roman" w:eastAsia="Times New Roman"/>
                <w:sz w:val="20"/>
              </w:rPr>
              <w:t>Favoured because the main gap is relevance within an already extensive customer base</w:t>
            </w:r>
          </w:p>
        </w:tc>
        <w:tc>
          <w:tcPr>
            <w:tcW w:type="dxa" w:w="2160"/>
          </w:tcPr>
          <w:p>
            <w:pPr>
              <w:jc w:val="left"/>
            </w:pPr>
            <w:r/>
            <w:r>
              <w:rPr>
                <w:rFonts w:ascii="Times New Roman" w:hAnsi="Times New Roman" w:eastAsia="Times New Roman"/>
                <w:sz w:val="20"/>
              </w:rPr>
              <w:t>1</w:t>
            </w:r>
          </w:p>
        </w:tc>
      </w:tr>
      <w:tr>
        <w:tc>
          <w:tcPr>
            <w:tcW w:type="dxa" w:w="2160"/>
          </w:tcPr>
          <w:p>
            <w:pPr>
              <w:jc w:val="left"/>
            </w:pPr>
            <w:r/>
            <w:r>
              <w:rPr>
                <w:rFonts w:ascii="Times New Roman" w:hAnsi="Times New Roman" w:eastAsia="Times New Roman"/>
                <w:sz w:val="20"/>
              </w:rPr>
              <w:t>Related diversification</w:t>
            </w:r>
          </w:p>
        </w:tc>
        <w:tc>
          <w:tcPr>
            <w:tcW w:type="dxa" w:w="2160"/>
          </w:tcPr>
          <w:p>
            <w:pPr>
              <w:jc w:val="left"/>
            </w:pPr>
            <w:r/>
            <w:r>
              <w:rPr>
                <w:rFonts w:ascii="Times New Roman" w:hAnsi="Times New Roman" w:eastAsia="Times New Roman"/>
                <w:sz w:val="20"/>
              </w:rPr>
              <w:t>New service adjacency beyond the core insurance offering</w:t>
            </w:r>
          </w:p>
        </w:tc>
        <w:tc>
          <w:tcPr>
            <w:tcW w:type="dxa" w:w="2160"/>
          </w:tcPr>
          <w:p>
            <w:pPr>
              <w:jc w:val="left"/>
            </w:pPr>
            <w:r/>
            <w:r>
              <w:rPr>
                <w:rFonts w:ascii="Times New Roman" w:hAnsi="Times New Roman" w:eastAsia="Times New Roman"/>
                <w:sz w:val="20"/>
              </w:rPr>
              <w:t>Offers higher long-term upside, but also the highest capability and capital stretch</w:t>
            </w:r>
          </w:p>
        </w:tc>
        <w:tc>
          <w:tcPr>
            <w:tcW w:type="dxa" w:w="2160"/>
          </w:tcPr>
          <w:p>
            <w:pPr>
              <w:jc w:val="left"/>
            </w:pPr>
            <w:r/>
            <w:r>
              <w:rPr>
                <w:rFonts w:ascii="Times New Roman" w:hAnsi="Times New Roman" w:eastAsia="Times New Roman"/>
                <w:sz w:val="20"/>
              </w:rPr>
              <w:t>2</w:t>
            </w:r>
          </w:p>
        </w:tc>
      </w:tr>
      <w:tr>
        <w:tc>
          <w:tcPr>
            <w:tcW w:type="dxa" w:w="2160"/>
          </w:tcPr>
          <w:p>
            <w:pPr>
              <w:jc w:val="left"/>
            </w:pPr>
            <w:r/>
            <w:r>
              <w:rPr>
                <w:rFonts w:ascii="Times New Roman" w:hAnsi="Times New Roman" w:eastAsia="Times New Roman"/>
                <w:sz w:val="20"/>
              </w:rPr>
              <w:t>Market development</w:t>
            </w:r>
          </w:p>
        </w:tc>
        <w:tc>
          <w:tcPr>
            <w:tcW w:type="dxa" w:w="2160"/>
          </w:tcPr>
          <w:p>
            <w:pPr>
              <w:jc w:val="left"/>
            </w:pPr>
            <w:r/>
            <w:r>
              <w:rPr>
                <w:rFonts w:ascii="Times New Roman" w:hAnsi="Times New Roman" w:eastAsia="Times New Roman"/>
                <w:sz w:val="20"/>
              </w:rPr>
              <w:t>Existing capabilities into new customer segments and adjacent demand spaces</w:t>
            </w:r>
          </w:p>
        </w:tc>
        <w:tc>
          <w:tcPr>
            <w:tcW w:type="dxa" w:w="2160"/>
          </w:tcPr>
          <w:p>
            <w:pPr>
              <w:jc w:val="left"/>
            </w:pPr>
            <w:r/>
            <w:r>
              <w:rPr>
                <w:rFonts w:ascii="Times New Roman" w:hAnsi="Times New Roman" w:eastAsia="Times New Roman"/>
                <w:sz w:val="20"/>
              </w:rPr>
              <w:t>Useful, but constrained by China Life’s already broad national presence</w:t>
            </w:r>
          </w:p>
        </w:tc>
        <w:tc>
          <w:tcPr>
            <w:tcW w:type="dxa" w:w="2160"/>
          </w:tcPr>
          <w:p>
            <w:pPr>
              <w:jc w:val="left"/>
            </w:pPr>
            <w:r/>
            <w:r>
              <w:rPr>
                <w:rFonts w:ascii="Times New Roman" w:hAnsi="Times New Roman" w:eastAsia="Times New Roman"/>
                <w:sz w:val="20"/>
              </w:rPr>
              <w:t>3</w:t>
            </w:r>
          </w:p>
        </w:tc>
      </w:tr>
      <w:tr>
        <w:tc>
          <w:tcPr>
            <w:tcW w:type="dxa" w:w="2160"/>
          </w:tcPr>
          <w:p>
            <w:pPr>
              <w:jc w:val="left"/>
            </w:pPr>
            <w:r/>
            <w:r>
              <w:rPr>
                <w:rFonts w:ascii="Times New Roman" w:hAnsi="Times New Roman" w:eastAsia="Times New Roman"/>
                <w:sz w:val="20"/>
              </w:rPr>
              <w:t>Market penetration</w:t>
            </w:r>
          </w:p>
        </w:tc>
        <w:tc>
          <w:tcPr>
            <w:tcW w:type="dxa" w:w="2160"/>
          </w:tcPr>
          <w:p>
            <w:pPr>
              <w:jc w:val="left"/>
            </w:pPr>
            <w:r/>
            <w:r>
              <w:rPr>
                <w:rFonts w:ascii="Times New Roman" w:hAnsi="Times New Roman" w:eastAsia="Times New Roman"/>
                <w:sz w:val="20"/>
              </w:rPr>
              <w:t>Existing products to existing customers</w:t>
            </w:r>
          </w:p>
        </w:tc>
        <w:tc>
          <w:tcPr>
            <w:tcW w:type="dxa" w:w="2160"/>
          </w:tcPr>
          <w:p>
            <w:pPr>
              <w:jc w:val="left"/>
            </w:pPr>
            <w:r/>
            <w:r>
              <w:rPr>
                <w:rFonts w:ascii="Times New Roman" w:hAnsi="Times New Roman" w:eastAsia="Times New Roman"/>
                <w:sz w:val="20"/>
              </w:rPr>
              <w:t>Necessary for core defence, but weakest transformative upside</w:t>
            </w:r>
          </w:p>
        </w:tc>
        <w:tc>
          <w:tcPr>
            <w:tcW w:type="dxa" w:w="2160"/>
          </w:tcPr>
          <w:p>
            <w:pPr>
              <w:jc w:val="left"/>
            </w:pPr>
            <w:r/>
            <w:r>
              <w:rPr>
                <w:rFonts w:ascii="Times New Roman" w:hAnsi="Times New Roman" w:eastAsia="Times New Roman"/>
                <w:sz w:val="20"/>
              </w:rPr>
              <w:t>4</w:t>
            </w:r>
          </w:p>
        </w:tc>
      </w:tr>
    </w:tbl>
    <w:p/>
    <w:p>
      <w:pPr>
        <w:pStyle w:val="Heading1"/>
        <w:jc w:val="left"/>
      </w:pPr>
      <w:r>
        <w:rPr>
          <w:rFonts w:ascii="Times New Roman" w:hAnsi="Times New Roman" w:eastAsia="Times New Roman"/>
          <w:b/>
          <w:sz w:val="24"/>
        </w:rPr>
        <w:t>Appendix C. Action Governance Framework</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pPr>
              <w:jc w:val="left"/>
            </w:pPr>
            <w:r/>
            <w:r>
              <w:rPr>
                <w:rFonts w:ascii="Times New Roman" w:hAnsi="Times New Roman" w:eastAsia="Times New Roman"/>
                <w:b/>
                <w:sz w:val="20"/>
              </w:rPr>
              <w:t>Strategic action</w:t>
            </w:r>
          </w:p>
        </w:tc>
        <w:tc>
          <w:tcPr>
            <w:tcW w:type="dxa" w:w="1728"/>
          </w:tcPr>
          <w:p>
            <w:pPr>
              <w:jc w:val="left"/>
            </w:pPr>
            <w:r/>
            <w:r>
              <w:rPr>
                <w:rFonts w:ascii="Times New Roman" w:hAnsi="Times New Roman" w:eastAsia="Times New Roman"/>
                <w:b/>
                <w:sz w:val="20"/>
              </w:rPr>
              <w:t>Owner</w:t>
            </w:r>
          </w:p>
        </w:tc>
        <w:tc>
          <w:tcPr>
            <w:tcW w:type="dxa" w:w="1728"/>
          </w:tcPr>
          <w:p>
            <w:pPr>
              <w:jc w:val="left"/>
            </w:pPr>
            <w:r/>
            <w:r>
              <w:rPr>
                <w:rFonts w:ascii="Times New Roman" w:hAnsi="Times New Roman" w:eastAsia="Times New Roman"/>
                <w:b/>
                <w:sz w:val="20"/>
              </w:rPr>
              <w:t>Delivery mode</w:t>
            </w:r>
          </w:p>
        </w:tc>
        <w:tc>
          <w:tcPr>
            <w:tcW w:type="dxa" w:w="1728"/>
          </w:tcPr>
          <w:p>
            <w:pPr>
              <w:jc w:val="left"/>
            </w:pPr>
            <w:r/>
            <w:r>
              <w:rPr>
                <w:rFonts w:ascii="Times New Roman" w:hAnsi="Times New Roman" w:eastAsia="Times New Roman"/>
                <w:b/>
                <w:sz w:val="20"/>
              </w:rPr>
              <w:t>Go / no-go criteria</w:t>
            </w:r>
          </w:p>
        </w:tc>
        <w:tc>
          <w:tcPr>
            <w:tcW w:type="dxa" w:w="1728"/>
          </w:tcPr>
          <w:p>
            <w:pPr>
              <w:jc w:val="left"/>
            </w:pPr>
            <w:r/>
            <w:r>
              <w:rPr>
                <w:rFonts w:ascii="Times New Roman" w:hAnsi="Times New Roman" w:eastAsia="Times New Roman"/>
                <w:b/>
                <w:sz w:val="20"/>
              </w:rPr>
              <w:t>Key KPI focus</w:t>
            </w:r>
          </w:p>
        </w:tc>
      </w:tr>
      <w:tr>
        <w:tc>
          <w:tcPr>
            <w:tcW w:type="dxa" w:w="1728"/>
          </w:tcPr>
          <w:p>
            <w:pPr>
              <w:jc w:val="left"/>
            </w:pPr>
            <w:r/>
            <w:r>
              <w:rPr>
                <w:rFonts w:ascii="Times New Roman" w:hAnsi="Times New Roman" w:eastAsia="Times New Roman"/>
                <w:sz w:val="20"/>
              </w:rPr>
              <w:t>Upgrade life insurance performance engine</w:t>
            </w:r>
          </w:p>
        </w:tc>
        <w:tc>
          <w:tcPr>
            <w:tcW w:type="dxa" w:w="1728"/>
          </w:tcPr>
          <w:p>
            <w:pPr>
              <w:jc w:val="left"/>
            </w:pPr>
            <w:r/>
            <w:r>
              <w:rPr>
                <w:rFonts w:ascii="Times New Roman" w:hAnsi="Times New Roman" w:eastAsia="Times New Roman"/>
                <w:sz w:val="20"/>
              </w:rPr>
              <w:t>Sales reform team with finance and actuarial support</w:t>
            </w:r>
          </w:p>
        </w:tc>
        <w:tc>
          <w:tcPr>
            <w:tcW w:type="dxa" w:w="1728"/>
          </w:tcPr>
          <w:p>
            <w:pPr>
              <w:jc w:val="left"/>
            </w:pPr>
            <w:r/>
            <w:r>
              <w:rPr>
                <w:rFonts w:ascii="Times New Roman" w:hAnsi="Times New Roman" w:eastAsia="Times New Roman"/>
                <w:sz w:val="20"/>
              </w:rPr>
              <w:t>Mostly internal execution through pricing, product mix and agent productivity reform</w:t>
            </w:r>
          </w:p>
        </w:tc>
        <w:tc>
          <w:tcPr>
            <w:tcW w:type="dxa" w:w="1728"/>
          </w:tcPr>
          <w:p>
            <w:pPr>
              <w:jc w:val="left"/>
            </w:pPr>
            <w:r/>
            <w:r>
              <w:rPr>
                <w:rFonts w:ascii="Times New Roman" w:hAnsi="Times New Roman" w:eastAsia="Times New Roman"/>
                <w:sz w:val="20"/>
              </w:rPr>
              <w:t>If value of one year's sales, persistence and agent productivity do not improve after 12 months, pause expansionary initiatives and re-prioritise core efficiency</w:t>
            </w:r>
          </w:p>
        </w:tc>
        <w:tc>
          <w:tcPr>
            <w:tcW w:type="dxa" w:w="1728"/>
          </w:tcPr>
          <w:p>
            <w:pPr>
              <w:jc w:val="left"/>
            </w:pPr>
            <w:r/>
            <w:r>
              <w:rPr>
                <w:rFonts w:ascii="Times New Roman" w:hAnsi="Times New Roman" w:eastAsia="Times New Roman"/>
                <w:sz w:val="20"/>
              </w:rPr>
              <w:t>Value of one year's sales, persistence, agent productivity, capital efficiency</w:t>
            </w:r>
          </w:p>
        </w:tc>
      </w:tr>
      <w:tr>
        <w:tc>
          <w:tcPr>
            <w:tcW w:type="dxa" w:w="1728"/>
          </w:tcPr>
          <w:p>
            <w:pPr>
              <w:jc w:val="left"/>
            </w:pPr>
            <w:r/>
            <w:r>
              <w:rPr>
                <w:rFonts w:ascii="Times New Roman" w:hAnsi="Times New Roman" w:eastAsia="Times New Roman"/>
                <w:sz w:val="20"/>
              </w:rPr>
              <w:t>Scale annuity and health product development</w:t>
            </w:r>
          </w:p>
        </w:tc>
        <w:tc>
          <w:tcPr>
            <w:tcW w:type="dxa" w:w="1728"/>
          </w:tcPr>
          <w:p>
            <w:pPr>
              <w:jc w:val="left"/>
            </w:pPr>
            <w:r/>
            <w:r>
              <w:rPr>
                <w:rFonts w:ascii="Times New Roman" w:hAnsi="Times New Roman" w:eastAsia="Times New Roman"/>
                <w:sz w:val="20"/>
              </w:rPr>
              <w:t>Product, channel and claims teams</w:t>
            </w:r>
          </w:p>
        </w:tc>
        <w:tc>
          <w:tcPr>
            <w:tcW w:type="dxa" w:w="1728"/>
          </w:tcPr>
          <w:p>
            <w:pPr>
              <w:jc w:val="left"/>
            </w:pPr>
            <w:r/>
            <w:r>
              <w:rPr>
                <w:rFonts w:ascii="Times New Roman" w:hAnsi="Times New Roman" w:eastAsia="Times New Roman"/>
                <w:sz w:val="20"/>
              </w:rPr>
              <w:t>Internal product design with integrated claims and customer-data support</w:t>
            </w:r>
          </w:p>
        </w:tc>
        <w:tc>
          <w:tcPr>
            <w:tcW w:type="dxa" w:w="1728"/>
          </w:tcPr>
          <w:p>
            <w:pPr>
              <w:jc w:val="left"/>
            </w:pPr>
            <w:r/>
            <w:r>
              <w:rPr>
                <w:rFonts w:ascii="Times New Roman" w:hAnsi="Times New Roman" w:eastAsia="Times New Roman"/>
                <w:sz w:val="20"/>
              </w:rPr>
              <w:t>Expand only if conversion, retention and claims performance improve together</w:t>
            </w:r>
          </w:p>
        </w:tc>
        <w:tc>
          <w:tcPr>
            <w:tcW w:type="dxa" w:w="1728"/>
          </w:tcPr>
          <w:p>
            <w:pPr>
              <w:jc w:val="left"/>
            </w:pPr>
            <w:r/>
            <w:r>
              <w:rPr>
                <w:rFonts w:ascii="Times New Roman" w:hAnsi="Times New Roman" w:eastAsia="Times New Roman"/>
                <w:sz w:val="20"/>
              </w:rPr>
              <w:t>Cross-sell ratio, conversion, retention, claims performance</w:t>
            </w:r>
          </w:p>
        </w:tc>
      </w:tr>
      <w:tr>
        <w:tc>
          <w:tcPr>
            <w:tcW w:type="dxa" w:w="1728"/>
          </w:tcPr>
          <w:p>
            <w:pPr>
              <w:jc w:val="left"/>
            </w:pPr>
            <w:r/>
            <w:r>
              <w:rPr>
                <w:rFonts w:ascii="Times New Roman" w:hAnsi="Times New Roman" w:eastAsia="Times New Roman"/>
                <w:sz w:val="20"/>
              </w:rPr>
              <w:t>Pilot senior-care diversification in existing footprint</w:t>
            </w:r>
          </w:p>
        </w:tc>
        <w:tc>
          <w:tcPr>
            <w:tcW w:type="dxa" w:w="1728"/>
          </w:tcPr>
          <w:p>
            <w:pPr>
              <w:jc w:val="left"/>
            </w:pPr>
            <w:r/>
            <w:r>
              <w:rPr>
                <w:rFonts w:ascii="Times New Roman" w:hAnsi="Times New Roman" w:eastAsia="Times New Roman"/>
                <w:sz w:val="20"/>
              </w:rPr>
              <w:t>Dedicated ecosystem office spanning product, claims and digital operations</w:t>
            </w:r>
          </w:p>
        </w:tc>
        <w:tc>
          <w:tcPr>
            <w:tcW w:type="dxa" w:w="1728"/>
          </w:tcPr>
          <w:p>
            <w:pPr>
              <w:jc w:val="left"/>
            </w:pPr>
            <w:r/>
            <w:r>
              <w:rPr>
                <w:rFonts w:ascii="Times New Roman" w:hAnsi="Times New Roman" w:eastAsia="Times New Roman"/>
                <w:sz w:val="20"/>
              </w:rPr>
              <w:t>Hybrid model: internal insurance and data integration, but partnership-led for capital-heavy care capacity</w:t>
            </w:r>
          </w:p>
        </w:tc>
        <w:tc>
          <w:tcPr>
            <w:tcW w:type="dxa" w:w="1728"/>
          </w:tcPr>
          <w:p>
            <w:pPr>
              <w:jc w:val="left"/>
            </w:pPr>
            <w:r/>
            <w:r>
              <w:rPr>
                <w:rFonts w:ascii="Times New Roman" w:hAnsi="Times New Roman" w:eastAsia="Times New Roman"/>
                <w:sz w:val="20"/>
              </w:rPr>
              <w:t>Scale only if cross-sell, elderly retention and claims turnaround improve after the pilot period; if improvement is only partial, maintain limited rollout and prioritise partnership delivery over owned expansion</w:t>
            </w:r>
          </w:p>
        </w:tc>
        <w:tc>
          <w:tcPr>
            <w:tcW w:type="dxa" w:w="1728"/>
          </w:tcPr>
          <w:p>
            <w:pPr>
              <w:jc w:val="left"/>
            </w:pPr>
            <w:r/>
            <w:r>
              <w:rPr>
                <w:rFonts w:ascii="Times New Roman" w:hAnsi="Times New Roman" w:eastAsia="Times New Roman"/>
                <w:sz w:val="20"/>
              </w:rPr>
              <w:t>Ecosystem-linked new business, elderly-customer retention, claims turnaround time, customer satisfaction</w:t>
            </w:r>
          </w:p>
        </w:tc>
      </w:tr>
      <w:tr>
        <w:tc>
          <w:tcPr>
            <w:tcW w:type="dxa" w:w="1728"/>
          </w:tcPr>
          <w:p>
            <w:pPr>
              <w:jc w:val="left"/>
            </w:pPr>
            <w:r/>
            <w:r>
              <w:rPr>
                <w:rFonts w:ascii="Times New Roman" w:hAnsi="Times New Roman" w:eastAsia="Times New Roman"/>
                <w:sz w:val="20"/>
              </w:rPr>
              <w:t>Build dual-engine distribution and digital service model</w:t>
            </w:r>
          </w:p>
        </w:tc>
        <w:tc>
          <w:tcPr>
            <w:tcW w:type="dxa" w:w="1728"/>
          </w:tcPr>
          <w:p>
            <w:pPr>
              <w:jc w:val="left"/>
            </w:pPr>
            <w:r/>
            <w:r>
              <w:rPr>
                <w:rFonts w:ascii="Times New Roman" w:hAnsi="Times New Roman" w:eastAsia="Times New Roman"/>
                <w:sz w:val="20"/>
              </w:rPr>
              <w:t>Joint ownership between sales reform and digital operations</w:t>
            </w:r>
          </w:p>
        </w:tc>
        <w:tc>
          <w:tcPr>
            <w:tcW w:type="dxa" w:w="1728"/>
          </w:tcPr>
          <w:p>
            <w:pPr>
              <w:jc w:val="left"/>
            </w:pPr>
            <w:r/>
            <w:r>
              <w:rPr>
                <w:rFonts w:ascii="Times New Roman" w:hAnsi="Times New Roman" w:eastAsia="Times New Roman"/>
                <w:sz w:val="20"/>
              </w:rPr>
              <w:t>Hybrid advice-and-platform model with digital routing, agent certification and partner-based services</w:t>
            </w:r>
          </w:p>
        </w:tc>
        <w:tc>
          <w:tcPr>
            <w:tcW w:type="dxa" w:w="1728"/>
          </w:tcPr>
          <w:p>
            <w:pPr>
              <w:jc w:val="left"/>
            </w:pPr>
            <w:r/>
            <w:r>
              <w:rPr>
                <w:rFonts w:ascii="Times New Roman" w:hAnsi="Times New Roman" w:eastAsia="Times New Roman"/>
                <w:sz w:val="20"/>
              </w:rPr>
              <w:t>Continue rollout only if digital claims adoption and channel cross-sell rates improve without harming agent productivity; otherwise redesign incentives first</w:t>
            </w:r>
          </w:p>
        </w:tc>
        <w:tc>
          <w:tcPr>
            <w:tcW w:type="dxa" w:w="1728"/>
          </w:tcPr>
          <w:p>
            <w:pPr>
              <w:jc w:val="left"/>
            </w:pPr>
            <w:r/>
            <w:r>
              <w:rPr>
                <w:rFonts w:ascii="Times New Roman" w:hAnsi="Times New Roman" w:eastAsia="Times New Roman"/>
                <w:sz w:val="20"/>
              </w:rPr>
              <w:t>Digital claims adoption, channel cross-sell rate, app engagement, agent productivity, service satisfaction</w:t>
            </w:r>
          </w:p>
        </w:tc>
      </w:tr>
    </w:tbl>
    <w:p/>
    <w:p>
      <w:pPr>
        <w:pStyle w:val="Heading1"/>
        <w:jc w:val="left"/>
      </w:pPr>
      <w:r>
        <w:rPr>
          <w:rFonts w:ascii="Times New Roman" w:hAnsi="Times New Roman" w:eastAsia="Times New Roman"/>
          <w:b/>
          <w:sz w:val="24"/>
        </w:rPr>
        <w:t>Appendix D. Competitor Model Transferability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eastAsia="Times New Roman"/>
                <w:b/>
                <w:sz w:val="20"/>
              </w:rPr>
              <w:t>Company</w:t>
            </w:r>
          </w:p>
        </w:tc>
        <w:tc>
          <w:tcPr>
            <w:tcW w:type="dxa" w:w="2160"/>
          </w:tcPr>
          <w:p>
            <w:pPr>
              <w:jc w:val="left"/>
            </w:pPr>
            <w:r/>
            <w:r>
              <w:rPr>
                <w:rFonts w:ascii="Times New Roman" w:hAnsi="Times New Roman" w:eastAsia="Times New Roman"/>
                <w:b/>
                <w:sz w:val="20"/>
              </w:rPr>
              <w:t>Core advantage</w:t>
            </w:r>
          </w:p>
        </w:tc>
        <w:tc>
          <w:tcPr>
            <w:tcW w:type="dxa" w:w="2160"/>
          </w:tcPr>
          <w:p>
            <w:pPr>
              <w:jc w:val="left"/>
            </w:pPr>
            <w:r/>
            <w:r>
              <w:rPr>
                <w:rFonts w:ascii="Times New Roman" w:hAnsi="Times New Roman" w:eastAsia="Times New Roman"/>
                <w:b/>
                <w:sz w:val="20"/>
              </w:rPr>
              <w:t>Health / retirement strength</w:t>
            </w:r>
          </w:p>
        </w:tc>
        <w:tc>
          <w:tcPr>
            <w:tcW w:type="dxa" w:w="2160"/>
          </w:tcPr>
          <w:p>
            <w:pPr>
              <w:jc w:val="left"/>
            </w:pPr>
            <w:r/>
            <w:r>
              <w:rPr>
                <w:rFonts w:ascii="Times New Roman" w:hAnsi="Times New Roman" w:eastAsia="Times New Roman"/>
                <w:b/>
                <w:sz w:val="20"/>
              </w:rPr>
              <w:t>Strategic implication for China Life</w:t>
            </w:r>
          </w:p>
        </w:tc>
      </w:tr>
      <w:tr>
        <w:tc>
          <w:tcPr>
            <w:tcW w:type="dxa" w:w="2160"/>
          </w:tcPr>
          <w:p>
            <w:pPr>
              <w:jc w:val="left"/>
            </w:pPr>
            <w:r/>
            <w:r>
              <w:rPr>
                <w:rFonts w:ascii="Times New Roman" w:hAnsi="Times New Roman" w:eastAsia="Times New Roman"/>
                <w:sz w:val="20"/>
              </w:rPr>
              <w:t>China Life</w:t>
            </w:r>
          </w:p>
        </w:tc>
        <w:tc>
          <w:tcPr>
            <w:tcW w:type="dxa" w:w="2160"/>
          </w:tcPr>
          <w:p>
            <w:pPr>
              <w:jc w:val="left"/>
            </w:pPr>
            <w:r/>
            <w:r>
              <w:rPr>
                <w:rFonts w:ascii="Times New Roman" w:hAnsi="Times New Roman" w:eastAsia="Times New Roman"/>
                <w:sz w:val="20"/>
              </w:rPr>
              <w:t>Scale, embedded value, pension positioning</w:t>
            </w:r>
          </w:p>
        </w:tc>
        <w:tc>
          <w:tcPr>
            <w:tcW w:type="dxa" w:w="2160"/>
          </w:tcPr>
          <w:p>
            <w:pPr>
              <w:jc w:val="left"/>
            </w:pPr>
            <w:r/>
            <w:r>
              <w:rPr>
                <w:rFonts w:ascii="Times New Roman" w:hAnsi="Times New Roman" w:eastAsia="Times New Roman"/>
                <w:sz w:val="20"/>
              </w:rPr>
              <w:t>Stronger at product-level retirement positioning than full ecosystem monetisation</w:t>
            </w:r>
          </w:p>
        </w:tc>
        <w:tc>
          <w:tcPr>
            <w:tcW w:type="dxa" w:w="2160"/>
          </w:tcPr>
          <w:p>
            <w:pPr>
              <w:jc w:val="left"/>
            </w:pPr>
            <w:r/>
            <w:r>
              <w:rPr>
                <w:rFonts w:ascii="Times New Roman" w:hAnsi="Times New Roman" w:eastAsia="Times New Roman"/>
                <w:sz w:val="20"/>
              </w:rPr>
              <w:t>Should defend the core and extend selectively from insurance strength</w:t>
            </w:r>
          </w:p>
        </w:tc>
      </w:tr>
      <w:tr>
        <w:tc>
          <w:tcPr>
            <w:tcW w:type="dxa" w:w="2160"/>
          </w:tcPr>
          <w:p>
            <w:pPr>
              <w:jc w:val="left"/>
            </w:pPr>
            <w:r/>
            <w:r>
              <w:rPr>
                <w:rFonts w:ascii="Times New Roman" w:hAnsi="Times New Roman" w:eastAsia="Times New Roman"/>
                <w:sz w:val="20"/>
              </w:rPr>
              <w:t>Ping An</w:t>
            </w:r>
          </w:p>
        </w:tc>
        <w:tc>
          <w:tcPr>
            <w:tcW w:type="dxa" w:w="2160"/>
          </w:tcPr>
          <w:p>
            <w:pPr>
              <w:jc w:val="left"/>
            </w:pPr>
            <w:r/>
            <w:r>
              <w:rPr>
                <w:rFonts w:ascii="Times New Roman" w:hAnsi="Times New Roman" w:eastAsia="Times New Roman"/>
                <w:sz w:val="20"/>
              </w:rPr>
              <w:t>Ecosystem integration and monetisation capability</w:t>
            </w:r>
          </w:p>
        </w:tc>
        <w:tc>
          <w:tcPr>
            <w:tcW w:type="dxa" w:w="2160"/>
          </w:tcPr>
          <w:p>
            <w:pPr>
              <w:jc w:val="left"/>
            </w:pPr>
            <w:r/>
            <w:r>
              <w:rPr>
                <w:rFonts w:ascii="Times New Roman" w:hAnsi="Times New Roman" w:eastAsia="Times New Roman"/>
                <w:sz w:val="20"/>
              </w:rPr>
              <w:t>Deeper health and senior-care service integration</w:t>
            </w:r>
          </w:p>
        </w:tc>
        <w:tc>
          <w:tcPr>
            <w:tcW w:type="dxa" w:w="2160"/>
          </w:tcPr>
          <w:p>
            <w:pPr>
              <w:jc w:val="left"/>
            </w:pPr>
            <w:r/>
            <w:r>
              <w:rPr>
                <w:rFonts w:ascii="Times New Roman" w:hAnsi="Times New Roman" w:eastAsia="Times New Roman"/>
                <w:sz w:val="20"/>
              </w:rPr>
              <w:t>Useful logic for service adjacency, but not a full model to copy</w:t>
            </w:r>
          </w:p>
        </w:tc>
      </w:tr>
      <w:tr>
        <w:tc>
          <w:tcPr>
            <w:tcW w:type="dxa" w:w="2160"/>
          </w:tcPr>
          <w:p>
            <w:pPr>
              <w:jc w:val="left"/>
            </w:pPr>
            <w:r/>
            <w:r>
              <w:rPr>
                <w:rFonts w:ascii="Times New Roman" w:hAnsi="Times New Roman" w:eastAsia="Times New Roman"/>
                <w:sz w:val="20"/>
              </w:rPr>
              <w:t>CPIC</w:t>
            </w:r>
          </w:p>
        </w:tc>
        <w:tc>
          <w:tcPr>
            <w:tcW w:type="dxa" w:w="2160"/>
          </w:tcPr>
          <w:p>
            <w:pPr>
              <w:jc w:val="left"/>
            </w:pPr>
            <w:r/>
            <w:r>
              <w:rPr>
                <w:rFonts w:ascii="Times New Roman" w:hAnsi="Times New Roman" w:eastAsia="Times New Roman"/>
                <w:sz w:val="20"/>
              </w:rPr>
              <w:t>Broadening retirement-service footprint</w:t>
            </w:r>
          </w:p>
        </w:tc>
        <w:tc>
          <w:tcPr>
            <w:tcW w:type="dxa" w:w="2160"/>
          </w:tcPr>
          <w:p>
            <w:pPr>
              <w:jc w:val="left"/>
            </w:pPr>
            <w:r/>
            <w:r>
              <w:rPr>
                <w:rFonts w:ascii="Times New Roman" w:hAnsi="Times New Roman" w:eastAsia="Times New Roman"/>
                <w:sz w:val="20"/>
              </w:rPr>
              <w:t>Shows ecosystem competition is wider than a single rival</w:t>
            </w:r>
          </w:p>
        </w:tc>
        <w:tc>
          <w:tcPr>
            <w:tcW w:type="dxa" w:w="2160"/>
          </w:tcPr>
          <w:p>
            <w:pPr>
              <w:jc w:val="left"/>
            </w:pPr>
            <w:r/>
            <w:r>
              <w:rPr>
                <w:rFonts w:ascii="Times New Roman" w:hAnsi="Times New Roman" w:eastAsia="Times New Roman"/>
                <w:sz w:val="20"/>
              </w:rPr>
              <w:t>Confirms China Life needs a response, but not wholesale imitation</w:t>
            </w:r>
          </w:p>
        </w:tc>
      </w:tr>
    </w:tbl>
    <w:p/>
    <w:p>
      <w:pPr>
        <w:pStyle w:val="Heading1"/>
        <w:jc w:val="left"/>
      </w:pPr>
      <w:r>
        <w:rPr>
          <w:rFonts w:ascii="Times New Roman" w:hAnsi="Times New Roman" w:eastAsia="Times New Roman"/>
          <w:b/>
          <w:sz w:val="24"/>
        </w:rPr>
        <w:t>Appendix E. BCG Matrix Map</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pPr>
              <w:jc w:val="left"/>
            </w:pPr>
            <w:r/>
            <w:r>
              <w:rPr>
                <w:rFonts w:ascii="Times New Roman" w:hAnsi="Times New Roman" w:eastAsia="Times New Roman"/>
                <w:b/>
                <w:sz w:val="20"/>
              </w:rPr>
            </w:r>
          </w:p>
        </w:tc>
        <w:tc>
          <w:tcPr>
            <w:tcW w:type="dxa" w:w="2880"/>
          </w:tcPr>
          <w:p>
            <w:pPr>
              <w:jc w:val="left"/>
            </w:pPr>
            <w:r/>
            <w:r>
              <w:rPr>
                <w:rFonts w:ascii="Times New Roman" w:hAnsi="Times New Roman" w:eastAsia="Times New Roman"/>
                <w:b/>
                <w:sz w:val="20"/>
              </w:rPr>
              <w:t>High growth</w:t>
            </w:r>
          </w:p>
        </w:tc>
        <w:tc>
          <w:tcPr>
            <w:tcW w:type="dxa" w:w="2880"/>
          </w:tcPr>
          <w:p>
            <w:pPr>
              <w:jc w:val="left"/>
            </w:pPr>
            <w:r/>
            <w:r>
              <w:rPr>
                <w:rFonts w:ascii="Times New Roman" w:hAnsi="Times New Roman" w:eastAsia="Times New Roman"/>
                <w:b/>
                <w:sz w:val="20"/>
              </w:rPr>
              <w:t>Low growth</w:t>
            </w:r>
          </w:p>
        </w:tc>
      </w:tr>
      <w:tr>
        <w:tc>
          <w:tcPr>
            <w:tcW w:type="dxa" w:w="2880"/>
          </w:tcPr>
          <w:p>
            <w:pPr>
              <w:jc w:val="left"/>
            </w:pPr>
            <w:r/>
            <w:r>
              <w:rPr>
                <w:rFonts w:ascii="Times New Roman" w:hAnsi="Times New Roman" w:eastAsia="Times New Roman"/>
                <w:sz w:val="20"/>
              </w:rPr>
              <w:t>High relative position</w:t>
            </w:r>
          </w:p>
        </w:tc>
        <w:tc>
          <w:tcPr>
            <w:tcW w:type="dxa" w:w="2880"/>
          </w:tcPr>
          <w:p>
            <w:pPr>
              <w:jc w:val="left"/>
            </w:pPr>
            <w:r/>
            <w:r>
              <w:rPr>
                <w:rFonts w:ascii="Times New Roman" w:hAnsi="Times New Roman" w:eastAsia="Times New Roman"/>
                <w:sz w:val="20"/>
              </w:rPr>
              <w:t>Borderline Star: Annuity / pension insurance</w:t>
            </w:r>
          </w:p>
        </w:tc>
        <w:tc>
          <w:tcPr>
            <w:tcW w:type="dxa" w:w="2880"/>
          </w:tcPr>
          <w:p>
            <w:pPr>
              <w:jc w:val="left"/>
            </w:pPr>
            <w:r/>
            <w:r>
              <w:rPr>
                <w:rFonts w:ascii="Times New Roman" w:hAnsi="Times New Roman" w:eastAsia="Times New Roman"/>
                <w:sz w:val="20"/>
              </w:rPr>
              <w:t>Cash Cow: Life insurance</w:t>
            </w:r>
          </w:p>
        </w:tc>
      </w:tr>
      <w:tr>
        <w:tc>
          <w:tcPr>
            <w:tcW w:type="dxa" w:w="2880"/>
          </w:tcPr>
          <w:p>
            <w:pPr>
              <w:jc w:val="left"/>
            </w:pPr>
            <w:r/>
            <w:r>
              <w:rPr>
                <w:rFonts w:ascii="Times New Roman" w:hAnsi="Times New Roman" w:eastAsia="Times New Roman"/>
                <w:sz w:val="20"/>
              </w:rPr>
              <w:t>Low relative position</w:t>
            </w:r>
          </w:p>
        </w:tc>
        <w:tc>
          <w:tcPr>
            <w:tcW w:type="dxa" w:w="2880"/>
          </w:tcPr>
          <w:p>
            <w:pPr>
              <w:jc w:val="left"/>
            </w:pPr>
            <w:r/>
            <w:r>
              <w:rPr>
                <w:rFonts w:ascii="Times New Roman" w:hAnsi="Times New Roman" w:eastAsia="Times New Roman"/>
                <w:sz w:val="20"/>
              </w:rPr>
              <w:t>Question Mark: Health / LTCI-related insurance</w:t>
            </w:r>
          </w:p>
        </w:tc>
        <w:tc>
          <w:tcPr>
            <w:tcW w:type="dxa" w:w="2880"/>
          </w:tcPr>
          <w:p>
            <w:pPr>
              <w:jc w:val="left"/>
            </w:pPr>
            <w:r/>
            <w:r>
              <w:rPr>
                <w:rFonts w:ascii="Times New Roman" w:hAnsi="Times New Roman" w:eastAsia="Times New Roman"/>
                <w:sz w:val="20"/>
              </w:rPr>
              <w:t>Low-priority support line: Accident / short-term protection</w:t>
            </w:r>
          </w:p>
        </w:tc>
      </w:tr>
    </w:tbl>
    <w:p/>
    <w:p>
      <w:pPr>
        <w:pStyle w:val="Heading1"/>
        <w:jc w:val="left"/>
      </w:pPr>
      <w:r>
        <w:rPr>
          <w:rFonts w:ascii="Times New Roman" w:hAnsi="Times New Roman" w:eastAsia="Times New Roman"/>
          <w:b/>
          <w:sz w:val="24"/>
        </w:rPr>
        <w:t>Appendix F. Ansoff Matrix Map</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pPr>
              <w:jc w:val="left"/>
            </w:pPr>
            <w:r/>
            <w:r>
              <w:rPr>
                <w:rFonts w:ascii="Times New Roman" w:hAnsi="Times New Roman" w:eastAsia="Times New Roman"/>
                <w:b/>
                <w:sz w:val="20"/>
              </w:rPr>
            </w:r>
          </w:p>
        </w:tc>
        <w:tc>
          <w:tcPr>
            <w:tcW w:type="dxa" w:w="2880"/>
          </w:tcPr>
          <w:p>
            <w:pPr>
              <w:jc w:val="left"/>
            </w:pPr>
            <w:r/>
            <w:r>
              <w:rPr>
                <w:rFonts w:ascii="Times New Roman" w:hAnsi="Times New Roman" w:eastAsia="Times New Roman"/>
                <w:b/>
                <w:sz w:val="20"/>
              </w:rPr>
              <w:t>Existing markets</w:t>
            </w:r>
          </w:p>
        </w:tc>
        <w:tc>
          <w:tcPr>
            <w:tcW w:type="dxa" w:w="2880"/>
          </w:tcPr>
          <w:p>
            <w:pPr>
              <w:jc w:val="left"/>
            </w:pPr>
            <w:r/>
            <w:r>
              <w:rPr>
                <w:rFonts w:ascii="Times New Roman" w:hAnsi="Times New Roman" w:eastAsia="Times New Roman"/>
                <w:b/>
                <w:sz w:val="20"/>
              </w:rPr>
              <w:t>New / adjacent markets</w:t>
            </w:r>
          </w:p>
        </w:tc>
      </w:tr>
      <w:tr>
        <w:tc>
          <w:tcPr>
            <w:tcW w:type="dxa" w:w="2880"/>
          </w:tcPr>
          <w:p>
            <w:pPr>
              <w:jc w:val="left"/>
            </w:pPr>
            <w:r/>
            <w:r>
              <w:rPr>
                <w:rFonts w:ascii="Times New Roman" w:hAnsi="Times New Roman" w:eastAsia="Times New Roman"/>
                <w:sz w:val="20"/>
              </w:rPr>
              <w:t>Existing / adapted insurance offer</w:t>
            </w:r>
          </w:p>
        </w:tc>
        <w:tc>
          <w:tcPr>
            <w:tcW w:type="dxa" w:w="2880"/>
          </w:tcPr>
          <w:p>
            <w:pPr>
              <w:jc w:val="left"/>
            </w:pPr>
            <w:r/>
            <w:r>
              <w:rPr>
                <w:rFonts w:ascii="Times New Roman" w:hAnsi="Times New Roman" w:eastAsia="Times New Roman"/>
                <w:sz w:val="20"/>
              </w:rPr>
              <w:t>Market penetration: improve core retention and productivity</w:t>
            </w:r>
          </w:p>
        </w:tc>
        <w:tc>
          <w:tcPr>
            <w:tcW w:type="dxa" w:w="2880"/>
          </w:tcPr>
          <w:p>
            <w:pPr>
              <w:jc w:val="left"/>
            </w:pPr>
            <w:r/>
            <w:r>
              <w:rPr>
                <w:rFonts w:ascii="Times New Roman" w:hAnsi="Times New Roman" w:eastAsia="Times New Roman"/>
                <w:sz w:val="20"/>
              </w:rPr>
              <w:t>Market development: selected pre-retirement, older and public-private segments</w:t>
            </w:r>
          </w:p>
        </w:tc>
      </w:tr>
      <w:tr>
        <w:tc>
          <w:tcPr>
            <w:tcW w:type="dxa" w:w="2880"/>
          </w:tcPr>
          <w:p>
            <w:pPr>
              <w:jc w:val="left"/>
            </w:pPr>
            <w:r/>
            <w:r>
              <w:rPr>
                <w:rFonts w:ascii="Times New Roman" w:hAnsi="Times New Roman" w:eastAsia="Times New Roman"/>
                <w:sz w:val="20"/>
              </w:rPr>
              <w:t>New service / offer combination</w:t>
            </w:r>
          </w:p>
        </w:tc>
        <w:tc>
          <w:tcPr>
            <w:tcW w:type="dxa" w:w="2880"/>
          </w:tcPr>
          <w:p>
            <w:pPr>
              <w:jc w:val="left"/>
            </w:pPr>
            <w:r/>
            <w:r>
              <w:rPr>
                <w:rFonts w:ascii="Times New Roman" w:hAnsi="Times New Roman" w:eastAsia="Times New Roman"/>
                <w:sz w:val="20"/>
              </w:rPr>
              <w:t>Product development: annuity-health-care bundles for existing customers</w:t>
            </w:r>
          </w:p>
        </w:tc>
        <w:tc>
          <w:tcPr>
            <w:tcW w:type="dxa" w:w="2880"/>
          </w:tcPr>
          <w:p>
            <w:pPr>
              <w:jc w:val="left"/>
            </w:pPr>
            <w:r/>
            <w:r>
              <w:rPr>
                <w:rFonts w:ascii="Times New Roman" w:hAnsi="Times New Roman" w:eastAsia="Times New Roman"/>
                <w:sz w:val="20"/>
              </w:rPr>
              <w:t>Related diversification: partnership-led senior-care and service adjacencies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