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2195</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portfolio case because of its scale. In 2024, China’s insurance industry generated RMB5.7 trillion in premium income and China Life reported gross written premiums of RMB671,457 million, embedded value of RMB1,401,146 million (China Insurance Association, 2025; China Life Insurance Company Limited, 2025a). The issue is how resources should be reallocated as ageing, pension reform, health demand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Yet abandoning BCG entirely would weaken portfolio discipline, so it remains useful if units are defined carefully. This report therefore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 (1957).</w:t>
      </w:r>
    </w:p>
    <w:p>
      <w:pPr>
        <w:ind w:firstLine="480"/>
        <w:jc w:val="both"/>
      </w:pPr>
      <w:r>
        <w:rPr>
          <w:rFonts w:ascii="Times New Roman" w:hAnsi="Times New Roman" w:eastAsia="Times New Roman"/>
          <w:sz w:val="24"/>
        </w:rPr>
        <w:t>Here, product portfolio refers to the four disclosed insurance lines, while service portfolio refers to senior-care projects, claims and referral processes, digital touchpoints and partner-based care services. Because these elements are not separable share-growth business units, they are analysed under Ansoff related diversification rather than as stand-alone BCG units. Their value lies in improving cross-sell, retention and pricing discipline through claims, referral and customer-data integration.</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Classification confidence is highest for life insurance, moderate for annuity and health insurance, and lowest for accident insurance. Appendix A summarises the proxy logic.</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The labels remain proxy-based, but can still guide priorities if alternative interpretations are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and embedded value indicate a mature but productive core (China Life Insurance Company Limited, 2025a). Industry data show 8.85% premium growth and 93.47% 13-month persistency in 2023, suggesting a quality-and-efficiency challenge rather than explosive growth (China Insurance Association, 2024). Relative to Ping An and CPIC, China Life’s clearest advantage still lies in scale and embedded value rather than service-led ecosystem monetisation (China Pacific Insurance (Group) Co., Ltd., 2025; Ping An Insurance (Group) Company of China, Ltd., 2025a, 2025b).</w:t>
      </w:r>
    </w:p>
    <w:p>
      <w:pPr>
        <w:ind w:firstLine="480"/>
        <w:jc w:val="both"/>
      </w:pPr>
      <w:r>
        <w:rPr>
          <w:rFonts w:ascii="Times New Roman" w:hAnsi="Times New Roman" w:eastAsia="Times New Roman"/>
          <w:sz w:val="24"/>
        </w:rPr>
        <w:t>An alternative reading would treat life insurance as a low-growth legacy line that deserves little new attention. That interpretation is rejected because China Life’s relative position and cash-generation remain stronger here than in any other line. The real concern is whether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Borderline Star</w:t>
      </w:r>
    </w:p>
    <w:p>
      <w:pPr>
        <w:ind w:firstLine="480"/>
        <w:jc w:val="both"/>
      </w:pPr>
      <w:r>
        <w:rPr>
          <w:rFonts w:ascii="Times New Roman" w:hAnsi="Times New Roman" w:eastAsia="Times New Roman"/>
          <w:sz w:val="24"/>
        </w:rPr>
        <w:t>Annuity insurance is best seen as a borderline Star. China Life states that its third-pillar private pension and commercial annuity insurance businesses ranked first in the industry and that commercial annuity insurance accelerated in 2024 (China Life Insurance Company Limited, 2025a). Late-2024 policy changes confirmed commercial insurance annuities as a core third-pillar category and implemented the personal pension system nationwide, reinforcing retirement-related demand (State Council of the People’s Republic of China, 2024a, 2024b;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is partly persuasive, but it is not adopted because China Life’s disclosed first-place position in third-pillar private pension and commercial annuity provides stronger evidence of relative position than exists in health insurance. Relative to Ping An and CPIC, China Life appears stronger in product-level pension positioning but weaker in full-service retirement monetisation, as rivals report broader retirement-service footprints across multiple cities (China Pacific Insurance (Group) Co., Ltd., 2025; Ping An Insurance (Group) Company of China, Ltd., 2025a, 2025b). The line is closer to Star than to Question Mark, but not enough to lose the qualifier.</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and policy participation do not yet demonstrate profitable dominance under tighter pricing discipline, especially when peers show deeper service integration.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Relative to Ping An, China Life’s programme participation shows reach, but not yet equivalent monetisation strength, since Ping An discloses more than 31 million paying retail customers for health and senior-care services (Ping An Insurance (Group) Company of China, Ltd., 2025a).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Low-Priority Support Line</w:t>
      </w:r>
    </w:p>
    <w:p>
      <w:pPr>
        <w:ind w:firstLine="480"/>
        <w:jc w:val="both"/>
      </w:pPr>
      <w:r>
        <w:rPr>
          <w:rFonts w:ascii="Times New Roman" w:hAnsi="Times New Roman" w:eastAsia="Times New Roman"/>
          <w:sz w:val="24"/>
        </w:rPr>
        <w:t>Accident insurance is the weakest line in BCG terms and is best treated as a low-priority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that sits outside BCG rather than within it. That view is not adopted because support products still absorb distribution effort, managerial attention and some capital. Relative to higher-priority lines, accident insurance lacks stand-alone differentiation and growth evidence, so it should stay in the portfolio mainly for completion and bundling, not for growth investment.</w:t>
      </w:r>
    </w:p>
    <w:p>
      <w:pPr>
        <w:ind w:firstLine="480"/>
        <w:jc w:val="both"/>
      </w:pPr>
      <w:r>
        <w:rPr>
          <w:rFonts w:ascii="Times New Roman" w:hAnsi="Times New Roman" w:eastAsia="Times New Roman"/>
          <w:sz w:val="24"/>
        </w:rP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 (see Appendix D).</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Here,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upside but also the highest capability and capital stretch (Appendix B).</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(China Life Insurance Company Limited, 2025a). Two priority moves are especially defensible. The first is a pre-retirement bundle combining commercial annuity accumulation with health or long-term care protection for urban salaried households, sold mainly through bancassurance and certified agents and judged by conversion, retention and claims performance. The second is a top-up health and care-referral offer for existing policyholders, sold through agents and app-based prompts and judged by cross-sell, persistence and claims turnaround time.</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upside is high, but the return horizon is longer and the implementation burden is materially higher. The senior-care ecosystem belongs here. China Life already has 17 institutional elderly-care projects across 14 cities and three senior-care product lines in operation (China Life Insurance Company Limited, 2025a, 2025b). Barney (1991) helps explain why this route is tempting: scale, trust and distribution reach are valuable resources. But Day (1994) and Teece (2007) imply that value depends on integrating claims, service, customer data and partner networks. It ranks below product development because capability stretch, capital exposure and payback uncertainty are materially higher. China Life’s most defensible path is therefore not to copy Ping An’s ecosystem model wholesale, but to extend from scale-and-pension strength into selectively integrated service adjacencies. If ecosystem expansion weakens core return metrics, capital should return to product-led growth; if partnership delivery improves service integration without requiring owned asset expansion, that route should dominate.</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A selective market-development route would target pre-retirement and older urban customers through bancassurance and community channels, but the risk is margin dilution if capabilities do not translate into segment-specific advice. That risk keeps market development below product development.</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Market penetration should therefore focus on higher persistency and cross-sell within the installed base, but it remains a defensive route because it improves core efficiency more than it changes product relevance.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and avoid overcommitting capital to accident insurance beyond its bundling role.</w:t>
      </w:r>
    </w:p>
    <w:p>
      <w:pPr>
        <w:ind w:firstLine="480"/>
        <w:jc w:val="both"/>
      </w:pPr>
      <w:r>
        <w:rPr>
          <w:rFonts w:ascii="Times New Roman" w:hAnsi="Times New Roman" w:eastAsia="Times New Roman"/>
          <w:sz w:val="24"/>
        </w:rPr>
        <w:t>Organisational learning is not just an implementation detail here; it changes strategy selection itself. Following March (1991), China Life faces an exploration-exploitation problem: over-exploiting the mature life core may protect short-run efficiency but weaken future relevance, while over-exploring ecosystem assets may destroy value before the organisation learns how to monetise them. The company therefore needs learning loops to test whether annuity-health bundles improve retention and conversion, whether claims and service data sharpen pricing discipline, and whether partnership delivery can create value without asset-heavy drag. Strong evidence should deepen commitment, mixed evidence should keep pilots capped, and weak evidence should redirect capital back toward product-led growth.</w:t>
      </w:r>
    </w:p>
    <w:p>
      <w:pPr>
        <w:ind w:firstLine="480"/>
        <w:jc w:val="both"/>
      </w:pPr>
      <w:r>
        <w:rPr>
          <w:rFonts w:ascii="Times New Roman" w:hAnsi="Times New Roman" w:eastAsia="Times New Roman"/>
          <w:sz w:val="24"/>
        </w:rPr>
        <w:t>In the next 12 months, China Life should treat the life core as a performance engine, cap capital reallocation to ecosystem pilots, and shift branch and agent scorecards away from premium volume alone toward value of one year’s sales, agent productivity, persistence and capital efficiency. Over the same period, it should standardise customer data, claims workflows and service referral processes in cities where it already operates elderly-care projects. From months 12 to 24, it should pilot bundled propositions combining annuity, health cover and care-related services, while selected agents receive retirement-planning certification and the China Life App integrates claims prompts. From months 24 to 36, rollout should scale only if evidence improves.</w:t>
      </w:r>
    </w:p>
    <w:p>
      <w:pPr>
        <w:ind w:firstLine="480"/>
        <w:jc w:val="both"/>
      </w:pPr>
      <w:r>
        <w:rPr>
          <w:rFonts w:ascii="Times New Roman" w:hAnsi="Times New Roman" w:eastAsia="Times New Roman"/>
          <w:sz w:val="24"/>
        </w:rPr>
        <w:t>Appendix C sets out governance. Core metrics should include value of one year’s sales, persistence, agent productivity and capital efficiency. Ecosystem pilots should be judged through cross-sell ratio, ecosystem-linked new business, elderly retention and claims turnaround time. Go/no-go rules should also be clear: if core efficiency fails to improve after 12 months, expansionary initiatives should pause; if ecosystem expansion weakens core return metrics, capital should return to product-led growth; and if digital routing and agent incentives conflict, redesign should prioritise whichever side better protects retention and value of new business.</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best seen as a borderline Star, health insurance is a Question Mark, and accident insurance should remain a low-priority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China Life should prioritise annuity and health product development now; invest in senior-care diversification selectively and on a partnership-led basis; defend but not overfund the mature life core; and avoid treating accident insurance as an independent growth engine. This is not the lowest-risk path, but it is the most defensible under China Life’s profile.</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March, J. G. (1991). Exploration and exploitation in organizational learning. </w:t>
      </w:r>
      <w:r>
        <w:rPr>
          <w:rFonts w:ascii="Times New Roman" w:hAnsi="Times New Roman" w:eastAsia="Times New Roman"/>
          <w:i/>
          <w:sz w:val="24"/>
        </w:rPr>
        <w:t>Organization Science, 2</w:t>
      </w:r>
      <w:r>
        <w:rPr>
          <w:rFonts w:ascii="Times New Roman" w:hAnsi="Times New Roman" w:eastAsia="Times New Roman"/>
          <w:sz w:val="24"/>
        </w:rPr>
        <w:t>(1), 71-87. https://doi.org/10.1287/orsc.2.1.71</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Borderline Star</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Emerging Star if breadth can be translated into profitable dominance</w:t>
            </w:r>
          </w:p>
        </w:tc>
        <w:tc>
          <w:tcPr>
            <w:tcW w:type="dxa" w:w="1234"/>
          </w:tcPr>
          <w:p>
            <w:pPr>
              <w:jc w:val="left"/>
            </w:pPr>
            <w:r/>
            <w:r>
              <w:rPr>
                <w:rFonts w:ascii="Times New Roman" w:hAnsi="Times New Roman" w:eastAsia="Times New Roman"/>
                <w:sz w:val="20"/>
              </w:rPr>
              <w:t>Rejected because scale still does not prove sustainable economics under tighter pricing discipline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Low-priority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New service adjacency beyond the core insurance offering</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p>
      <w:pPr>
        <w:pStyle w:val="Heading1"/>
        <w:jc w:val="left"/>
      </w:pPr>
      <w:r>
        <w:rPr>
          <w:rFonts w:ascii="Times New Roman" w:hAnsi="Times New Roman" w:eastAsia="Times New Roman"/>
          <w:b/>
          <w:sz w:val="24"/>
        </w:rPr>
        <w:t>Appendix D. Competitor Model Transferability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Company</w:t>
            </w:r>
          </w:p>
        </w:tc>
        <w:tc>
          <w:tcPr>
            <w:tcW w:type="dxa" w:w="2160"/>
          </w:tcPr>
          <w:p>
            <w:pPr>
              <w:jc w:val="left"/>
            </w:pPr>
            <w:r/>
            <w:r>
              <w:rPr>
                <w:rFonts w:ascii="Times New Roman" w:hAnsi="Times New Roman" w:eastAsia="Times New Roman"/>
                <w:b/>
                <w:sz w:val="20"/>
              </w:rPr>
              <w:t>Core advantage</w:t>
            </w:r>
          </w:p>
        </w:tc>
        <w:tc>
          <w:tcPr>
            <w:tcW w:type="dxa" w:w="2160"/>
          </w:tcPr>
          <w:p>
            <w:pPr>
              <w:jc w:val="left"/>
            </w:pPr>
            <w:r/>
            <w:r>
              <w:rPr>
                <w:rFonts w:ascii="Times New Roman" w:hAnsi="Times New Roman" w:eastAsia="Times New Roman"/>
                <w:b/>
                <w:sz w:val="20"/>
              </w:rPr>
              <w:t>Health / retirement strength</w:t>
            </w:r>
          </w:p>
        </w:tc>
        <w:tc>
          <w:tcPr>
            <w:tcW w:type="dxa" w:w="2160"/>
          </w:tcPr>
          <w:p>
            <w:pPr>
              <w:jc w:val="left"/>
            </w:pPr>
            <w:r/>
            <w:r>
              <w:rPr>
                <w:rFonts w:ascii="Times New Roman" w:hAnsi="Times New Roman" w:eastAsia="Times New Roman"/>
                <w:b/>
                <w:sz w:val="20"/>
              </w:rPr>
              <w:t>Strategic implication for China Life</w:t>
            </w:r>
          </w:p>
        </w:tc>
      </w:tr>
      <w:tr>
        <w:tc>
          <w:tcPr>
            <w:tcW w:type="dxa" w:w="2160"/>
          </w:tcPr>
          <w:p>
            <w:pPr>
              <w:jc w:val="left"/>
            </w:pPr>
            <w:r/>
            <w:r>
              <w:rPr>
                <w:rFonts w:ascii="Times New Roman" w:hAnsi="Times New Roman" w:eastAsia="Times New Roman"/>
                <w:sz w:val="20"/>
              </w:rPr>
              <w:t>China Life</w:t>
            </w:r>
          </w:p>
        </w:tc>
        <w:tc>
          <w:tcPr>
            <w:tcW w:type="dxa" w:w="2160"/>
          </w:tcPr>
          <w:p>
            <w:pPr>
              <w:jc w:val="left"/>
            </w:pPr>
            <w:r/>
            <w:r>
              <w:rPr>
                <w:rFonts w:ascii="Times New Roman" w:hAnsi="Times New Roman" w:eastAsia="Times New Roman"/>
                <w:sz w:val="20"/>
              </w:rPr>
              <w:t>Scale, embedded value, pension positioning</w:t>
            </w:r>
          </w:p>
        </w:tc>
        <w:tc>
          <w:tcPr>
            <w:tcW w:type="dxa" w:w="2160"/>
          </w:tcPr>
          <w:p>
            <w:pPr>
              <w:jc w:val="left"/>
            </w:pPr>
            <w:r/>
            <w:r>
              <w:rPr>
                <w:rFonts w:ascii="Times New Roman" w:hAnsi="Times New Roman" w:eastAsia="Times New Roman"/>
                <w:sz w:val="20"/>
              </w:rPr>
              <w:t>Stronger at product-level retirement positioning than full ecosystem monetisation</w:t>
            </w:r>
          </w:p>
        </w:tc>
        <w:tc>
          <w:tcPr>
            <w:tcW w:type="dxa" w:w="2160"/>
          </w:tcPr>
          <w:p>
            <w:pPr>
              <w:jc w:val="left"/>
            </w:pPr>
            <w:r/>
            <w:r>
              <w:rPr>
                <w:rFonts w:ascii="Times New Roman" w:hAnsi="Times New Roman" w:eastAsia="Times New Roman"/>
                <w:sz w:val="20"/>
              </w:rPr>
              <w:t>Should defend the core and extend selectively from insurance strength</w:t>
            </w:r>
          </w:p>
        </w:tc>
      </w:tr>
      <w:tr>
        <w:tc>
          <w:tcPr>
            <w:tcW w:type="dxa" w:w="2160"/>
          </w:tcPr>
          <w:p>
            <w:pPr>
              <w:jc w:val="left"/>
            </w:pPr>
            <w:r/>
            <w:r>
              <w:rPr>
                <w:rFonts w:ascii="Times New Roman" w:hAnsi="Times New Roman" w:eastAsia="Times New Roman"/>
                <w:sz w:val="20"/>
              </w:rPr>
              <w:t>Ping An</w:t>
            </w:r>
          </w:p>
        </w:tc>
        <w:tc>
          <w:tcPr>
            <w:tcW w:type="dxa" w:w="2160"/>
          </w:tcPr>
          <w:p>
            <w:pPr>
              <w:jc w:val="left"/>
            </w:pPr>
            <w:r/>
            <w:r>
              <w:rPr>
                <w:rFonts w:ascii="Times New Roman" w:hAnsi="Times New Roman" w:eastAsia="Times New Roman"/>
                <w:sz w:val="20"/>
              </w:rPr>
              <w:t>Ecosystem integration and monetisation capability</w:t>
            </w:r>
          </w:p>
        </w:tc>
        <w:tc>
          <w:tcPr>
            <w:tcW w:type="dxa" w:w="2160"/>
          </w:tcPr>
          <w:p>
            <w:pPr>
              <w:jc w:val="left"/>
            </w:pPr>
            <w:r/>
            <w:r>
              <w:rPr>
                <w:rFonts w:ascii="Times New Roman" w:hAnsi="Times New Roman" w:eastAsia="Times New Roman"/>
                <w:sz w:val="20"/>
              </w:rPr>
              <w:t>Deeper health and senior-care service integration</w:t>
            </w:r>
          </w:p>
        </w:tc>
        <w:tc>
          <w:tcPr>
            <w:tcW w:type="dxa" w:w="2160"/>
          </w:tcPr>
          <w:p>
            <w:pPr>
              <w:jc w:val="left"/>
            </w:pPr>
            <w:r/>
            <w:r>
              <w:rPr>
                <w:rFonts w:ascii="Times New Roman" w:hAnsi="Times New Roman" w:eastAsia="Times New Roman"/>
                <w:sz w:val="20"/>
              </w:rPr>
              <w:t>Useful logic for service adjacency, but not a full model to copy</w:t>
            </w:r>
          </w:p>
        </w:tc>
      </w:tr>
      <w:tr>
        <w:tc>
          <w:tcPr>
            <w:tcW w:type="dxa" w:w="2160"/>
          </w:tcPr>
          <w:p>
            <w:pPr>
              <w:jc w:val="left"/>
            </w:pPr>
            <w:r/>
            <w:r>
              <w:rPr>
                <w:rFonts w:ascii="Times New Roman" w:hAnsi="Times New Roman" w:eastAsia="Times New Roman"/>
                <w:sz w:val="20"/>
              </w:rPr>
              <w:t>CPIC</w:t>
            </w:r>
          </w:p>
        </w:tc>
        <w:tc>
          <w:tcPr>
            <w:tcW w:type="dxa" w:w="2160"/>
          </w:tcPr>
          <w:p>
            <w:pPr>
              <w:jc w:val="left"/>
            </w:pPr>
            <w:r/>
            <w:r>
              <w:rPr>
                <w:rFonts w:ascii="Times New Roman" w:hAnsi="Times New Roman" w:eastAsia="Times New Roman"/>
                <w:sz w:val="20"/>
              </w:rPr>
              <w:t>Broadening retirement-service footprint</w:t>
            </w:r>
          </w:p>
        </w:tc>
        <w:tc>
          <w:tcPr>
            <w:tcW w:type="dxa" w:w="2160"/>
          </w:tcPr>
          <w:p>
            <w:pPr>
              <w:jc w:val="left"/>
            </w:pPr>
            <w:r/>
            <w:r>
              <w:rPr>
                <w:rFonts w:ascii="Times New Roman" w:hAnsi="Times New Roman" w:eastAsia="Times New Roman"/>
                <w:sz w:val="20"/>
              </w:rPr>
              <w:t>Shows ecosystem competition is wider than a single rival</w:t>
            </w:r>
          </w:p>
        </w:tc>
        <w:tc>
          <w:tcPr>
            <w:tcW w:type="dxa" w:w="2160"/>
          </w:tcPr>
          <w:p>
            <w:pPr>
              <w:jc w:val="left"/>
            </w:pPr>
            <w:r/>
            <w:r>
              <w:rPr>
                <w:rFonts w:ascii="Times New Roman" w:hAnsi="Times New Roman" w:eastAsia="Times New Roman"/>
                <w:sz w:val="20"/>
              </w:rPr>
              <w:t>Confirms China Life needs a response, but not wholesale imitation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