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7AED1">
      <w:pPr>
        <w:spacing w:before="93" w:beforeLines="30" w:line="240" w:lineRule="auto"/>
        <w:ind w:firstLine="0" w:firstLineChars="0"/>
        <w:jc w:val="center"/>
        <w:rPr>
          <w:rFonts w:ascii="Times New Roman" w:hAnsi="Times New Roman" w:eastAsia="黑体" w:cs="Times New Roman"/>
          <w:b/>
          <w:sz w:val="36"/>
          <w:szCs w:val="36"/>
        </w:rPr>
      </w:pPr>
      <w:r>
        <w:rPr>
          <w:rFonts w:ascii="Times New Roman" w:hAnsi="Times New Roman" w:eastAsia="黑体" w:cs="Times New Roman"/>
          <w:b/>
          <w:sz w:val="36"/>
          <w:szCs w:val="36"/>
        </w:rPr>
        <w:t>交通运输工程学院</w:t>
      </w:r>
      <w:bookmarkStart w:id="0" w:name="_Toc24635516"/>
    </w:p>
    <w:p w14:paraId="5E0DD937">
      <w:pPr>
        <w:spacing w:before="93" w:beforeLines="30" w:line="240" w:lineRule="auto"/>
        <w:ind w:firstLine="0" w:firstLineChars="0"/>
        <w:jc w:val="center"/>
        <w:rPr>
          <w:rFonts w:ascii="Times New Roman" w:hAnsi="Times New Roman" w:eastAsia="黑体" w:cs="Times New Roman"/>
          <w:b/>
          <w:sz w:val="36"/>
          <w:szCs w:val="36"/>
        </w:rPr>
      </w:pPr>
      <w:r>
        <w:rPr>
          <w:rFonts w:ascii="Times New Roman" w:hAnsi="Times New Roman" w:eastAsia="黑体" w:cs="Times New Roman"/>
          <w:b/>
          <w:bCs/>
          <w:kern w:val="44"/>
          <w:sz w:val="44"/>
          <w:szCs w:val="44"/>
        </w:rPr>
        <w:t>毕业论文（设计）开题报告书</w:t>
      </w:r>
      <w:bookmarkEnd w:id="0"/>
    </w:p>
    <w:p w14:paraId="64F3D5C6">
      <w:pPr>
        <w:keepNext/>
        <w:keepLines/>
        <w:spacing w:line="500" w:lineRule="exact"/>
        <w:ind w:firstLine="0" w:firstLineChars="0"/>
        <w:jc w:val="center"/>
        <w:outlineLvl w:val="0"/>
        <w:rPr>
          <w:rFonts w:ascii="Times New Roman" w:hAnsi="Times New Roman" w:eastAsia="黑体" w:cs="Times New Roman"/>
          <w:b/>
          <w:bCs/>
          <w:kern w:val="44"/>
          <w:sz w:val="44"/>
          <w:szCs w:val="44"/>
        </w:rPr>
      </w:pPr>
    </w:p>
    <w:tbl>
      <w:tblPr>
        <w:tblStyle w:val="9"/>
        <w:tblW w:w="91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1"/>
        <w:gridCol w:w="2086"/>
        <w:gridCol w:w="29"/>
        <w:gridCol w:w="1896"/>
        <w:gridCol w:w="3159"/>
      </w:tblGrid>
      <w:tr w14:paraId="19E7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991" w:type="dxa"/>
            <w:vMerge w:val="restart"/>
            <w:tcBorders>
              <w:top w:val="single" w:color="auto" w:sz="4" w:space="0"/>
              <w:left w:val="single" w:color="auto" w:sz="4" w:space="0"/>
              <w:bottom w:val="single" w:color="auto" w:sz="4" w:space="0"/>
              <w:right w:val="single" w:color="auto" w:sz="4" w:space="0"/>
            </w:tcBorders>
            <w:vAlign w:val="center"/>
          </w:tcPr>
          <w:p w14:paraId="2A252E07">
            <w:pPr>
              <w:spacing w:line="240" w:lineRule="auto"/>
              <w:ind w:firstLine="0" w:firstLineChars="0"/>
              <w:jc w:val="center"/>
              <w:rPr>
                <w:rFonts w:ascii="宋体" w:hAnsi="宋体" w:cs="宋体"/>
                <w:sz w:val="21"/>
                <w:szCs w:val="21"/>
              </w:rPr>
            </w:pPr>
            <w:r>
              <w:rPr>
                <w:rFonts w:hint="eastAsia" w:ascii="宋体" w:hAnsi="宋体" w:cs="宋体"/>
                <w:sz w:val="21"/>
                <w:szCs w:val="21"/>
              </w:rPr>
              <w:t>学  生</w:t>
            </w:r>
          </w:p>
        </w:tc>
        <w:tc>
          <w:tcPr>
            <w:tcW w:w="2086" w:type="dxa"/>
            <w:vMerge w:val="restart"/>
            <w:tcBorders>
              <w:top w:val="single" w:color="auto" w:sz="4" w:space="0"/>
              <w:left w:val="single" w:color="auto" w:sz="4" w:space="0"/>
              <w:right w:val="single" w:color="auto" w:sz="4" w:space="0"/>
            </w:tcBorders>
            <w:vAlign w:val="center"/>
          </w:tcPr>
          <w:p w14:paraId="46641696">
            <w:pPr>
              <w:spacing w:line="240" w:lineRule="auto"/>
              <w:ind w:firstLine="0" w:firstLineChars="0"/>
              <w:jc w:val="center"/>
              <w:rPr>
                <w:rFonts w:hint="eastAsia" w:ascii="宋体" w:hAnsi="宋体" w:eastAsia="宋体" w:cs="宋体"/>
                <w:bCs/>
                <w:sz w:val="21"/>
                <w:szCs w:val="21"/>
                <w:lang w:val="en-US" w:eastAsia="zh-CN"/>
              </w:rPr>
            </w:pPr>
            <w:r>
              <w:rPr>
                <w:rFonts w:hint="eastAsia" w:ascii="宋体" w:hAnsi="宋体" w:cs="宋体"/>
                <w:bCs/>
                <w:sz w:val="21"/>
                <w:szCs w:val="21"/>
                <w:lang w:val="en-US" w:eastAsia="zh-CN"/>
              </w:rPr>
              <w:t>甘宇铖</w:t>
            </w:r>
          </w:p>
        </w:tc>
        <w:tc>
          <w:tcPr>
            <w:tcW w:w="1925" w:type="dxa"/>
            <w:gridSpan w:val="2"/>
            <w:tcBorders>
              <w:top w:val="single" w:color="auto" w:sz="4" w:space="0"/>
              <w:left w:val="single" w:color="auto" w:sz="4" w:space="0"/>
              <w:bottom w:val="single" w:color="auto" w:sz="4" w:space="0"/>
              <w:right w:val="single" w:color="auto" w:sz="4" w:space="0"/>
            </w:tcBorders>
            <w:vAlign w:val="center"/>
          </w:tcPr>
          <w:p w14:paraId="0FA74782">
            <w:pPr>
              <w:spacing w:line="240" w:lineRule="auto"/>
              <w:ind w:firstLine="0" w:firstLineChars="0"/>
              <w:jc w:val="center"/>
              <w:rPr>
                <w:rFonts w:ascii="宋体" w:hAnsi="宋体" w:cs="宋体"/>
                <w:sz w:val="21"/>
                <w:szCs w:val="21"/>
              </w:rPr>
            </w:pPr>
            <w:r>
              <w:rPr>
                <w:rFonts w:hint="eastAsia" w:ascii="宋体" w:hAnsi="宋体" w:cs="宋体"/>
                <w:sz w:val="21"/>
                <w:szCs w:val="21"/>
              </w:rPr>
              <w:t>学号</w:t>
            </w:r>
          </w:p>
        </w:tc>
        <w:tc>
          <w:tcPr>
            <w:tcW w:w="3159" w:type="dxa"/>
            <w:tcBorders>
              <w:top w:val="single" w:color="auto" w:sz="4" w:space="0"/>
              <w:left w:val="single" w:color="auto" w:sz="4" w:space="0"/>
              <w:bottom w:val="single" w:color="auto" w:sz="4" w:space="0"/>
              <w:right w:val="single" w:color="auto" w:sz="4" w:space="0"/>
            </w:tcBorders>
            <w:vAlign w:val="center"/>
          </w:tcPr>
          <w:p w14:paraId="22DB00B9">
            <w:pPr>
              <w:spacing w:line="240" w:lineRule="auto"/>
              <w:ind w:firstLine="0" w:firstLineChars="0"/>
              <w:jc w:val="center"/>
              <w:rPr>
                <w:rFonts w:hint="default" w:ascii="宋体" w:hAnsi="宋体" w:eastAsia="宋体" w:cs="宋体"/>
                <w:bCs/>
                <w:sz w:val="21"/>
                <w:szCs w:val="21"/>
                <w:lang w:val="en-US" w:eastAsia="zh-CN"/>
              </w:rPr>
            </w:pPr>
            <w:r>
              <w:rPr>
                <w:rFonts w:hint="eastAsia" w:ascii="宋体" w:hAnsi="宋体" w:cs="宋体"/>
                <w:bCs/>
                <w:sz w:val="21"/>
                <w:szCs w:val="21"/>
                <w:lang w:val="en-US" w:eastAsia="zh-CN"/>
              </w:rPr>
              <w:t>8212220717</w:t>
            </w:r>
          </w:p>
        </w:tc>
      </w:tr>
      <w:tr w14:paraId="4A3BD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991" w:type="dxa"/>
            <w:vMerge w:val="continue"/>
            <w:tcBorders>
              <w:top w:val="single" w:color="auto" w:sz="4" w:space="0"/>
              <w:left w:val="single" w:color="auto" w:sz="4" w:space="0"/>
              <w:bottom w:val="single" w:color="auto" w:sz="4" w:space="0"/>
              <w:right w:val="single" w:color="auto" w:sz="4" w:space="0"/>
            </w:tcBorders>
            <w:vAlign w:val="center"/>
          </w:tcPr>
          <w:p w14:paraId="1241A55E">
            <w:pPr>
              <w:widowControl/>
              <w:spacing w:line="240" w:lineRule="auto"/>
              <w:ind w:firstLine="0" w:firstLineChars="0"/>
              <w:rPr>
                <w:rFonts w:ascii="宋体" w:hAnsi="宋体" w:cs="宋体"/>
                <w:sz w:val="21"/>
                <w:szCs w:val="21"/>
              </w:rPr>
            </w:pPr>
          </w:p>
        </w:tc>
        <w:tc>
          <w:tcPr>
            <w:tcW w:w="2086" w:type="dxa"/>
            <w:vMerge w:val="continue"/>
            <w:tcBorders>
              <w:left w:val="single" w:color="auto" w:sz="4" w:space="0"/>
              <w:bottom w:val="single" w:color="auto" w:sz="4" w:space="0"/>
              <w:right w:val="single" w:color="auto" w:sz="4" w:space="0"/>
            </w:tcBorders>
            <w:vAlign w:val="center"/>
          </w:tcPr>
          <w:p w14:paraId="083E6F4D">
            <w:pPr>
              <w:widowControl/>
              <w:spacing w:line="240" w:lineRule="auto"/>
              <w:ind w:firstLine="0" w:firstLineChars="0"/>
              <w:rPr>
                <w:rFonts w:ascii="宋体" w:hAnsi="宋体" w:cs="宋体"/>
                <w:bCs/>
                <w:sz w:val="21"/>
                <w:szCs w:val="21"/>
              </w:rPr>
            </w:pPr>
          </w:p>
        </w:tc>
        <w:tc>
          <w:tcPr>
            <w:tcW w:w="1925" w:type="dxa"/>
            <w:gridSpan w:val="2"/>
            <w:tcBorders>
              <w:top w:val="single" w:color="auto" w:sz="4" w:space="0"/>
              <w:left w:val="single" w:color="auto" w:sz="4" w:space="0"/>
              <w:bottom w:val="single" w:color="auto" w:sz="4" w:space="0"/>
              <w:right w:val="single" w:color="auto" w:sz="4" w:space="0"/>
            </w:tcBorders>
            <w:vAlign w:val="center"/>
          </w:tcPr>
          <w:p w14:paraId="053E5C9F">
            <w:pPr>
              <w:spacing w:line="240" w:lineRule="auto"/>
              <w:ind w:firstLine="0" w:firstLineChars="0"/>
              <w:jc w:val="center"/>
              <w:rPr>
                <w:rFonts w:ascii="宋体" w:hAnsi="宋体" w:cs="宋体"/>
                <w:sz w:val="21"/>
                <w:szCs w:val="21"/>
              </w:rPr>
            </w:pPr>
            <w:r>
              <w:rPr>
                <w:rFonts w:hint="eastAsia" w:ascii="宋体" w:hAnsi="宋体" w:cs="宋体"/>
                <w:sz w:val="21"/>
                <w:szCs w:val="21"/>
              </w:rPr>
              <w:t>专业班级</w:t>
            </w:r>
          </w:p>
        </w:tc>
        <w:tc>
          <w:tcPr>
            <w:tcW w:w="3159" w:type="dxa"/>
            <w:tcBorders>
              <w:top w:val="single" w:color="auto" w:sz="4" w:space="0"/>
              <w:left w:val="single" w:color="auto" w:sz="4" w:space="0"/>
              <w:bottom w:val="single" w:color="auto" w:sz="4" w:space="0"/>
              <w:right w:val="single" w:color="auto" w:sz="4" w:space="0"/>
            </w:tcBorders>
            <w:vAlign w:val="center"/>
          </w:tcPr>
          <w:p w14:paraId="7C2A6978">
            <w:pPr>
              <w:spacing w:line="240" w:lineRule="auto"/>
              <w:ind w:firstLine="0" w:firstLineChars="0"/>
              <w:jc w:val="center"/>
              <w:rPr>
                <w:rFonts w:hint="default" w:ascii="宋体" w:hAnsi="宋体" w:eastAsia="宋体" w:cs="宋体"/>
                <w:bCs/>
                <w:sz w:val="21"/>
                <w:szCs w:val="21"/>
                <w:lang w:val="en-US" w:eastAsia="zh-CN"/>
              </w:rPr>
            </w:pPr>
            <w:r>
              <w:rPr>
                <w:rFonts w:hint="eastAsia" w:ascii="宋体" w:hAnsi="宋体" w:cs="宋体"/>
                <w:bCs/>
                <w:sz w:val="21"/>
                <w:szCs w:val="21"/>
                <w:lang w:val="en-US" w:eastAsia="zh-CN"/>
              </w:rPr>
              <w:t>交控2202</w:t>
            </w:r>
          </w:p>
        </w:tc>
      </w:tr>
      <w:tr w14:paraId="46C91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991" w:type="dxa"/>
            <w:tcBorders>
              <w:top w:val="single" w:color="auto" w:sz="4" w:space="0"/>
              <w:left w:val="single" w:color="auto" w:sz="4" w:space="0"/>
              <w:bottom w:val="single" w:color="auto" w:sz="4" w:space="0"/>
              <w:right w:val="single" w:color="auto" w:sz="4" w:space="0"/>
            </w:tcBorders>
            <w:vAlign w:val="center"/>
          </w:tcPr>
          <w:p w14:paraId="47350453">
            <w:pPr>
              <w:spacing w:line="240" w:lineRule="auto"/>
              <w:ind w:firstLine="0" w:firstLineChars="0"/>
              <w:jc w:val="center"/>
              <w:rPr>
                <w:rFonts w:ascii="宋体" w:hAnsi="宋体" w:cs="宋体"/>
                <w:sz w:val="21"/>
                <w:szCs w:val="21"/>
              </w:rPr>
            </w:pPr>
            <w:r>
              <w:rPr>
                <w:rFonts w:hint="eastAsia" w:ascii="宋体" w:hAnsi="宋体" w:cs="宋体"/>
                <w:sz w:val="21"/>
                <w:szCs w:val="21"/>
              </w:rPr>
              <w:t>论文（设计）题目</w:t>
            </w:r>
          </w:p>
        </w:tc>
        <w:tc>
          <w:tcPr>
            <w:tcW w:w="7170" w:type="dxa"/>
            <w:gridSpan w:val="4"/>
            <w:tcBorders>
              <w:top w:val="single" w:color="auto" w:sz="4" w:space="0"/>
              <w:left w:val="single" w:color="auto" w:sz="4" w:space="0"/>
              <w:bottom w:val="single" w:color="auto" w:sz="4" w:space="0"/>
              <w:right w:val="single" w:color="auto" w:sz="4" w:space="0"/>
            </w:tcBorders>
            <w:vAlign w:val="center"/>
          </w:tcPr>
          <w:p w14:paraId="2807CEC8">
            <w:pPr>
              <w:spacing w:line="240" w:lineRule="auto"/>
              <w:ind w:firstLine="0" w:firstLineChars="0"/>
              <w:jc w:val="center"/>
              <w:rPr>
                <w:rFonts w:hint="default" w:ascii="宋体" w:hAnsi="宋体" w:eastAsia="宋体" w:cs="宋体"/>
                <w:bCs/>
                <w:sz w:val="21"/>
                <w:szCs w:val="21"/>
                <w:lang w:val="en-US" w:eastAsia="zh-CN"/>
              </w:rPr>
            </w:pPr>
            <w:r>
              <w:rPr>
                <w:rFonts w:hint="eastAsia" w:ascii="宋体" w:hAnsi="宋体" w:cs="宋体"/>
                <w:bCs/>
                <w:sz w:val="21"/>
                <w:szCs w:val="21"/>
                <w:lang w:eastAsia="zh-CN"/>
              </w:rPr>
              <w:t>《</w:t>
            </w:r>
            <w:r>
              <w:rPr>
                <w:rFonts w:hint="eastAsia" w:ascii="宋体" w:hAnsi="宋体" w:cs="宋体"/>
                <w:bCs/>
                <w:sz w:val="21"/>
                <w:szCs w:val="21"/>
                <w:lang w:val="en-US" w:eastAsia="zh-CN"/>
              </w:rPr>
              <w:t>面向列车车底检测的机械臂建模与控制方法</w:t>
            </w:r>
            <w:r>
              <w:rPr>
                <w:rFonts w:hint="eastAsia" w:ascii="宋体" w:hAnsi="宋体" w:cs="宋体"/>
                <w:bCs/>
                <w:sz w:val="21"/>
                <w:szCs w:val="21"/>
                <w:lang w:eastAsia="zh-CN"/>
              </w:rPr>
              <w:t>》</w:t>
            </w:r>
          </w:p>
        </w:tc>
      </w:tr>
      <w:tr w14:paraId="3FA40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991" w:type="dxa"/>
            <w:tcBorders>
              <w:top w:val="single" w:color="auto" w:sz="4" w:space="0"/>
              <w:left w:val="single" w:color="auto" w:sz="4" w:space="0"/>
              <w:bottom w:val="single" w:color="auto" w:sz="4" w:space="0"/>
              <w:right w:val="single" w:color="auto" w:sz="4" w:space="0"/>
            </w:tcBorders>
            <w:vAlign w:val="center"/>
          </w:tcPr>
          <w:p w14:paraId="51378168">
            <w:pPr>
              <w:spacing w:line="240" w:lineRule="auto"/>
              <w:ind w:firstLine="0" w:firstLineChars="0"/>
              <w:jc w:val="center"/>
              <w:rPr>
                <w:rFonts w:ascii="宋体" w:hAnsi="宋体" w:cs="宋体"/>
                <w:sz w:val="21"/>
                <w:szCs w:val="21"/>
              </w:rPr>
            </w:pPr>
            <w:r>
              <w:rPr>
                <w:rFonts w:hint="eastAsia" w:ascii="宋体" w:hAnsi="宋体" w:cs="宋体"/>
                <w:sz w:val="21"/>
                <w:szCs w:val="21"/>
              </w:rPr>
              <w:t>指导教师</w:t>
            </w:r>
          </w:p>
        </w:tc>
        <w:tc>
          <w:tcPr>
            <w:tcW w:w="2115" w:type="dxa"/>
            <w:gridSpan w:val="2"/>
            <w:tcBorders>
              <w:top w:val="single" w:color="auto" w:sz="4" w:space="0"/>
              <w:left w:val="single" w:color="auto" w:sz="4" w:space="0"/>
              <w:bottom w:val="single" w:color="auto" w:sz="4" w:space="0"/>
              <w:right w:val="single" w:color="auto" w:sz="4" w:space="0"/>
            </w:tcBorders>
            <w:vAlign w:val="center"/>
          </w:tcPr>
          <w:p w14:paraId="2F5FB68B">
            <w:pPr>
              <w:spacing w:line="240" w:lineRule="auto"/>
              <w:ind w:firstLine="0" w:firstLineChars="0"/>
              <w:jc w:val="center"/>
              <w:rPr>
                <w:rFonts w:hint="default" w:ascii="宋体" w:hAnsi="宋体" w:eastAsia="宋体" w:cs="宋体"/>
                <w:bCs/>
                <w:sz w:val="21"/>
                <w:szCs w:val="21"/>
                <w:lang w:val="en-US" w:eastAsia="zh-CN"/>
              </w:rPr>
            </w:pPr>
            <w:r>
              <w:rPr>
                <w:rFonts w:hint="eastAsia" w:ascii="宋体" w:hAnsi="宋体" w:cs="宋体"/>
                <w:bCs/>
                <w:sz w:val="21"/>
                <w:szCs w:val="21"/>
                <w:lang w:val="en-US" w:eastAsia="zh-CN"/>
              </w:rPr>
              <w:t>易兵</w:t>
            </w:r>
          </w:p>
        </w:tc>
        <w:tc>
          <w:tcPr>
            <w:tcW w:w="1896" w:type="dxa"/>
            <w:tcBorders>
              <w:top w:val="single" w:color="auto" w:sz="4" w:space="0"/>
              <w:left w:val="single" w:color="auto" w:sz="4" w:space="0"/>
              <w:bottom w:val="single" w:color="auto" w:sz="4" w:space="0"/>
              <w:right w:val="single" w:color="auto" w:sz="4" w:space="0"/>
            </w:tcBorders>
            <w:vAlign w:val="center"/>
          </w:tcPr>
          <w:p w14:paraId="4472804B">
            <w:pPr>
              <w:spacing w:line="240" w:lineRule="auto"/>
              <w:ind w:firstLine="0" w:firstLineChars="0"/>
              <w:jc w:val="center"/>
              <w:rPr>
                <w:rFonts w:ascii="宋体" w:hAnsi="宋体" w:cs="宋体"/>
                <w:sz w:val="21"/>
                <w:szCs w:val="21"/>
              </w:rPr>
            </w:pPr>
            <w:r>
              <w:rPr>
                <w:rFonts w:hint="eastAsia" w:ascii="宋体" w:hAnsi="宋体" w:cs="宋体"/>
                <w:sz w:val="21"/>
                <w:szCs w:val="21"/>
              </w:rPr>
              <w:t>开题日期</w:t>
            </w:r>
          </w:p>
        </w:tc>
        <w:tc>
          <w:tcPr>
            <w:tcW w:w="3159" w:type="dxa"/>
            <w:tcBorders>
              <w:top w:val="single" w:color="auto" w:sz="4" w:space="0"/>
              <w:left w:val="single" w:color="auto" w:sz="4" w:space="0"/>
              <w:bottom w:val="single" w:color="auto" w:sz="4" w:space="0"/>
              <w:right w:val="single" w:color="auto" w:sz="4" w:space="0"/>
            </w:tcBorders>
            <w:vAlign w:val="center"/>
          </w:tcPr>
          <w:p w14:paraId="4C050B88">
            <w:pPr>
              <w:spacing w:line="240" w:lineRule="auto"/>
              <w:ind w:firstLine="0" w:firstLineChars="0"/>
              <w:jc w:val="center"/>
              <w:rPr>
                <w:rFonts w:hint="default" w:ascii="宋体" w:hAnsi="宋体" w:eastAsia="宋体" w:cs="宋体"/>
                <w:bCs/>
                <w:sz w:val="21"/>
                <w:szCs w:val="21"/>
                <w:lang w:val="en-US" w:eastAsia="zh-CN"/>
              </w:rPr>
            </w:pPr>
            <w:r>
              <w:rPr>
                <w:rFonts w:hint="eastAsia" w:ascii="宋体" w:hAnsi="宋体" w:cs="宋体"/>
                <w:bCs/>
                <w:sz w:val="21"/>
                <w:szCs w:val="21"/>
                <w:lang w:val="en-US" w:eastAsia="zh-CN"/>
              </w:rPr>
              <w:t>2026年3月30日</w:t>
            </w:r>
          </w:p>
        </w:tc>
      </w:tr>
      <w:tr w14:paraId="425A4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1" w:hRule="atLeast"/>
          <w:jc w:val="center"/>
        </w:trPr>
        <w:tc>
          <w:tcPr>
            <w:tcW w:w="9161" w:type="dxa"/>
            <w:gridSpan w:val="5"/>
            <w:tcBorders>
              <w:top w:val="single" w:color="auto" w:sz="4" w:space="0"/>
              <w:left w:val="single" w:color="auto" w:sz="4" w:space="0"/>
              <w:bottom w:val="single" w:color="auto" w:sz="4" w:space="0"/>
              <w:right w:val="single" w:color="auto" w:sz="4" w:space="0"/>
            </w:tcBorders>
          </w:tcPr>
          <w:p w14:paraId="4DAED7B1">
            <w:pPr>
              <w:spacing w:line="240" w:lineRule="auto"/>
              <w:ind w:firstLine="0" w:firstLineChars="0"/>
              <w:jc w:val="both"/>
              <w:rPr>
                <w:rFonts w:hint="eastAsia" w:ascii="Times New Roman" w:hAnsi="Times New Roman" w:cs="Times New Roman"/>
                <w:sz w:val="21"/>
                <w:szCs w:val="21"/>
              </w:rPr>
            </w:pPr>
            <w:r>
              <w:rPr>
                <w:rFonts w:hint="eastAsia" w:ascii="Times New Roman" w:hAnsi="Times New Roman" w:cs="Times New Roman"/>
                <w:sz w:val="21"/>
                <w:szCs w:val="21"/>
              </w:rPr>
              <w:t>1研究（设计）背景与意义</w:t>
            </w:r>
          </w:p>
          <w:p w14:paraId="134358FE">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随着我国轨道交通网络规模的不断扩大与列车运行速度的提升，列车的日常维护与安全巡检工作显得尤为重要。其中，列车车底检测是保障行车安全的关键环节。然而，传统的人工车底巡检方式不仅劳动强度大、工作环境恶劣，且存在由于视觉盲区和人为疲劳导致的漏检风险。近年来，为提高巡检效率和安全性，采用机械臂搭载检测设备的自动化巡检系统逐渐成为行业发展的重要趋势[3]。然而，列车车底环境极其复杂，不仅空间狭小受限，还分布着密集的管线与设备，这对机械臂在复杂受限环境下的自主运动规划与高精度控制提出了极高的要求[1]。</w:t>
            </w:r>
          </w:p>
          <w:p w14:paraId="21DB72BD">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机械臂的运动学建模与逆向运动学（Inverse Kinematics, IK）求解是实现末端执行器精准到达指定检测位置的基础与核心前提[23]。在实际的列车车底巡检任务中，机械臂需要根据视觉传感器提供的目标位置，实时计算出各关节的期望角度。传统的逆运动学求解方法主要包括解析法和数值迭代法。解析法计算速度快，但通常要求机械臂具备特定的几何结构（如Pieper准则），难以广泛适用于所有构型的机械臂[18]；而数值迭代法（如基于雅可比矩阵的方法）虽然适用性广，但在面对高自由度系统时存在计算量大、实时性差以及容易陷入局部最优解和奇异点等缺陷[8, 19]。这些传统方法的局限性，严重制约了列检机械臂在动态、复杂车底环境下的快速响应与实时在线控制能力。</w:t>
            </w:r>
          </w:p>
          <w:p w14:paraId="22A9C1B3">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针对上述挑战，基于数据驱动和人工智能算法的机械臂控制策略逐渐展现出巨大的潜力。特别是神经网络（Neural Networks, NN）在处理高维、强非线性映射问题上具有天然的优势[22]。利用神经网络可以直接学习从机械臂末端笛卡尔工作空间到关节空间的高度非线性映射关系，从而跳过复杂的矩阵求逆过程。相关研究表明，通过合理设计网络结构并结合先进的优化算法（如BP神经网络、深度残差网络等），能够有效克服传统算法求解慢、易陷局部最优的问题，在极短的时间内输出高精度的关节角度序列[12, 21-22]。</w:t>
            </w:r>
          </w:p>
          <w:p w14:paraId="28D2E5A7">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因此，本课题《面向列车车底检测的机械臂建模与控制方法》具有重要的理论研究价值与工程实际意义： 在学术理论意义方面，本课题以神经网络为核心驱动力，针对列检机械臂的逆运动学求解与控制问题展开研究，打破了传统依赖复杂数学推导与数值迭代的模型限制。通过引入深度学习架构探索任务空间到关节空间的隐式映射规律，为复杂受限环境下的高自由度机械臂建模与轨迹规划提供了一种高效、鲁棒的新型解决思路[11, 22]。 在工程应用意义方面，本课题设计的建模与控制方法能够显著提升列车车底巡检机械臂的运动效率与位姿控制精度。该方法有望解决狭窄受限空间内机械臂快速响应与平稳运动的难题，进而提升列车底盘自动化检测的整体效能，降低维保人员的安全风险，对推动轨道交通智能运维技术的发展具有重要的应用价值。</w:t>
            </w:r>
          </w:p>
          <w:p w14:paraId="1858FFB1">
            <w:pPr>
              <w:spacing w:line="240" w:lineRule="auto"/>
              <w:jc w:val="both"/>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参考文献</w:t>
            </w:r>
          </w:p>
          <w:p w14:paraId="4C41F56E">
            <w:pPr>
              <w:spacing w:line="240" w:lineRule="auto"/>
              <w:ind w:left="0" w:leftChars="0" w:firstLine="0" w:firstLineChars="0"/>
              <w:jc w:val="both"/>
              <w:rPr>
                <w:rFonts w:hint="eastAsia" w:ascii="Times New Roman" w:hAnsi="Times New Roman" w:cs="Times New Roman"/>
                <w:sz w:val="21"/>
                <w:szCs w:val="21"/>
              </w:rPr>
            </w:pPr>
            <w:r>
              <w:rPr>
                <w:rFonts w:hint="eastAsia" w:ascii="Times New Roman" w:hAnsi="Times New Roman" w:cs="Times New Roman"/>
                <w:sz w:val="21"/>
                <w:szCs w:val="21"/>
                <w:lang w:val="en-US" w:eastAsia="zh-CN"/>
              </w:rPr>
              <w:t>[1]</w:t>
            </w:r>
            <w:r>
              <w:rPr>
                <w:rFonts w:hint="eastAsia" w:ascii="Times New Roman" w:hAnsi="Times New Roman" w:cs="Times New Roman"/>
                <w:sz w:val="21"/>
                <w:szCs w:val="21"/>
              </w:rPr>
              <w:t xml:space="preserve">赵玉辉, 向学辅, 曾志文, 等. 复杂受限环境下基于图神经网络的机械臂运动规划算法[J]. 兵工自动化, 2026, 45(2): 83-90. </w:t>
            </w:r>
            <w:r>
              <w:rPr>
                <w:rFonts w:hint="eastAsia" w:ascii="Times New Roman" w:hAnsi="Times New Roman" w:cs="Times New Roman"/>
                <w:sz w:val="21"/>
                <w:szCs w:val="21"/>
              </w:rPr>
              <w:br w:type="textWrapping"/>
            </w:r>
            <w:r>
              <w:rPr>
                <w:rFonts w:hint="eastAsia" w:ascii="Times New Roman" w:hAnsi="Times New Roman" w:cs="Times New Roman"/>
                <w:sz w:val="21"/>
                <w:szCs w:val="21"/>
              </w:rPr>
              <w:t xml:space="preserve">[3] 赵舵, 谢冠豪, 王叶文, 等. 基于a-PPO算法的列检机械臂在线运动规划方法[J]. 西南交通大学学报, 2026, 61(1): 167-177. </w:t>
            </w:r>
            <w:r>
              <w:rPr>
                <w:rFonts w:hint="eastAsia" w:ascii="Times New Roman" w:hAnsi="Times New Roman" w:cs="Times New Roman"/>
                <w:sz w:val="21"/>
                <w:szCs w:val="21"/>
              </w:rPr>
              <w:br w:type="textWrapping"/>
            </w:r>
            <w:r>
              <w:rPr>
                <w:rFonts w:hint="eastAsia" w:ascii="Times New Roman" w:hAnsi="Times New Roman" w:cs="Times New Roman"/>
                <w:sz w:val="21"/>
                <w:szCs w:val="21"/>
              </w:rPr>
              <w:t xml:space="preserve">[8] 刘展飞, 刘建林. 基于深度强化学习的机械臂运动学逆解研究[J]. 2025(10): 18-21. [11] 吕焦盛, 冯乃勤, 张君君. 深度残差神经网络下机械臂末端轨迹路径规划[J]. 机械设计与制造, 2026. </w:t>
            </w:r>
            <w:r>
              <w:rPr>
                <w:rFonts w:hint="eastAsia" w:ascii="Times New Roman" w:hAnsi="Times New Roman" w:cs="Times New Roman"/>
                <w:sz w:val="21"/>
                <w:szCs w:val="21"/>
              </w:rPr>
              <w:br w:type="textWrapping"/>
            </w:r>
            <w:r>
              <w:rPr>
                <w:rFonts w:hint="eastAsia" w:ascii="Times New Roman" w:hAnsi="Times New Roman" w:cs="Times New Roman"/>
                <w:sz w:val="21"/>
                <w:szCs w:val="21"/>
              </w:rPr>
              <w:t xml:space="preserve">[12] 徐湘融, 马国梁, 许立松, 等. 基于渐进式BP神经网络的蛇形机械臂逆运动学求解方法[J]. 现代制造工程, 2025(9): 60-65. </w:t>
            </w:r>
            <w:r>
              <w:rPr>
                <w:rFonts w:hint="eastAsia" w:ascii="Times New Roman" w:hAnsi="Times New Roman" w:cs="Times New Roman"/>
                <w:sz w:val="21"/>
                <w:szCs w:val="21"/>
              </w:rPr>
              <w:br w:type="textWrapping"/>
            </w:r>
            <w:r>
              <w:rPr>
                <w:rFonts w:hint="eastAsia" w:ascii="Times New Roman" w:hAnsi="Times New Roman" w:cs="Times New Roman"/>
                <w:sz w:val="21"/>
                <w:szCs w:val="21"/>
              </w:rPr>
              <w:t xml:space="preserve">[18] Wang G, Li W, Gao X, et al. Analytical inverse kinematic solution for the redundant 7-DoF manipulator[J]. Robotics and Autonomous Systems, 2025, 194: 105142. </w:t>
            </w:r>
            <w:r>
              <w:rPr>
                <w:rFonts w:hint="eastAsia" w:ascii="Times New Roman" w:hAnsi="Times New Roman" w:cs="Times New Roman"/>
                <w:sz w:val="21"/>
                <w:szCs w:val="21"/>
              </w:rPr>
              <w:br w:type="textWrapping"/>
            </w:r>
            <w:r>
              <w:rPr>
                <w:rFonts w:hint="eastAsia" w:ascii="Times New Roman" w:hAnsi="Times New Roman" w:cs="Times New Roman"/>
                <w:sz w:val="21"/>
                <w:szCs w:val="21"/>
              </w:rPr>
              <w:t xml:space="preserve">[19] Vu M N, Beck F, Schwegel M, et al. Machine learning-based framework for optimally solving the analytical inverse kinematics for redundant manipulators[J]. Mechatronics, 2023, 91: 102970. </w:t>
            </w:r>
            <w:r>
              <w:rPr>
                <w:rFonts w:hint="eastAsia" w:ascii="Times New Roman" w:hAnsi="Times New Roman" w:cs="Times New Roman"/>
                <w:sz w:val="21"/>
                <w:szCs w:val="21"/>
              </w:rPr>
              <w:br w:type="textWrapping"/>
            </w:r>
            <w:r>
              <w:rPr>
                <w:rFonts w:hint="eastAsia" w:ascii="Times New Roman" w:hAnsi="Times New Roman" w:cs="Times New Roman"/>
                <w:sz w:val="21"/>
                <w:szCs w:val="21"/>
              </w:rPr>
              <w:t xml:space="preserve">[21] Yao R, et al. Data-driven inverse kinematics for a 6-DOF robotic manipulator using an MPGA-optimized BP neural network[J]. Engineering Research Express, 2026, 8: 055230. [22] Lu J, Zou T, Jiang X. A Neural Network Based Approach to Inverse Kinematics Problem for General Six-Axis Robots[J]. Sensors, 2022, 22(22): 8909. </w:t>
            </w:r>
            <w:r>
              <w:rPr>
                <w:rFonts w:hint="eastAsia" w:ascii="Times New Roman" w:hAnsi="Times New Roman" w:cs="Times New Roman"/>
                <w:sz w:val="21"/>
                <w:szCs w:val="21"/>
              </w:rPr>
              <w:br w:type="textWrapping"/>
            </w:r>
            <w:r>
              <w:rPr>
                <w:rFonts w:hint="eastAsia" w:ascii="Times New Roman" w:hAnsi="Times New Roman" w:cs="Times New Roman"/>
                <w:sz w:val="21"/>
                <w:szCs w:val="21"/>
              </w:rPr>
              <w:t>[23] Craig J J. Introduction to robotics: mechanics and control[M]. Pearson, 2018.</w:t>
            </w:r>
          </w:p>
          <w:p w14:paraId="3F08E9AF">
            <w:pPr>
              <w:spacing w:line="240" w:lineRule="auto"/>
              <w:ind w:firstLine="0" w:firstLineChars="0"/>
              <w:jc w:val="both"/>
              <w:rPr>
                <w:rFonts w:ascii="Times New Roman" w:hAnsi="Times New Roman" w:eastAsia="等线" w:cs="Times New Roman"/>
                <w:b/>
                <w:sz w:val="21"/>
                <w:szCs w:val="21"/>
              </w:rPr>
            </w:pPr>
          </w:p>
        </w:tc>
      </w:tr>
      <w:tr w14:paraId="0D1B6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0" w:hRule="atLeast"/>
          <w:jc w:val="center"/>
        </w:trPr>
        <w:tc>
          <w:tcPr>
            <w:tcW w:w="9161" w:type="dxa"/>
            <w:gridSpan w:val="5"/>
            <w:tcBorders>
              <w:top w:val="single" w:color="auto" w:sz="4" w:space="0"/>
              <w:left w:val="single" w:color="auto" w:sz="4" w:space="0"/>
              <w:bottom w:val="single" w:color="auto" w:sz="4" w:space="0"/>
              <w:right w:val="single" w:color="auto" w:sz="4" w:space="0"/>
            </w:tcBorders>
          </w:tcPr>
          <w:p w14:paraId="12E4DB05">
            <w:pPr>
              <w:spacing w:line="240" w:lineRule="auto"/>
              <w:ind w:firstLine="0" w:firstLineChars="0"/>
              <w:jc w:val="both"/>
              <w:rPr>
                <w:rFonts w:ascii="Times New Roman" w:hAnsi="Times New Roman" w:cs="Times New Roman"/>
                <w:sz w:val="21"/>
                <w:szCs w:val="21"/>
              </w:rPr>
            </w:pPr>
            <w:r>
              <w:rPr>
                <w:rFonts w:hint="eastAsia" w:ascii="Times New Roman" w:hAnsi="Times New Roman" w:cs="Times New Roman"/>
                <w:sz w:val="21"/>
                <w:szCs w:val="21"/>
              </w:rPr>
              <w:t>2国内外研究（技术）现状</w:t>
            </w:r>
          </w:p>
          <w:p w14:paraId="62F3B304">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2.1 国外研究现状</w:t>
            </w:r>
          </w:p>
          <w:p w14:paraId="54E9AB3F">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国外在机械臂运动学与轨迹规划领域起步较早，研究体系相对成熟。早期的运动学控制主要依赖于 Craig 等人提出的经典机器人学理论，基于矩阵变换与解析几何进行求解[23]。然而，随着机械臂自由度的增加和应用场景的复杂化，传统方法逐渐暴露出计算瓶颈。近年来，国外学者的研究热点明确转向了数据驱动与人工智能算法。</w:t>
            </w:r>
          </w:p>
          <w:p w14:paraId="73CB3D32">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在逆运动学求解方面，机器学习与深度学习展现出替代传统求解器的强大潜力。Vu 等人提出了一种基于机器学习的框架，用于优化冗余机械臂解析逆解的选择与求解过程，提高了动态任务下的成功率[19]。更为核心的是，Lu 等人提出了一种基于神经网络的一般六轴机器人逆运动学求解方法（A Neural Network Based Approach to Inverse Kinematics）[22]，该方法通过设计高效的神经网络架构，直接逼近工作空间到关节空间的高度非线性映射，在保证高精度的同时大幅缩短了计算时间，这为跳过复杂矩阵运算、实现机械臂实时控制提供了极具价值的理论参考。此外，Torres-Hernández 等人也开发了基于 CNN 和 LSTM 模型的系统来求解六自由度机械臂逆运动学，进一步验证了深度学习在运动学求解中的泛化能力[20]。</w:t>
            </w:r>
          </w:p>
          <w:p w14:paraId="1F936E45">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在路径规划与环境适应性方面，国外研究者将深度强化学习广泛应用于动态避障与自适应控制中。例如，Wang 等人提出了趋势感知强化学习方法，解决了机械臂在高度动态环境中的自适应运动规划问题[26]；Hemalatha 等人则将深度学习目标检测与近端策略优化（PPO）结合，实现了智能机器人系统在复杂环境下的端到端自主避障导航[24]。</w:t>
            </w:r>
          </w:p>
          <w:p w14:paraId="47284BF1">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2.2 国内研究现状</w:t>
            </w:r>
          </w:p>
          <w:p w14:paraId="63FCAB6A">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近年来，国内在智能机器人领域发展极为迅速，研究重点逐渐从基础理论向复杂工程应用（如列车巡检、农业采摘、空间探测等）深度融合。</w:t>
            </w:r>
          </w:p>
          <w:p w14:paraId="5D59CA4C">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针对逆运动学的求解难题，国内学者在人工神经网络的改进与应用上取得了丰硕成果。徐湘融等针对传统 BP 神经网络收敛慢的问题，提出了一种渐进式 BP 神经网络方法，大幅提高了蛇形机械臂逆运动学的求解精度与速度[12]；Yao 等人则利用 MPGA 优化的 BP 神经网络实现了六自由度机械臂的数据驱动逆运动学求解[21]；刘展飞等将深度强化学习引入逆解求解，有效降低了传统迭代法陷入局部最优解的风险[8]。</w:t>
            </w:r>
          </w:p>
          <w:p w14:paraId="44273145">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在复杂受限环境下的轨迹规划与控制方面，国内研究高度契合本课题的应用背景。针对列检等狭小受限空间，赵玉辉等提出了一种基于图神经网络（T-GNN）的运动规划算法，极大减少了高维场景下的碰撞检测次数并提高了规划效率[1]；赵舵等提出基于 a-PPO 算法的在线运动规划方法，满足了列检机械臂的快速响应与人机协作需求[3]；吕焦盛等利用深度残差神经网络实现了机械臂末端轨迹的高效路径规划[11]。此外，在系统建模与约束规避上，朱纪辉等利用增强深度拉格朗日神经网络提升了机械臂动力学建模的物理一致性[10]，而孙浩翔等则基于模型预测控制成功实现了冗余机械臂在运动过程中的关节极限规避[13]。</w:t>
            </w:r>
          </w:p>
          <w:p w14:paraId="2825AD8A">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2.3 现有研究存在的不足</w:t>
            </w:r>
          </w:p>
          <w:p w14:paraId="6AAF4F17">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综合国内外研究现状可以看出，尽管学术界在机械臂智能控制领域取得了显著进展，但在面向“列车车底检测”这一特定极端环境时，仍存在以下亟待解决的问题：</w:t>
            </w:r>
          </w:p>
          <w:p w14:paraId="568ECEAC">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（1）特定场景下传统算法的局限性放大：列车车底环境充满管线与结构件，传统解析法无法兼顾避障需求，而数值法在面对高精度、高实时性的在线检测要求时计算负担过重[8, 18]。</w:t>
            </w:r>
          </w:p>
          <w:p w14:paraId="18F00910">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2）泛化能力与约束处理的耦合不足：目前如文献[22]所述的先进神经网络逆解方法在自由空间内表现优异，但若直接移植到车底受限空间，往往缺乏对物理边界（如防碰撞、关节极限）的硬性约束融合，导致输出的关节位姿可能在实际物理环境中发生干涉[13]。</w:t>
            </w:r>
          </w:p>
          <w:p w14:paraId="462E3F48">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（3）规划与控制的协同性有待提高：现有的研究往往将逆运动学求解与避障路径规划作为两个孤立的模块分别研究（如单纯研究 BP 网络逆解或单纯研究 PPO 避障），导致控制系统的整体响应延迟较高，难以满足车底巡检的连贯作业需求。</w:t>
            </w:r>
          </w:p>
          <w:p w14:paraId="2F14D61E">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因此，本课题以文献[22]中基于神经网络的逆运动学求解理论为核心基础，进一步结合列车车底的受限空间约束特征，探索一种融合智能算法的机械臂建模与控制方法，以期填补该应用领域的技术空白。</w:t>
            </w:r>
          </w:p>
          <w:p w14:paraId="3640B3CB">
            <w:pPr>
              <w:spacing w:line="240" w:lineRule="auto"/>
              <w:jc w:val="both"/>
              <w:rPr>
                <w:rFonts w:hint="eastAsia" w:ascii="Times New Roman" w:hAnsi="Times New Roman" w:cs="Times New Roman"/>
                <w:sz w:val="21"/>
                <w:szCs w:val="21"/>
              </w:rPr>
            </w:pPr>
          </w:p>
          <w:p w14:paraId="3503C15C">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参考文献</w:t>
            </w:r>
          </w:p>
          <w:p w14:paraId="49DD290D">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[1] 赵玉辉, 向学辅, 曾志文, 等. 复杂受限环境下基于图神经网络的机械臂运动规划算法[J]. 兵工自动化, 2026, 45(2): 83-90.</w:t>
            </w:r>
          </w:p>
          <w:p w14:paraId="3F659E7A">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[3] 赵舵, 谢冠豪, 王叶文, 等. 基于a-PPO算法的列检机械臂在线运动规划方法[J]. 西南交通大学学报, 2026, 61(1): 167-177.</w:t>
            </w:r>
          </w:p>
          <w:p w14:paraId="71A96908">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[8] 刘展飞, 刘建林. 基于深度强化学习的机械臂运动学逆解研究[J]. 2025(10): 18-21.</w:t>
            </w:r>
          </w:p>
          <w:p w14:paraId="7EAFEE3E">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[10] 朱纪辉, 等. 基于增强深度拉格朗日神经网络的机械臂系统辨识[J]. 2025.</w:t>
            </w:r>
          </w:p>
          <w:p w14:paraId="1AA90F08">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[11] 吕焦盛, 冯乃勤, 张君君. 深度残差神经网络下机械臂末端轨迹路径规划[J]. 机械设计与制造, 2026.</w:t>
            </w:r>
          </w:p>
          <w:p w14:paraId="09CCFF28">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[12] 徐湘融, 马国梁, 许立松, 等. 基于渐进式BP神经网络的蛇形机械臂逆运动学求解方法[J]. 现代制造工程, 2025(9): 60-65.</w:t>
            </w:r>
          </w:p>
          <w:p w14:paraId="18F2DA0A">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[13] 孙浩翔, 王笑, 宋汉文. 基于模型预测的冗余机械臂逆运动学关节极限规避[J]. 动力学与控制学报, 2025, 23(10): 45-52.</w:t>
            </w:r>
          </w:p>
          <w:p w14:paraId="3B3F542B">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[18] Wang G, Li W, Gao X, et al. Analytical inverse kinematic solution for the redundant 7-DoF manipulator[J]. Robotics and Autonomous Systems, 2025, 194: 105142.</w:t>
            </w:r>
          </w:p>
          <w:p w14:paraId="2AFF420C">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[19] Vu M N, Beck F, Schwegel M, et al. Machine learning-based framework for optimally solving the analytical inverse kinematics for redundant manipulators[J]. Mechatronics, 2023, 91: 102970.</w:t>
            </w:r>
          </w:p>
          <w:p w14:paraId="025F3DE0">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[20] Torres-Hernández M A, et al. Web System for Solving the Inverse Kinematics of 6DoF Robotic Arm Using Deep Learning Models: CNN and LSTM[J]. Technologies, 2025, 13: 405.</w:t>
            </w:r>
          </w:p>
          <w:p w14:paraId="31F6C47F">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[21] Yao R, et al. Data-driven inverse kinematics for a 6-DOF robotic manipulator using an MPGA-optimized BP neural network[J]. Engineering Research Express, 2026, 8: 055230.</w:t>
            </w:r>
          </w:p>
          <w:p w14:paraId="12A1E90A">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[22] Lu J, Zou T, Jiang X. A Neural Network Based Approach to Inverse Kinematics Problem for General Six-Axis Robots[J]. Sensors, 2022, 22(22): 8909.</w:t>
            </w:r>
          </w:p>
          <w:p w14:paraId="14733558">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[23] Craig J J. Introduction to robotics: mechanics and control[M]. Pearson, 2018.</w:t>
            </w:r>
          </w:p>
          <w:p w14:paraId="7E432950">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[24] Hemalatha K, Tshewang R, Tapaswi V. CleanNav: Deep learning and reinforcement strategies for smart robot exploration[J]. Array, 2026, 29: 100722.</w:t>
            </w:r>
          </w:p>
          <w:p w14:paraId="1D2D0050">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[26] Wang D, Zhang P, Ding P, et al. A trend-aware reinforcement learning approach for adaptive motion planning of robotic manipulators in dynamic environments[J]. Engineering Applications of Artificial Intelligence, 2026, 171: 114284.</w:t>
            </w:r>
          </w:p>
          <w:p w14:paraId="063A57F8">
            <w:pPr>
              <w:spacing w:line="240" w:lineRule="auto"/>
              <w:jc w:val="both"/>
              <w:rPr>
                <w:rFonts w:hint="eastAsia" w:ascii="Times New Roman" w:hAnsi="Times New Roman" w:cs="Times New Roman"/>
                <w:sz w:val="21"/>
                <w:szCs w:val="21"/>
              </w:rPr>
            </w:pPr>
          </w:p>
        </w:tc>
      </w:tr>
      <w:tr w14:paraId="1FDE0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161" w:type="dxa"/>
            <w:gridSpan w:val="5"/>
            <w:tcBorders>
              <w:top w:val="single" w:color="auto" w:sz="4" w:space="0"/>
              <w:left w:val="single" w:color="auto" w:sz="4" w:space="0"/>
              <w:bottom w:val="single" w:color="auto" w:sz="4" w:space="0"/>
              <w:right w:val="single" w:color="auto" w:sz="4" w:space="0"/>
            </w:tcBorders>
          </w:tcPr>
          <w:p w14:paraId="3A64BC3F">
            <w:pPr>
              <w:spacing w:line="240" w:lineRule="auto"/>
              <w:ind w:firstLine="0" w:firstLineChars="0"/>
              <w:jc w:val="both"/>
              <w:rPr>
                <w:rFonts w:ascii="Times New Roman" w:hAnsi="Times New Roman" w:cs="Times New Roman"/>
                <w:sz w:val="21"/>
                <w:szCs w:val="21"/>
              </w:rPr>
            </w:pPr>
            <w:r>
              <w:rPr>
                <w:rFonts w:hint="eastAsia" w:ascii="Times New Roman" w:hAnsi="Times New Roman" w:cs="Times New Roman"/>
                <w:sz w:val="21"/>
                <w:szCs w:val="21"/>
              </w:rPr>
              <w:t>3研究（设计）技术路线图或设计方案可行性分析</w:t>
            </w:r>
          </w:p>
          <w:p w14:paraId="40F602D1">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3.1 研究（设计）技术路线</w:t>
            </w:r>
          </w:p>
          <w:p w14:paraId="2F504683">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本课题以解决列车车底受限空间内机械臂的运动规划与高精度控制为目标，核心思路参考 Lu 等人（2022）提出的基于神经网络的逆运动学（NN-IK）求解方法[22]。为了保证研究的科学性与系统性，拟定以下四个阶段的技术路线：</w:t>
            </w:r>
          </w:p>
          <w:p w14:paraId="40DC6EB9">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（1）第一阶段：理论建模与数据集构建</w:t>
            </w:r>
          </w:p>
          <w:p w14:paraId="54BF0239">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首先，依据所选用的机械臂构型，采用标准的改进 D-H（Denavit-Hartenberg）参数法建立机械臂的正运动学解析模型。随后，结合列车车底的实际环境特征（如底盘管线、转向架等），构建受限工作空间的三维几何与碰撞检测模型。最后，通过在有效工作空间内进行高密度蒙特卡洛采样或网格采样，结合正运动学模型，生成海量的“末端位姿-关节角度”配对数据，为后续神经网络的训练提供高质量的数据集。</w:t>
            </w:r>
          </w:p>
          <w:p w14:paraId="0A680947">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（2）第二阶段：基于神经网络的逆运动学（IK）求解器设计</w:t>
            </w:r>
          </w:p>
          <w:p w14:paraId="51E72861">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参考当前先进的深度学习架构构建逆运动学求解器。设计多层感知机（MLP）或深度残差网络结构，输入为期望的机械臂末端笛卡尔位姿（位置与姿态），输出为对应的各个关节角度。在模型训练阶段，除了采用常规的均方误差（MSE）作为基础损失函数外，还将创新性地引入“关节物理极限惩罚项”与“空间防干涉惩罚项”，以引导神经网络在多解情况下输出最符合实际物理约束的安全构型。</w:t>
            </w:r>
          </w:p>
          <w:p w14:paraId="6FBBCD84">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（3）第三阶段：受限空间避障与轨迹规划策略融合</w:t>
            </w:r>
          </w:p>
          <w:p w14:paraId="36C1C553">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将训练好的神经网络逆解模型作为底层核心求解器，结合多项式插值或 B 样条曲线技术，实现末端从起始点到目标点的连续轨迹规划。在规划过程中，利用图神经网络（GNN）或快速扩展随机树（RRT）等前端全局寻路算法初步避开静态障碍物，随后利用 NN-IK 求解器实现高频、实时的关节空间轨迹映射，确保机械臂在车底环境中的平稳、连续及无碰撞运动。</w:t>
            </w:r>
          </w:p>
          <w:p w14:paraId="0661D351">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（4）第四阶段：系统仿真、对比评估与算法优化</w:t>
            </w:r>
          </w:p>
          <w:p w14:paraId="163DDAE6">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在 MATLAB/Simulink 或 ROS（Robot Operating System）环境下搭建虚拟仿真平台。设定多组列检典型任务场景，运行本课题提出的算法。将本方法与传统的雅可比矩阵伪逆法、解析法等基准算法在“求解耗时、位姿精度、避障成功率”三个核心指标上进行对比分析。根据实验结果对网络超参数与控制策略进行微调优化，最终得出实验结论。</w:t>
            </w:r>
          </w:p>
          <w:p w14:paraId="0902DA83">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3.2 设计方案可行性分析</w:t>
            </w:r>
          </w:p>
          <w:p w14:paraId="49D0A48A">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（1）理论可行性</w:t>
            </w:r>
          </w:p>
          <w:p w14:paraId="1F6D671F">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本课题立足于经典的机器人运动学理论体系，D-H 建模方法和雅可比矩阵分析已有极其成熟的理论基础。核心创新点采用神经网络求解逆运动学，根据通用逼近定理（Universal Approximation Theorem），具备足够宽度和深度的神经网络能够以任意精度逼近任何连续非线性函数。近年来，大量权威文献（如[21]、[22]等）已在理论和应用层面严格证明了深度网络在处理机械臂强非线性逆解映射上的高精度与高效率。因此，以神经网络替代传统数值法进行求解在理论上是完全成立且前沿的。</w:t>
            </w:r>
          </w:p>
          <w:p w14:paraId="600F56EC">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（2）技术可行性</w:t>
            </w:r>
          </w:p>
          <w:p w14:paraId="7A3C8D85">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目前，基于 Python 语言的开源深度学习框架（如 PyTorch、TensorFlow）已经极为成熟，提供了丰富的网络构建与自动微分工具，极大降低了算法实现的门槛。同时，在机器人运动仿真方面，MATLAB（Robotics System Toolbox）或 ROS 结合 Gazebo 均可提供高保真度的物理引擎与 3D 可视化界面。利用这些成熟的软硬件生态，完全可以顺利完成从神经网络训练到列检环境三维仿真及控制算法验证的全部技术闭环。</w:t>
            </w:r>
          </w:p>
          <w:p w14:paraId="4714196B">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（3）软硬件条件可行性</w:t>
            </w:r>
          </w:p>
          <w:p w14:paraId="51474C58">
            <w:pPr>
              <w:spacing w:line="240" w:lineRule="auto"/>
              <w:jc w:val="both"/>
              <w:rPr>
                <w:rFonts w:hint="eastAsia" w:ascii="Times New Roman" w:hAnsi="Times New Roman" w:eastAsia="宋体" w:cs="Times New Roman"/>
                <w:sz w:val="21"/>
                <w:szCs w:val="21"/>
                <w:lang w:eastAsia="zh-CN"/>
              </w:rPr>
            </w:pPr>
            <w:r>
              <w:rPr>
                <w:rFonts w:hint="eastAsia" w:ascii="Times New Roman" w:hAnsi="Times New Roman" w:cs="Times New Roman"/>
                <w:sz w:val="21"/>
                <w:szCs w:val="21"/>
              </w:rPr>
              <w:t>课题所需的硬件设备主要为具备一定算力（含独立 GPU）的个人计算机，当前的常规 PC 配置已足以支撑本课题中等规模神经网络的训练与运动学仿真运行。在数据获取与文献支持上，学校图书馆及各大主流学术数据库（如 IEEE Xplore、CNKI 等）均能提供丰富的前沿文献支持。总体而言，课题研究对实验场地的物理要求较低</w:t>
            </w:r>
            <w:r>
              <w:rPr>
                <w:rFonts w:hint="eastAsia" w:ascii="Times New Roman" w:hAnsi="Times New Roman" w:cs="Times New Roman"/>
                <w:sz w:val="21"/>
                <w:szCs w:val="21"/>
                <w:lang w:eastAsia="zh-CN"/>
              </w:rPr>
              <w:t>。</w:t>
            </w:r>
          </w:p>
          <w:p w14:paraId="7371E3CB">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下面为本课题的总体技术路线图：</w:t>
            </w:r>
          </w:p>
          <w:p w14:paraId="12E55DC0">
            <w:pPr>
              <w:spacing w:line="240" w:lineRule="auto"/>
              <w:jc w:val="center"/>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drawing>
                <wp:inline distT="0" distB="0" distL="114300" distR="114300">
                  <wp:extent cx="3522345" cy="8644890"/>
                  <wp:effectExtent l="0" t="0" r="1905" b="3810"/>
                  <wp:docPr id="1" name="图片 1"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流程图"/>
                          <pic:cNvPicPr>
                            <a:picLocks noChangeAspect="1"/>
                          </pic:cNvPicPr>
                        </pic:nvPicPr>
                        <pic:blipFill>
                          <a:blip r:embed="rId12"/>
                          <a:stretch>
                            <a:fillRect/>
                          </a:stretch>
                        </pic:blipFill>
                        <pic:spPr>
                          <a:xfrm>
                            <a:off x="0" y="0"/>
                            <a:ext cx="3522345" cy="8644890"/>
                          </a:xfrm>
                          <a:prstGeom prst="rect">
                            <a:avLst/>
                          </a:prstGeom>
                        </pic:spPr>
                      </pic:pic>
                    </a:graphicData>
                  </a:graphic>
                </wp:inline>
              </w:drawing>
            </w:r>
          </w:p>
          <w:p w14:paraId="1B94D8A0">
            <w:pPr>
              <w:spacing w:line="240" w:lineRule="auto"/>
              <w:ind w:firstLine="0" w:firstLineChars="0"/>
              <w:jc w:val="both"/>
              <w:rPr>
                <w:rFonts w:ascii="Times New Roman" w:hAnsi="Times New Roman" w:cs="Times New Roman"/>
                <w:sz w:val="21"/>
                <w:szCs w:val="21"/>
              </w:rPr>
            </w:pPr>
          </w:p>
          <w:p w14:paraId="05B258EB">
            <w:pPr>
              <w:spacing w:line="240" w:lineRule="auto"/>
              <w:ind w:firstLine="0" w:firstLineChars="0"/>
              <w:jc w:val="both"/>
              <w:rPr>
                <w:rFonts w:ascii="Times New Roman" w:hAnsi="Times New Roman" w:cs="Times New Roman"/>
                <w:sz w:val="21"/>
                <w:szCs w:val="21"/>
              </w:rPr>
            </w:pPr>
          </w:p>
        </w:tc>
      </w:tr>
      <w:tr w14:paraId="200EB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8" w:hRule="atLeast"/>
          <w:jc w:val="center"/>
        </w:trPr>
        <w:tc>
          <w:tcPr>
            <w:tcW w:w="9161" w:type="dxa"/>
            <w:gridSpan w:val="5"/>
            <w:tcBorders>
              <w:top w:val="single" w:color="auto" w:sz="4" w:space="0"/>
              <w:left w:val="single" w:color="auto" w:sz="4" w:space="0"/>
              <w:bottom w:val="single" w:color="auto" w:sz="4" w:space="0"/>
              <w:right w:val="single" w:color="auto" w:sz="4" w:space="0"/>
            </w:tcBorders>
          </w:tcPr>
          <w:p w14:paraId="2C637C24">
            <w:pPr>
              <w:spacing w:line="240" w:lineRule="auto"/>
              <w:ind w:firstLine="0" w:firstLineChars="0"/>
              <w:jc w:val="both"/>
              <w:rPr>
                <w:rFonts w:ascii="Times New Roman" w:hAnsi="Times New Roman" w:cs="Times New Roman"/>
                <w:sz w:val="21"/>
                <w:szCs w:val="21"/>
              </w:rPr>
            </w:pPr>
            <w:r>
              <w:rPr>
                <w:rFonts w:hint="eastAsia" w:ascii="Times New Roman" w:hAnsi="Times New Roman" w:cs="Times New Roman"/>
                <w:sz w:val="21"/>
                <w:szCs w:val="21"/>
              </w:rPr>
              <w:t>4论文（设计）目录（至少到二级目录）或写作提纲</w:t>
            </w:r>
          </w:p>
          <w:p w14:paraId="2C7241C9">
            <w:pPr>
              <w:spacing w:line="240" w:lineRule="auto"/>
              <w:ind w:left="0" w:leftChars="0" w:firstLine="0" w:firstLineChars="0"/>
              <w:jc w:val="both"/>
              <w:rPr>
                <w:rFonts w:hint="eastAsia" w:ascii="Times New Roman" w:hAnsi="Times New Roman" w:cs="Times New Roman"/>
                <w:sz w:val="21"/>
                <w:szCs w:val="21"/>
              </w:rPr>
            </w:pPr>
            <w:r>
              <w:rPr>
                <w:rFonts w:hint="eastAsia" w:ascii="Times New Roman" w:hAnsi="Times New Roman" w:cs="Times New Roman"/>
                <w:sz w:val="21"/>
                <w:szCs w:val="21"/>
              </w:rPr>
              <w:t>摘要</w:t>
            </w:r>
          </w:p>
          <w:p w14:paraId="5E1D4C4C">
            <w:pPr>
              <w:spacing w:line="240" w:lineRule="auto"/>
              <w:ind w:left="0" w:leftChars="0" w:firstLine="0" w:firstLineChars="0"/>
              <w:jc w:val="both"/>
              <w:rPr>
                <w:rFonts w:hint="eastAsia" w:ascii="Times New Roman" w:hAnsi="Times New Roman" w:cs="Times New Roman"/>
                <w:sz w:val="21"/>
                <w:szCs w:val="21"/>
              </w:rPr>
            </w:pPr>
            <w:r>
              <w:rPr>
                <w:rFonts w:hint="eastAsia" w:ascii="Times New Roman" w:hAnsi="Times New Roman" w:cs="Times New Roman"/>
                <w:sz w:val="21"/>
                <w:szCs w:val="21"/>
              </w:rPr>
              <w:t>Abstract</w:t>
            </w:r>
          </w:p>
          <w:p w14:paraId="20BABCE7">
            <w:pPr>
              <w:spacing w:line="240" w:lineRule="auto"/>
              <w:ind w:left="0" w:leftChars="0" w:firstLine="0" w:firstLineChars="0"/>
              <w:jc w:val="both"/>
              <w:rPr>
                <w:rFonts w:hint="eastAsia" w:ascii="Times New Roman" w:hAnsi="Times New Roman" w:cs="Times New Roman"/>
                <w:sz w:val="21"/>
                <w:szCs w:val="21"/>
              </w:rPr>
            </w:pPr>
            <w:r>
              <w:rPr>
                <w:rFonts w:hint="eastAsia" w:ascii="Times New Roman" w:hAnsi="Times New Roman" w:cs="Times New Roman"/>
                <w:sz w:val="21"/>
                <w:szCs w:val="21"/>
              </w:rPr>
              <w:t>第1章 绪论</w:t>
            </w:r>
          </w:p>
          <w:p w14:paraId="6901E78E">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1.1 研究背景与意义</w:t>
            </w:r>
          </w:p>
          <w:p w14:paraId="26C19AB1">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1.2 国内外研究现状</w:t>
            </w:r>
          </w:p>
          <w:p w14:paraId="167B3497">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1.3 论文主要研究内容与章节安排</w:t>
            </w:r>
          </w:p>
          <w:p w14:paraId="41F8C781">
            <w:pPr>
              <w:spacing w:line="240" w:lineRule="auto"/>
              <w:ind w:left="0" w:leftChars="0" w:firstLine="0" w:firstLineChars="0"/>
              <w:jc w:val="both"/>
              <w:rPr>
                <w:rFonts w:hint="eastAsia" w:ascii="Times New Roman" w:hAnsi="Times New Roman" w:cs="Times New Roman"/>
                <w:sz w:val="21"/>
                <w:szCs w:val="21"/>
              </w:rPr>
            </w:pPr>
            <w:r>
              <w:rPr>
                <w:rFonts w:hint="eastAsia" w:ascii="Times New Roman" w:hAnsi="Times New Roman" w:cs="Times New Roman"/>
                <w:sz w:val="21"/>
                <w:szCs w:val="21"/>
              </w:rPr>
              <w:t>第2章 机械臂运动学建模与受限空间分析</w:t>
            </w:r>
          </w:p>
          <w:p w14:paraId="1F5AFAA2">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2.1 机械臂构型与正向运动学建模</w:t>
            </w:r>
          </w:p>
          <w:p w14:paraId="7CAE127B">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2.2 列车车底受限工作空间建模</w:t>
            </w:r>
          </w:p>
          <w:p w14:paraId="21A3E00C">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2.3 碰撞检测与约束条件分析</w:t>
            </w:r>
          </w:p>
          <w:p w14:paraId="69442889">
            <w:pPr>
              <w:spacing w:line="240" w:lineRule="auto"/>
              <w:ind w:left="0" w:leftChars="0" w:firstLine="0" w:firstLineChars="0"/>
              <w:jc w:val="both"/>
              <w:rPr>
                <w:rFonts w:hint="eastAsia" w:ascii="Times New Roman" w:hAnsi="Times New Roman" w:cs="Times New Roman"/>
                <w:sz w:val="21"/>
                <w:szCs w:val="21"/>
              </w:rPr>
            </w:pPr>
            <w:r>
              <w:rPr>
                <w:rFonts w:hint="eastAsia" w:ascii="Times New Roman" w:hAnsi="Times New Roman" w:cs="Times New Roman"/>
                <w:sz w:val="21"/>
                <w:szCs w:val="21"/>
              </w:rPr>
              <w:t>第3章 基于神经网络的逆运动学求解算法</w:t>
            </w:r>
          </w:p>
          <w:p w14:paraId="3E66A3C9">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3.1 逆运动学问题与数据集构建</w:t>
            </w:r>
          </w:p>
          <w:p w14:paraId="1DED8420">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3.2 神经网络求解模型设计与训练</w:t>
            </w:r>
          </w:p>
          <w:p w14:paraId="3A5ABEEA">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3.3 模型求解精度与收敛性分析</w:t>
            </w:r>
          </w:p>
          <w:p w14:paraId="4E8857C9">
            <w:pPr>
              <w:spacing w:line="240" w:lineRule="auto"/>
              <w:ind w:left="0" w:leftChars="0" w:firstLine="0" w:firstLineChars="0"/>
              <w:jc w:val="both"/>
              <w:rPr>
                <w:rFonts w:hint="eastAsia" w:ascii="Times New Roman" w:hAnsi="Times New Roman" w:cs="Times New Roman"/>
                <w:sz w:val="21"/>
                <w:szCs w:val="21"/>
              </w:rPr>
            </w:pPr>
            <w:r>
              <w:rPr>
                <w:rFonts w:hint="eastAsia" w:ascii="Times New Roman" w:hAnsi="Times New Roman" w:cs="Times New Roman"/>
                <w:sz w:val="21"/>
                <w:szCs w:val="21"/>
              </w:rPr>
              <w:t>第4章 受限环境下的机械臂避障轨迹规划</w:t>
            </w:r>
          </w:p>
          <w:p w14:paraId="7536F944">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4.1 避障规划策略与全局寻路</w:t>
            </w:r>
          </w:p>
          <w:p w14:paraId="2B627B43">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4.2 关节空间连续轨迹映射生成</w:t>
            </w:r>
          </w:p>
          <w:p w14:paraId="3D250CBD">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4.3 轨迹平滑处理与防碰撞检验</w:t>
            </w:r>
          </w:p>
          <w:p w14:paraId="4C4D3FFC">
            <w:pPr>
              <w:spacing w:line="240" w:lineRule="auto"/>
              <w:ind w:left="0" w:leftChars="0" w:firstLine="0" w:firstLineChars="0"/>
              <w:jc w:val="both"/>
              <w:rPr>
                <w:rFonts w:hint="eastAsia" w:ascii="Times New Roman" w:hAnsi="Times New Roman" w:cs="Times New Roman"/>
                <w:sz w:val="21"/>
                <w:szCs w:val="21"/>
              </w:rPr>
            </w:pPr>
            <w:r>
              <w:rPr>
                <w:rFonts w:hint="eastAsia" w:ascii="Times New Roman" w:hAnsi="Times New Roman" w:cs="Times New Roman"/>
                <w:sz w:val="21"/>
                <w:szCs w:val="21"/>
              </w:rPr>
              <w:t>第5章 系统仿真与实验结果分析</w:t>
            </w:r>
            <w:bookmarkStart w:id="1" w:name="_GoBack"/>
            <w:bookmarkEnd w:id="1"/>
          </w:p>
          <w:p w14:paraId="74BE5BBA">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5.1 仿真平台搭建与参数设置</w:t>
            </w:r>
          </w:p>
          <w:p w14:paraId="041F2D31">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5.2 逆运动学求解算法性能验证</w:t>
            </w:r>
          </w:p>
          <w:p w14:paraId="32B446AF">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5.3 车底巡检避障综合仿真与分析</w:t>
            </w:r>
          </w:p>
          <w:p w14:paraId="448F3DE7">
            <w:pPr>
              <w:spacing w:line="240" w:lineRule="auto"/>
              <w:ind w:left="0" w:leftChars="0" w:firstLine="0" w:firstLineChars="0"/>
              <w:jc w:val="both"/>
              <w:rPr>
                <w:rFonts w:hint="eastAsia" w:ascii="Times New Roman" w:hAnsi="Times New Roman" w:cs="Times New Roman"/>
                <w:sz w:val="21"/>
                <w:szCs w:val="21"/>
              </w:rPr>
            </w:pPr>
            <w:r>
              <w:rPr>
                <w:rFonts w:hint="eastAsia" w:ascii="Times New Roman" w:hAnsi="Times New Roman" w:cs="Times New Roman"/>
                <w:sz w:val="21"/>
                <w:szCs w:val="21"/>
              </w:rPr>
              <w:t>第6章 总结与展望</w:t>
            </w:r>
          </w:p>
          <w:p w14:paraId="6B780AA4">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6.1 全文总结</w:t>
            </w:r>
          </w:p>
          <w:p w14:paraId="07705AEB">
            <w:pPr>
              <w:spacing w:line="240" w:lineRule="auto"/>
              <w:jc w:val="both"/>
              <w:rPr>
                <w:rFonts w:hint="eastAsia" w:ascii="Times New Roman" w:hAnsi="Times New Roman" w:cs="Times New Roman"/>
                <w:sz w:val="21"/>
                <w:szCs w:val="21"/>
              </w:rPr>
            </w:pPr>
            <w:r>
              <w:rPr>
                <w:rFonts w:hint="eastAsia" w:ascii="Times New Roman" w:hAnsi="Times New Roman" w:cs="Times New Roman"/>
                <w:sz w:val="21"/>
                <w:szCs w:val="21"/>
              </w:rPr>
              <w:t>6.2 存在不足与未来展望</w:t>
            </w:r>
          </w:p>
          <w:p w14:paraId="215D9B21">
            <w:pPr>
              <w:spacing w:line="240" w:lineRule="auto"/>
              <w:ind w:firstLine="0" w:firstLineChars="0"/>
              <w:jc w:val="both"/>
              <w:rPr>
                <w:rFonts w:ascii="Times New Roman" w:hAnsi="Times New Roman" w:eastAsia="等线" w:cs="Times New Roman"/>
                <w:sz w:val="21"/>
              </w:rPr>
            </w:pPr>
          </w:p>
        </w:tc>
      </w:tr>
      <w:tr w14:paraId="7639B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1" w:hRule="atLeast"/>
          <w:jc w:val="center"/>
        </w:trPr>
        <w:tc>
          <w:tcPr>
            <w:tcW w:w="9161" w:type="dxa"/>
            <w:gridSpan w:val="5"/>
            <w:tcBorders>
              <w:top w:val="single" w:color="auto" w:sz="4" w:space="0"/>
              <w:left w:val="single" w:color="auto" w:sz="4" w:space="0"/>
              <w:bottom w:val="single" w:color="auto" w:sz="4" w:space="0"/>
              <w:right w:val="single" w:color="auto" w:sz="4" w:space="0"/>
            </w:tcBorders>
          </w:tcPr>
          <w:p w14:paraId="00D29933">
            <w:pPr>
              <w:spacing w:line="240" w:lineRule="auto"/>
              <w:ind w:firstLine="0" w:firstLineChars="0"/>
              <w:rPr>
                <w:rFonts w:ascii="Times New Roman" w:hAnsi="Times New Roman" w:cs="Times New Roman"/>
                <w:sz w:val="21"/>
                <w:szCs w:val="21"/>
              </w:rPr>
            </w:pPr>
            <w:r>
              <w:rPr>
                <w:rFonts w:hint="eastAsia" w:ascii="Times New Roman" w:hAnsi="Times New Roman" w:cs="Times New Roman"/>
                <w:sz w:val="21"/>
                <w:szCs w:val="21"/>
              </w:rPr>
              <w:t>指导教师意见：</w:t>
            </w:r>
          </w:p>
          <w:p w14:paraId="401140D0">
            <w:pPr>
              <w:spacing w:line="240" w:lineRule="auto"/>
              <w:ind w:firstLine="0" w:firstLineChars="0"/>
              <w:rPr>
                <w:rFonts w:ascii="Times New Roman" w:hAnsi="Times New Roman" w:cs="Times New Roman"/>
                <w:sz w:val="21"/>
                <w:szCs w:val="21"/>
              </w:rPr>
            </w:pPr>
          </w:p>
          <w:p w14:paraId="1CB5845E">
            <w:pPr>
              <w:spacing w:line="240" w:lineRule="auto"/>
              <w:ind w:firstLine="0" w:firstLineChars="0"/>
              <w:rPr>
                <w:rFonts w:ascii="Times New Roman" w:hAnsi="Times New Roman" w:cs="Times New Roman"/>
                <w:sz w:val="21"/>
                <w:szCs w:val="21"/>
              </w:rPr>
            </w:pPr>
          </w:p>
          <w:p w14:paraId="38D8568A">
            <w:pPr>
              <w:spacing w:line="240" w:lineRule="auto"/>
              <w:ind w:right="420" w:firstLine="6090" w:firstLineChars="2900"/>
              <w:jc w:val="both"/>
              <w:rPr>
                <w:rFonts w:ascii="Times New Roman" w:hAnsi="Times New Roman" w:cs="Times New Roman"/>
                <w:sz w:val="21"/>
              </w:rPr>
            </w:pPr>
            <w:r>
              <w:rPr>
                <w:rFonts w:hint="eastAsia" w:ascii="Times New Roman" w:hAnsi="Times New Roman" w:cs="Times New Roman"/>
                <w:sz w:val="21"/>
              </w:rPr>
              <w:t>指导教师签名：</w:t>
            </w:r>
          </w:p>
          <w:p w14:paraId="0A1133BA">
            <w:pPr>
              <w:spacing w:line="240" w:lineRule="auto"/>
              <w:ind w:right="420" w:firstLine="6090" w:firstLineChars="2900"/>
              <w:jc w:val="both"/>
              <w:rPr>
                <w:rFonts w:ascii="Times New Roman" w:hAnsi="Times New Roman" w:cs="Times New Roman"/>
                <w:sz w:val="21"/>
                <w:szCs w:val="21"/>
              </w:rPr>
            </w:pPr>
            <w:r>
              <w:rPr>
                <w:rFonts w:hint="eastAsia" w:ascii="Times New Roman" w:hAnsi="Times New Roman" w:cs="Times New Roman"/>
                <w:sz w:val="21"/>
              </w:rPr>
              <w:t>年    月     日</w:t>
            </w:r>
          </w:p>
        </w:tc>
      </w:tr>
      <w:tr w14:paraId="6EE87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9" w:hRule="atLeast"/>
          <w:jc w:val="center"/>
        </w:trPr>
        <w:tc>
          <w:tcPr>
            <w:tcW w:w="9161" w:type="dxa"/>
            <w:gridSpan w:val="5"/>
            <w:tcBorders>
              <w:top w:val="single" w:color="auto" w:sz="4" w:space="0"/>
              <w:left w:val="single" w:color="auto" w:sz="4" w:space="0"/>
              <w:bottom w:val="single" w:color="auto" w:sz="4" w:space="0"/>
              <w:right w:val="single" w:color="auto" w:sz="4" w:space="0"/>
            </w:tcBorders>
          </w:tcPr>
          <w:p w14:paraId="61513056">
            <w:pPr>
              <w:spacing w:line="240" w:lineRule="auto"/>
              <w:ind w:firstLine="0" w:firstLineChars="0"/>
              <w:rPr>
                <w:rFonts w:ascii="Times New Roman" w:hAnsi="Times New Roman" w:cs="Times New Roman"/>
                <w:sz w:val="21"/>
                <w:szCs w:val="21"/>
              </w:rPr>
            </w:pPr>
            <w:r>
              <w:rPr>
                <w:rFonts w:hint="eastAsia" w:ascii="Times New Roman" w:hAnsi="Times New Roman" w:cs="Times New Roman"/>
                <w:sz w:val="21"/>
                <w:szCs w:val="21"/>
              </w:rPr>
              <w:t>系（所）意见：</w:t>
            </w:r>
          </w:p>
          <w:p w14:paraId="296E96FE">
            <w:pPr>
              <w:spacing w:line="240" w:lineRule="auto"/>
              <w:ind w:firstLine="0" w:firstLineChars="0"/>
              <w:rPr>
                <w:rFonts w:ascii="Times New Roman" w:hAnsi="Times New Roman" w:cs="Times New Roman"/>
                <w:sz w:val="21"/>
                <w:szCs w:val="21"/>
              </w:rPr>
            </w:pPr>
          </w:p>
          <w:p w14:paraId="4827BA2E">
            <w:pPr>
              <w:spacing w:line="240" w:lineRule="auto"/>
              <w:ind w:firstLine="0" w:firstLineChars="0"/>
              <w:rPr>
                <w:rFonts w:ascii="Times New Roman" w:hAnsi="Times New Roman" w:cs="Times New Roman"/>
                <w:sz w:val="21"/>
                <w:szCs w:val="21"/>
              </w:rPr>
            </w:pPr>
          </w:p>
          <w:p w14:paraId="1473E626">
            <w:pPr>
              <w:spacing w:line="240" w:lineRule="auto"/>
              <w:ind w:right="420" w:firstLine="6090" w:firstLineChars="2900"/>
              <w:jc w:val="both"/>
              <w:rPr>
                <w:rFonts w:ascii="Times New Roman" w:hAnsi="Times New Roman" w:cs="Times New Roman"/>
                <w:sz w:val="21"/>
              </w:rPr>
            </w:pPr>
            <w:r>
              <w:rPr>
                <w:rFonts w:hint="eastAsia" w:ascii="Times New Roman" w:hAnsi="Times New Roman" w:cs="Times New Roman"/>
                <w:sz w:val="21"/>
              </w:rPr>
              <w:t>系（所）主任签名：</w:t>
            </w:r>
          </w:p>
          <w:p w14:paraId="14C64F80">
            <w:pPr>
              <w:spacing w:line="240" w:lineRule="auto"/>
              <w:ind w:right="420" w:firstLine="6090" w:firstLineChars="2900"/>
              <w:jc w:val="both"/>
              <w:rPr>
                <w:rFonts w:ascii="Times New Roman" w:hAnsi="Times New Roman" w:cs="Times New Roman"/>
                <w:sz w:val="21"/>
                <w:szCs w:val="21"/>
              </w:rPr>
            </w:pPr>
            <w:r>
              <w:rPr>
                <w:rFonts w:hint="eastAsia" w:ascii="Times New Roman" w:hAnsi="Times New Roman" w:cs="Times New Roman"/>
                <w:sz w:val="21"/>
              </w:rPr>
              <w:t>年    月     日</w:t>
            </w:r>
          </w:p>
        </w:tc>
      </w:tr>
    </w:tbl>
    <w:p w14:paraId="3BB81D70">
      <w:pPr>
        <w:ind w:firstLine="0" w:firstLineChars="0"/>
      </w:pPr>
    </w:p>
    <w:sectPr>
      <w:headerReference r:id="rId7" w:type="first"/>
      <w:footerReference r:id="rId10" w:type="first"/>
      <w:headerReference r:id="rId5" w:type="default"/>
      <w:footerReference r:id="rId8" w:type="default"/>
      <w:headerReference r:id="rId6" w:type="even"/>
      <w:footerReference r:id="rId9" w:type="even"/>
      <w:pgSz w:w="11906" w:h="16838"/>
      <w:pgMar w:top="1134" w:right="1797" w:bottom="1021" w:left="179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7451">
    <w:pPr>
      <w:pStyle w:val="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CC745">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929FE">
    <w:pPr>
      <w:pStyle w:val="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5E2D4">
    <w:pPr>
      <w:pStyle w:val="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9B4EE">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B3619">
    <w:pPr>
      <w:pStyle w:val="7"/>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F22D5D"/>
    <w:rsid w:val="00115BCA"/>
    <w:rsid w:val="00230163"/>
    <w:rsid w:val="002C6493"/>
    <w:rsid w:val="00332472"/>
    <w:rsid w:val="00375AC9"/>
    <w:rsid w:val="00494D3D"/>
    <w:rsid w:val="00613B14"/>
    <w:rsid w:val="007734D8"/>
    <w:rsid w:val="00792532"/>
    <w:rsid w:val="009F657A"/>
    <w:rsid w:val="00B03C53"/>
    <w:rsid w:val="00B15128"/>
    <w:rsid w:val="00B93733"/>
    <w:rsid w:val="00BE25EE"/>
    <w:rsid w:val="00ED09BC"/>
    <w:rsid w:val="00FC32C6"/>
    <w:rsid w:val="021E220A"/>
    <w:rsid w:val="038A0108"/>
    <w:rsid w:val="057A4FE5"/>
    <w:rsid w:val="05812077"/>
    <w:rsid w:val="09CB4B89"/>
    <w:rsid w:val="0A4F7EE9"/>
    <w:rsid w:val="0C317AA7"/>
    <w:rsid w:val="0C725D1A"/>
    <w:rsid w:val="0C9D5D16"/>
    <w:rsid w:val="0D2E3B89"/>
    <w:rsid w:val="0D4E3C51"/>
    <w:rsid w:val="111F3680"/>
    <w:rsid w:val="14FF32FE"/>
    <w:rsid w:val="15080B89"/>
    <w:rsid w:val="15413FA8"/>
    <w:rsid w:val="171917AA"/>
    <w:rsid w:val="17AC1816"/>
    <w:rsid w:val="17B54E2F"/>
    <w:rsid w:val="189B3D4A"/>
    <w:rsid w:val="18DC4C9D"/>
    <w:rsid w:val="1A8B5E6A"/>
    <w:rsid w:val="1D9011EB"/>
    <w:rsid w:val="20B004D2"/>
    <w:rsid w:val="2108626C"/>
    <w:rsid w:val="21C0255E"/>
    <w:rsid w:val="22D30A28"/>
    <w:rsid w:val="25B03208"/>
    <w:rsid w:val="25FD374A"/>
    <w:rsid w:val="26A14DAC"/>
    <w:rsid w:val="288A0CD4"/>
    <w:rsid w:val="28E20F48"/>
    <w:rsid w:val="2ABC3933"/>
    <w:rsid w:val="2AEF3F25"/>
    <w:rsid w:val="2C1856FE"/>
    <w:rsid w:val="2D54584C"/>
    <w:rsid w:val="312A1AD3"/>
    <w:rsid w:val="32241DAE"/>
    <w:rsid w:val="330915F5"/>
    <w:rsid w:val="348B0A60"/>
    <w:rsid w:val="35837F96"/>
    <w:rsid w:val="37E545D6"/>
    <w:rsid w:val="38663F9A"/>
    <w:rsid w:val="38A24719"/>
    <w:rsid w:val="391E2A09"/>
    <w:rsid w:val="3D977373"/>
    <w:rsid w:val="3DB51278"/>
    <w:rsid w:val="3F72298D"/>
    <w:rsid w:val="405363C1"/>
    <w:rsid w:val="434F534E"/>
    <w:rsid w:val="43A318F9"/>
    <w:rsid w:val="44184095"/>
    <w:rsid w:val="4589713B"/>
    <w:rsid w:val="460429B2"/>
    <w:rsid w:val="48DC34A7"/>
    <w:rsid w:val="49B862F3"/>
    <w:rsid w:val="4C2B677E"/>
    <w:rsid w:val="4CE401E3"/>
    <w:rsid w:val="51962E60"/>
    <w:rsid w:val="520365B2"/>
    <w:rsid w:val="529F2137"/>
    <w:rsid w:val="54BE4E5B"/>
    <w:rsid w:val="57F73C53"/>
    <w:rsid w:val="58256C30"/>
    <w:rsid w:val="58E23E5E"/>
    <w:rsid w:val="59287100"/>
    <w:rsid w:val="59892EC7"/>
    <w:rsid w:val="5A534720"/>
    <w:rsid w:val="5B127639"/>
    <w:rsid w:val="5E683F56"/>
    <w:rsid w:val="635003A8"/>
    <w:rsid w:val="63EF583A"/>
    <w:rsid w:val="649B38BE"/>
    <w:rsid w:val="68E21189"/>
    <w:rsid w:val="6A1371E8"/>
    <w:rsid w:val="6AFA2EC9"/>
    <w:rsid w:val="6BA11AAE"/>
    <w:rsid w:val="6BA84799"/>
    <w:rsid w:val="6CC37B3B"/>
    <w:rsid w:val="6DAD12C7"/>
    <w:rsid w:val="6DBA7D55"/>
    <w:rsid w:val="6E150B0D"/>
    <w:rsid w:val="6EF22D5D"/>
    <w:rsid w:val="71BE72ED"/>
    <w:rsid w:val="735E3F38"/>
    <w:rsid w:val="75782F24"/>
    <w:rsid w:val="75CF1738"/>
    <w:rsid w:val="78974B05"/>
    <w:rsid w:val="78A328FA"/>
    <w:rsid w:val="7C034875"/>
    <w:rsid w:val="7FDA7E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420" w:firstLineChars="200"/>
    </w:pPr>
    <w:rPr>
      <w:rFonts w:eastAsia="宋体" w:asciiTheme="minorHAnsi" w:hAnsiTheme="minorHAnsi" w:cstheme="minorBidi"/>
      <w:kern w:val="2"/>
      <w:sz w:val="24"/>
      <w:szCs w:val="22"/>
      <w:lang w:val="en-US" w:eastAsia="zh-CN" w:bidi="ar-SA"/>
    </w:rPr>
  </w:style>
  <w:style w:type="paragraph" w:styleId="2">
    <w:name w:val="heading 1"/>
    <w:basedOn w:val="3"/>
    <w:next w:val="1"/>
    <w:link w:val="12"/>
    <w:qFormat/>
    <w:uiPriority w:val="0"/>
    <w:pPr>
      <w:spacing w:before="50" w:beforeLines="50" w:after="50" w:afterLines="50"/>
    </w:pPr>
    <w:rPr>
      <w:rFonts w:ascii="黑体" w:hAnsi="黑体" w:eastAsia="黑体" w:cs="宋体"/>
      <w:sz w:val="36"/>
      <w:szCs w:val="36"/>
    </w:rPr>
  </w:style>
  <w:style w:type="paragraph" w:styleId="4">
    <w:name w:val="heading 2"/>
    <w:basedOn w:val="3"/>
    <w:next w:val="1"/>
    <w:link w:val="11"/>
    <w:semiHidden/>
    <w:unhideWhenUsed/>
    <w:qFormat/>
    <w:uiPriority w:val="0"/>
    <w:pPr>
      <w:spacing w:before="50" w:beforeLines="50" w:after="50" w:afterLines="50"/>
      <w:ind w:left="420" w:leftChars="200" w:firstLine="600"/>
      <w:jc w:val="left"/>
      <w:outlineLvl w:val="1"/>
    </w:pPr>
    <w:rPr>
      <w:rFonts w:eastAsia="黑体" w:cs="Times New Roman"/>
      <w:sz w:val="28"/>
      <w:szCs w:val="24"/>
    </w:rPr>
  </w:style>
  <w:style w:type="paragraph" w:styleId="5">
    <w:name w:val="heading 3"/>
    <w:basedOn w:val="1"/>
    <w:next w:val="1"/>
    <w:semiHidden/>
    <w:unhideWhenUsed/>
    <w:qFormat/>
    <w:uiPriority w:val="0"/>
    <w:pPr>
      <w:keepNext/>
      <w:keepLines/>
      <w:spacing w:before="260" w:after="260" w:line="413" w:lineRule="auto"/>
      <w:outlineLvl w:val="2"/>
    </w:pPr>
    <w:rPr>
      <w:rFonts w:eastAsia="黑体"/>
      <w:b/>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Title"/>
    <w:basedOn w:val="1"/>
    <w:qFormat/>
    <w:uiPriority w:val="0"/>
    <w:pPr>
      <w:spacing w:before="240" w:after="60"/>
      <w:jc w:val="center"/>
      <w:outlineLvl w:val="0"/>
    </w:pPr>
    <w:rPr>
      <w:rFonts w:ascii="Arial" w:hAnsi="Arial"/>
      <w:b/>
      <w:sz w:val="32"/>
    </w:rPr>
  </w:style>
  <w:style w:type="paragraph" w:styleId="6">
    <w:name w:val="footer"/>
    <w:basedOn w:val="1"/>
    <w:link w:val="14"/>
    <w:qFormat/>
    <w:uiPriority w:val="0"/>
    <w:pPr>
      <w:tabs>
        <w:tab w:val="center" w:pos="4153"/>
        <w:tab w:val="right" w:pos="8306"/>
      </w:tabs>
      <w:snapToGrid w:val="0"/>
      <w:spacing w:line="240" w:lineRule="auto"/>
    </w:pPr>
    <w:rPr>
      <w:sz w:val="18"/>
      <w:szCs w:val="18"/>
    </w:rPr>
  </w:style>
  <w:style w:type="paragraph" w:styleId="7">
    <w:name w:val="header"/>
    <w:basedOn w:val="1"/>
    <w:link w:val="13"/>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11">
    <w:name w:val="标题 2 Char"/>
    <w:basedOn w:val="10"/>
    <w:link w:val="4"/>
    <w:qFormat/>
    <w:uiPriority w:val="0"/>
    <w:rPr>
      <w:rFonts w:ascii="Arial" w:hAnsi="Arial" w:eastAsia="黑体" w:cs="Times New Roman"/>
      <w:b/>
      <w:sz w:val="28"/>
      <w:szCs w:val="24"/>
    </w:rPr>
  </w:style>
  <w:style w:type="character" w:customStyle="1" w:styleId="12">
    <w:name w:val="标题 1 Char"/>
    <w:basedOn w:val="10"/>
    <w:link w:val="2"/>
    <w:qFormat/>
    <w:uiPriority w:val="0"/>
    <w:rPr>
      <w:rFonts w:ascii="黑体" w:hAnsi="黑体" w:eastAsia="黑体" w:cs="宋体"/>
      <w:b/>
      <w:sz w:val="36"/>
      <w:szCs w:val="36"/>
    </w:rPr>
  </w:style>
  <w:style w:type="character" w:customStyle="1" w:styleId="13">
    <w:name w:val="页眉 Char"/>
    <w:basedOn w:val="10"/>
    <w:link w:val="7"/>
    <w:qFormat/>
    <w:uiPriority w:val="0"/>
    <w:rPr>
      <w:rFonts w:eastAsia="宋体"/>
      <w:kern w:val="2"/>
      <w:sz w:val="18"/>
      <w:szCs w:val="18"/>
    </w:rPr>
  </w:style>
  <w:style w:type="character" w:customStyle="1" w:styleId="14">
    <w:name w:val="页脚 Char"/>
    <w:basedOn w:val="10"/>
    <w:link w:val="6"/>
    <w:qFormat/>
    <w:uiPriority w:val="0"/>
    <w:rPr>
      <w:rFonts w:eastAsia="宋体"/>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153</Words>
  <Characters>153</Characters>
  <Lines>1</Lines>
  <Paragraphs>1</Paragraphs>
  <TotalTime>17</TotalTime>
  <ScaleCrop>false</ScaleCrop>
  <LinksUpToDate>false</LinksUpToDate>
  <CharactersWithSpaces>173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2023-02-22T13:39:00Z</dcterms:created>
  <dc:creator>ruthlessness✘</dc:creator>
  <cp:lastModifiedBy>甘宇铖</cp:lastModifiedBy>
  <dcterms:modified xsi:type="dcterms:W3CDTF">2026-03-30T13:39:19Z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A59DB9C052304A6A83362EAA622444EA</vt:lpwstr>
  </property>
  <property fmtid="{D5CDD505-2E9C-101B-9397-08002B2CF9AE}" pid="4" name="KSOTemplateDocerSaveRecord">
    <vt:lpwstr>eyJoZGlkIjoiODRkMDk3ZmE1YjhiYzk0OTJmNGU3MjE0Y2I0YWI0MGYiLCJ1c2VySWQiOiIxNTYxNDgxNzQ1In0=</vt:lpwstr>
  </property>
</Properties>
</file>