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天猫数据导入与可询问问题清单</w:t>
      </w:r>
    </w:p>
    <w:p>
      <w:pPr>
        <w:spacing w:after="360"/>
        <w:jc w:val="center"/>
      </w:pPr>
      <w:r>
        <w:rPr>
          <w:rFonts w:ascii="Aptos" w:hAnsi="Aptos" w:eastAsia="Microsoft YaHei"/>
          <w:color w:val="555555"/>
          <w:sz w:val="24"/>
        </w:rPr>
        <w:t>IJCAI 2015 真实数据接入说明与面试复盘</w:t>
      </w:r>
    </w:p>
    <w:p>
      <w:pPr>
        <w:spacing w:after="240" w:line="300" w:lineRule="auto"/>
      </w:pPr>
      <w:r>
        <w:rPr>
          <w:rFonts w:ascii="Aptos" w:hAnsi="Aptos" w:eastAsia="Microsoft YaHei"/>
          <w:color w:val="202124"/>
          <w:sz w:val="22"/>
        </w:rPr>
        <w:t>本文件说明项目已经导入哪些天猫数据、数据分别存在哪里、系统可以回答哪些问题，以及哪些问题受数据字段和口径限制。核心原则是：需要精确计算的结构化数据进入 PostgreSQL，已经写在文档里的业务口径与限制进入 pgvector。</w:t>
      </w:r>
    </w:p>
    <w:p>
      <w:pPr>
        <w:pStyle w:val="Heading1"/>
      </w:pPr>
      <w:r>
        <w:t>一 当前导入结果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94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52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当前结果</w:t>
            </w:r>
          </w:p>
        </w:tc>
        <w:tc>
          <w:tcPr>
            <w:tcW w:type="dxa" w:w="540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数据来源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天猫 IJCAI 2015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官方 data_format1.zip</w:t>
            </w:r>
          </w:p>
        </w:tc>
      </w:tr>
      <w:tr>
        <w:trPr>
          <w:cantSplit w:val="true"/>
        </w:trPr>
        <w:tc>
          <w:tcPr>
            <w:tcW w:type="dxa" w:w="194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抽样规则</w:t>
            </w:r>
          </w:p>
        </w:tc>
        <w:tc>
          <w:tcPr>
            <w:tcW w:type="dxa" w:w="25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user_id % 55 = 0</w:t>
            </w:r>
          </w:p>
        </w:tc>
        <w:tc>
          <w:tcPr>
            <w:tcW w:type="dxa" w:w="540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四个 CSV 使用同一规则，保持用户级关联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原始记录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55,871,841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四个 CSV 数据行合计</w:t>
            </w:r>
          </w:p>
        </w:tc>
      </w:tr>
      <w:tr>
        <w:trPr>
          <w:cantSplit w:val="true"/>
        </w:trPr>
        <w:tc>
          <w:tcPr>
            <w:tcW w:type="dxa" w:w="194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导入记录</w:t>
            </w:r>
          </w:p>
        </w:tc>
        <w:tc>
          <w:tcPr>
            <w:tcW w:type="dxa" w:w="25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1,015,812</w:t>
            </w:r>
          </w:p>
        </w:tc>
        <w:tc>
          <w:tcPr>
            <w:tcW w:type="dxa" w:w="540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用户、行为、train 与 test 合计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行为日期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2014-05-11 至 2014-11-12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共约六个月</w:t>
            </w:r>
          </w:p>
        </w:tc>
      </w:tr>
      <w:tr>
        <w:trPr>
          <w:cantSplit w:val="true"/>
        </w:trPr>
        <w:tc>
          <w:tcPr>
            <w:tcW w:type="dxa" w:w="194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数据库表</w:t>
            </w:r>
          </w:p>
        </w:tc>
        <w:tc>
          <w:tcPr>
            <w:tcW w:type="dxa" w:w="25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10 张</w:t>
            </w:r>
          </w:p>
        </w:tc>
        <w:tc>
          <w:tcPr>
            <w:tcW w:type="dxa" w:w="540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1 张台账、3 张 Silver、6 张 Gold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天猫向量知识</w:t>
            </w:r>
          </w:p>
        </w:tc>
        <w:tc>
          <w:tcPr>
            <w:tcW w:type="dxa" w:w="25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4 份文档 29 个切片</w:t>
            </w:r>
          </w:p>
        </w:tc>
        <w:tc>
          <w:tcPr>
            <w:tcW w:type="dxa" w:w="5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业务背景、数据字典、指标口径、抽样与质量</w:t>
            </w:r>
          </w:p>
        </w:tc>
      </w:tr>
      <w:tr>
        <w:trPr>
          <w:cantSplit w:val="true"/>
        </w:trPr>
        <w:tc>
          <w:tcPr>
            <w:tcW w:type="dxa" w:w="194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知识库总量</w:t>
            </w:r>
          </w:p>
        </w:tc>
        <w:tc>
          <w:tcPr>
            <w:tcW w:type="dxa" w:w="25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26 份文档 462 个切片</w:t>
            </w:r>
          </w:p>
        </w:tc>
        <w:tc>
          <w:tcPr>
            <w:tcW w:type="dxa" w:w="540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当前数据库快照</w:t>
            </w:r>
          </w:p>
        </w:tc>
      </w:tr>
    </w:tbl>
    <w:p>
      <w:pPr>
        <w:spacing w:after="40"/>
      </w:pPr>
    </w:p>
    <w:p>
      <w:pPr>
        <w:pStyle w:val="Heading1"/>
      </w:pPr>
      <w:r>
        <w:t>二 原始数据包含什么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244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17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158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原始行数</w:t>
            </w:r>
          </w:p>
        </w:tc>
        <w:tc>
          <w:tcPr>
            <w:tcW w:type="dxa" w:w="158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导入行数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user_info_format1.csv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用户画像：user_id、age_range、gender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424,170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7,712</w:t>
            </w:r>
          </w:p>
        </w:tc>
      </w:tr>
      <w:tr>
        <w:trPr>
          <w:cantSplit w:val="true"/>
        </w:trPr>
        <w:tc>
          <w:tcPr>
            <w:tcW w:type="dxa" w:w="244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user_log_format1.csv</w:t>
            </w:r>
          </w:p>
        </w:tc>
        <w:tc>
          <w:tcPr>
            <w:tcW w:type="dxa" w:w="417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行为日志：商品、类目、商家、品牌、日期、动作</w:t>
            </w:r>
          </w:p>
        </w:tc>
        <w:tc>
          <w:tcPr>
            <w:tcW w:type="dxa" w:w="158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54,925,330</w:t>
            </w:r>
          </w:p>
        </w:tc>
        <w:tc>
          <w:tcPr>
            <w:tcW w:type="dxa" w:w="158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998,542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train_format1.csv</w:t>
            </w:r>
          </w:p>
        </w:tc>
        <w:tc>
          <w:tcPr>
            <w:tcW w:type="dxa" w:w="417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用户商家对与真实复购标签 label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260,864</w:t>
            </w:r>
          </w:p>
        </w:tc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4,700</w:t>
            </w:r>
          </w:p>
        </w:tc>
      </w:tr>
      <w:tr>
        <w:trPr>
          <w:cantSplit w:val="true"/>
        </w:trPr>
        <w:tc>
          <w:tcPr>
            <w:tcW w:type="dxa" w:w="244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test_format1.csv</w:t>
            </w:r>
          </w:p>
        </w:tc>
        <w:tc>
          <w:tcPr>
            <w:tcW w:type="dxa" w:w="417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待预测的用户商家对；prob 整列为空</w:t>
            </w:r>
          </w:p>
        </w:tc>
        <w:tc>
          <w:tcPr>
            <w:tcW w:type="dxa" w:w="158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261,477</w:t>
            </w:r>
          </w:p>
        </w:tc>
        <w:tc>
          <w:tcPr>
            <w:tcW w:type="dxa" w:w="158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4,858</w:t>
            </w:r>
          </w:p>
        </w:tc>
      </w:tr>
    </w:tbl>
    <w:p>
      <w:pPr>
        <w:spacing w:after="40"/>
      </w:pPr>
    </w:p>
    <w:p>
      <w:pPr>
        <w:pStyle w:val="Heading2"/>
      </w:pPr>
      <w:r>
        <w:t>行为动作分布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 w:val="true"/>
        </w:trPr>
        <w:tc>
          <w:tcPr>
            <w:tcW w:type="dxa" w:w="158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原始编码</w:t>
            </w:r>
          </w:p>
        </w:tc>
        <w:tc>
          <w:tcPr>
            <w:tcW w:type="dxa" w:w="216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入库值</w:t>
            </w:r>
          </w:p>
        </w:tc>
        <w:tc>
          <w:tcPr>
            <w:tcW w:type="dxa" w:w="3168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中文含义</w:t>
            </w:r>
          </w:p>
        </w:tc>
        <w:tc>
          <w:tcPr>
            <w:tcW w:type="dxa" w:w="201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记录数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0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click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点击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881,857</w:t>
            </w:r>
          </w:p>
        </w:tc>
      </w:tr>
      <w:tr>
        <w:trPr>
          <w:cantSplit w:val="true"/>
        </w:trPr>
        <w:tc>
          <w:tcPr>
            <w:tcW w:type="dxa" w:w="158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1</w:t>
            </w:r>
          </w:p>
        </w:tc>
        <w:tc>
          <w:tcPr>
            <w:tcW w:type="dxa" w:w="216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cart</w:t>
            </w:r>
          </w:p>
        </w:tc>
        <w:tc>
          <w:tcPr>
            <w:tcW w:type="dxa" w:w="316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加购</w:t>
            </w:r>
          </w:p>
        </w:tc>
        <w:tc>
          <w:tcPr>
            <w:tcW w:type="dxa" w:w="20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1,343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2</w:t>
            </w:r>
          </w:p>
        </w:tc>
        <w:tc>
          <w:tcPr>
            <w:tcW w:type="dxa" w:w="2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buy</w:t>
            </w:r>
          </w:p>
        </w:tc>
        <w:tc>
          <w:tcPr>
            <w:tcW w:type="dxa" w:w="316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购买行为</w:t>
            </w:r>
          </w:p>
        </w:tc>
        <w:tc>
          <w:tcPr>
            <w:tcW w:type="dxa" w:w="20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60,036</w:t>
            </w:r>
          </w:p>
        </w:tc>
      </w:tr>
      <w:tr>
        <w:trPr>
          <w:cantSplit w:val="true"/>
        </w:trPr>
        <w:tc>
          <w:tcPr>
            <w:tcW w:type="dxa" w:w="158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3</w:t>
            </w:r>
          </w:p>
        </w:tc>
        <w:tc>
          <w:tcPr>
            <w:tcW w:type="dxa" w:w="216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favorite</w:t>
            </w:r>
          </w:p>
        </w:tc>
        <w:tc>
          <w:tcPr>
            <w:tcW w:type="dxa" w:w="3168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收藏</w:t>
            </w:r>
          </w:p>
        </w:tc>
        <w:tc>
          <w:tcPr>
            <w:tcW w:type="dxa" w:w="20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55,306</w:t>
            </w:r>
          </w:p>
        </w:tc>
      </w:tr>
    </w:tbl>
    <w:p>
      <w:pPr>
        <w:spacing w:after="40"/>
      </w:pPr>
    </w:p>
    <w:p>
      <w:r>
        <w:rPr>
          <w:rFonts w:ascii="Aptos" w:hAnsi="Aptos" w:eastAsia="Microsoft YaHei"/>
          <w:b/>
          <w:color w:val="202124"/>
        </w:rPr>
        <w:t>重要口径：</w:t>
      </w:r>
      <w:r>
        <w:rPr>
          <w:rFonts w:ascii="Aptos" w:hAnsi="Aptos" w:eastAsia="Microsoft YaHei"/>
          <w:color w:val="202124"/>
        </w:rPr>
        <w:t>buy 是一条购买行为记录，不等于一笔订单。数据没有订单号、金额和件数，因此不能从 buy 行数推导真实订单量或销售额。</w:t>
      </w:r>
    </w:p>
    <w:p>
      <w:pPr>
        <w:pStyle w:val="Heading1"/>
      </w:pPr>
      <w:r>
        <w:t>三 数据存入哪里</w:t>
      </w:r>
    </w:p>
    <w:p>
      <w:r>
        <w:rPr>
          <w:rFonts w:ascii="Aptos" w:hAnsi="Aptos" w:eastAsia="Microsoft YaHei"/>
          <w:color w:val="202124"/>
        </w:rPr>
        <w:t>结构化事实进入 PostgreSQL，供 SQL 做精确过滤、关联和聚合；业务知识进入 pgvector，供自然语言语义检索。两条链路协作，但不能相互替代。</w:t>
      </w:r>
    </w:p>
    <w:p>
      <w:pPr>
        <w:pStyle w:val="Heading2"/>
      </w:pPr>
      <w:r>
        <w:t>PostgreSQL 结构化数据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分层</w:t>
            </w:r>
          </w:p>
        </w:tc>
        <w:tc>
          <w:tcPr>
            <w:tcW w:type="dxa" w:w="324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表</w:t>
            </w:r>
          </w:p>
        </w:tc>
        <w:tc>
          <w:tcPr>
            <w:tcW w:type="dxa" w:w="561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内容与分析用途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台账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tmall_ingestion_runs</w:t>
            </w:r>
          </w:p>
        </w:tc>
        <w:tc>
          <w:tcPr>
            <w:tcW w:type="dxa" w:w="56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文件哈希、抽样参数、运行状态、行数、耗时和错误分类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Silver</w:t>
            </w:r>
          </w:p>
        </w:tc>
        <w:tc>
          <w:tcPr>
            <w:tcW w:type="dxa" w:w="324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tmall_users</w:t>
            </w:r>
          </w:p>
        </w:tc>
        <w:tc>
          <w:tcPr>
            <w:tcW w:type="dxa" w:w="56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抽样用户画像；用于维度补充与数据质量校验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Silver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tmall_user_events</w:t>
            </w:r>
          </w:p>
        </w:tc>
        <w:tc>
          <w:tcPr>
            <w:tcW w:type="dxa" w:w="56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近百万条用户行为明细；用于重算 Gold，不开放给 Agent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Silver</w:t>
            </w:r>
          </w:p>
        </w:tc>
        <w:tc>
          <w:tcPr>
            <w:tcW w:type="dxa" w:w="324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tmall_repurchase_samples</w:t>
            </w:r>
          </w:p>
        </w:tc>
        <w:tc>
          <w:tcPr>
            <w:tcW w:type="dxa" w:w="56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train/test 复购样本；train 有 label，test 的 probability 可空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Gold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tmall_daily_metrics</w:t>
            </w:r>
          </w:p>
        </w:tc>
        <w:tc>
          <w:tcPr>
            <w:tcW w:type="dxa" w:w="56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日期和动作维度的行为数、用户数；用于趋势分析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Gold</w:t>
            </w:r>
          </w:p>
        </w:tc>
        <w:tc>
          <w:tcPr>
            <w:tcW w:type="dxa" w:w="324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tmall_merchant_metrics</w:t>
            </w:r>
          </w:p>
        </w:tc>
        <w:tc>
          <w:tcPr>
            <w:tcW w:type="dxa" w:w="56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商家行为、购买用户、历史复购用户与复购率；用于排行对比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Gold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tmall_category_metrics</w:t>
            </w:r>
          </w:p>
        </w:tc>
        <w:tc>
          <w:tcPr>
            <w:tcW w:type="dxa" w:w="56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类目行为与购买用户；用于品类分析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Gold</w:t>
            </w:r>
          </w:p>
        </w:tc>
        <w:tc>
          <w:tcPr>
            <w:tcW w:type="dxa" w:w="324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tmall_user_metrics</w:t>
            </w:r>
          </w:p>
        </w:tc>
        <w:tc>
          <w:tcPr>
            <w:tcW w:type="dxa" w:w="56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用户活跃、购买商家数、历史复购与购买广度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Gold</w:t>
            </w:r>
          </w:p>
        </w:tc>
        <w:tc>
          <w:tcPr>
            <w:tcW w:type="dxa" w:w="32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tmall_funnel_metrics</w:t>
            </w:r>
          </w:p>
        </w:tc>
        <w:tc>
          <w:tcPr>
            <w:tcW w:type="dxa" w:w="56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四种动作的事件数、用户数和相对点击倍数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color w:val="202124"/>
                <w:sz w:val="18"/>
              </w:rPr>
              <w:t>Gold</w:t>
            </w:r>
          </w:p>
        </w:tc>
        <w:tc>
          <w:tcPr>
            <w:tcW w:type="dxa" w:w="324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tmall_repurchase_metrics</w:t>
            </w:r>
          </w:p>
        </w:tc>
        <w:tc>
          <w:tcPr>
            <w:tcW w:type="dxa" w:w="56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train/test 样本量、标签分组和正样本率</w:t>
            </w:r>
          </w:p>
        </w:tc>
      </w:tr>
    </w:tbl>
    <w:p>
      <w:pPr>
        <w:spacing w:after="40"/>
      </w:pPr>
    </w:p>
    <w:p>
      <w:pPr>
        <w:pStyle w:val="Heading2"/>
      </w:pPr>
      <w:r>
        <w:t>pgvector 业务知识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3672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知识文档</w:t>
            </w:r>
          </w:p>
        </w:tc>
        <w:tc>
          <w:tcPr>
            <w:tcW w:type="dxa" w:w="6264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回答内容</w:t>
            </w:r>
          </w:p>
        </w:tc>
      </w:tr>
      <w:tr>
        <w:trPr>
          <w:cantSplit w:val="true"/>
        </w:trP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tmall_business_context.md</w:t>
            </w:r>
          </w:p>
        </w:tc>
        <w:tc>
          <w:tcPr>
            <w:tcW w:type="dxa" w:w="62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数据集背景、四种动作、数据适用范围</w:t>
            </w:r>
          </w:p>
        </w:tc>
      </w:tr>
      <w:tr>
        <w:trPr>
          <w:cantSplit w:val="true"/>
        </w:trPr>
        <w:tc>
          <w:tcPr>
            <w:tcW w:type="dxa" w:w="3672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tmall_data_dictionary.md</w:t>
            </w:r>
          </w:p>
        </w:tc>
        <w:tc>
          <w:tcPr>
            <w:tcW w:type="dxa" w:w="626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表、字段、粒度、可空性和字段间差异</w:t>
            </w:r>
          </w:p>
        </w:tc>
      </w:tr>
      <w:tr>
        <w:trPr>
          <w:cantSplit w:val="true"/>
        </w:trPr>
        <w:tc>
          <w:tcPr>
            <w:tcW w:type="dxa" w:w="367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tmall_metrics.md</w:t>
            </w:r>
          </w:p>
        </w:tc>
        <w:tc>
          <w:tcPr>
            <w:tcW w:type="dxa" w:w="626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行为、用户、复购、购买广度、样本正例率等口径</w:t>
            </w:r>
          </w:p>
        </w:tc>
      </w:tr>
      <w:tr>
        <w:trPr>
          <w:cantSplit w:val="true"/>
        </w:trPr>
        <w:tc>
          <w:tcPr>
            <w:tcW w:type="dxa" w:w="3672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tmall_sampling_and_quality.md</w:t>
            </w:r>
          </w:p>
        </w:tc>
        <w:tc>
          <w:tcPr>
            <w:tcW w:type="dxa" w:w="6264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稳定抽样、规模基线、质量校验和已知偏差</w:t>
            </w:r>
          </w:p>
        </w:tc>
      </w:tr>
    </w:tbl>
    <w:p>
      <w:pPr>
        <w:spacing w:after="40"/>
      </w:pPr>
    </w:p>
    <w:p>
      <w:pPr>
        <w:pStyle w:val="Heading2"/>
      </w:pPr>
      <w:r>
        <w:t>向量切割与检索方式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1.  按 Markdown 标题层级组织章节，优先在语义完整的段落边界切分，避免把一条指标公式拆到两个切片。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2.  为切片保存文档、章节、关键词、别名和 search_text 等元数据，便于语义召回与精确术语命中。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3.  使用 text-embedding-v4 生成 1024 维向量，存入 PostgreSQL 的 pgvector 字段。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4.  查询时先改写问题，再并行做向量召回和关键词召回，用 RRF 按排名融合去重。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5.  最多保留 20 个候选给 qwen3-rerank 精排，最终取 Top 5 作为回答上下文。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6.  文档未变化时整篇跳过；内容变化时只重算变化的切片，控制模型调用成本。</w:t>
      </w:r>
    </w:p>
    <w:p>
      <w:pPr>
        <w:pStyle w:val="Heading1"/>
      </w:pPr>
      <w:r>
        <w:t>四 可以询问的结构化数据问题</w:t>
      </w:r>
    </w:p>
    <w:p>
      <w:r>
        <w:rPr>
          <w:rFonts w:ascii="Aptos" w:hAnsi="Aptos" w:eastAsia="Microsoft YaHei"/>
          <w:color w:val="202124"/>
        </w:rPr>
        <w:t>这些问题通过 Agent 生成受控 SQL，只查询六张天猫 Gold 表。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行为规模与时间趋势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天猫样本中一共有多少条点击、收藏、加购和购买行为？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每天的点击量、收藏量、加购量和购买量趋势如何？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哪一天的购买行为最多？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2014 年 11 月每天的四类行为分别是多少？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双十一前后点击和购买行为如何变化？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某个日期区间内，哪种行为增长最快？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每日活跃用户数和购买用户数如何变化？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商家分析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购买用户数最多的前 10 个商家有哪些？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行为用户数最多的前 10 个商家有哪些？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哪些商家的购买用户率最高？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哪些商家的历史复购用户数最多？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历史复购率最高的前 10 个商家有哪些？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哪些商家点击很多，但购买用户相对较少？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指定商家的点击、收藏、加购和购买表现如何？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类目分析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购买用户数最多的前 10 个类目有哪些？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点击量最高的类目有哪些？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哪些类目收藏或加购较高，但购买相对较低？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指定类目的四种行为分布如何？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类目之间的购买用户率有何差异？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用户行为与购买广度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样本中共有多少位活跃用户？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有购买行为的用户有多少？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购买过多个不同商家的用户有多少？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买过商家数量最多的用户有哪些？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同一商家至少购买两次的历史复购用户有多少？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历史复购用户与购买多个商家的用户有什么数量差异？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复购样本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train 和 test 分别有多少个用户商家对？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train 中正样本和负样本各有多少？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train 的正样本率是多少？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 test 没有真实标签或预测概率？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历史复购行为和 train 的 label 是否是一回事？</w:t>
      </w:r>
    </w:p>
    <w:p>
      <w:pPr>
        <w:pStyle w:val="Heading1"/>
      </w:pPr>
      <w:r>
        <w:t>五 可以询问的知识库问题</w:t>
      </w:r>
    </w:p>
    <w:p>
      <w:r>
        <w:rPr>
          <w:rFonts w:ascii="Aptos" w:hAnsi="Aptos" w:eastAsia="Microsoft YaHei"/>
          <w:color w:val="202124"/>
        </w:rPr>
        <w:t>这些问题不需要重新计算数字，系统从向量知识库检索口径、字段与限制后回答。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字段与口径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action_type 的 0、1、2、3 分别代表什么？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buy_count 是订单数吗？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购买用户率和购买行为占比有什么区别？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repeat_buy_flag、multi_merchant_buy_flag 和 label 分别表示什么？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商家历史复购率的分子和分母是什么？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为什么类目表没有历史复购率？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positive_rate 查询时为什么还要限定 label_group = positive？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抽样与质量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为什么按 user_id 取模抽样，而不是按行号或随机数抽样？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用户级稳定抽样如何保持四个文件之间的关联？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样本中的绝对数量可以外推到全量天猫平台吗？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 cart 记录明显少于 favorite 和 buy？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系统如何检查孤儿记录、动作类型和日期范围？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重复导入同一 ZIP 时会发生什么？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数据库与向量库设计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哪些数据进入普通数据库，哪些进入向量数据库？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为什么行为明细不直接存入向量数据库？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为什么指标口径不能只写在数据库字段注释中？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 Agent 只能查询 Gold 表，不能查询用户行为明细？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为什么天猫表和零售表不允许跨领域 JOIN？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 Gold 每次整表重算，而不是增量累加？</w:t>
      </w:r>
    </w:p>
    <w:p>
      <w:pPr>
        <w:keepNext/>
        <w:spacing w:before="140" w:after="60"/>
      </w:pPr>
      <w:r>
        <w:rPr>
          <w:rFonts w:ascii="Aptos" w:hAnsi="Aptos" w:eastAsia="Microsoft YaHei"/>
          <w:b/>
          <w:color w:val="17365D"/>
          <w:sz w:val="22"/>
        </w:rPr>
        <w:t>导入事务与工程实现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--replace 如何保证清空旧数据与导入新数据的原子性？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为什么导入台账与主数据事务分开提交？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asyncpg 的隐式事务为什么可能导致 COPY 无法回滚？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为什么 COPY 前要先执行 SELECT 1 并检查真实事务状态？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导入失败后哪些数据会保留，哪些数据会回滚？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202124"/>
          <w:sz w:val="21"/>
        </w:rPr>
        <w:t>如何验证迁移 DDL 与 ORM 模型一致？</w:t>
      </w:r>
    </w:p>
    <w:p>
      <w:pPr>
        <w:pStyle w:val="Heading1"/>
      </w:pPr>
      <w:r>
        <w:t>六 当前不能可靠回答的问题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3816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不能回答的问题</w:t>
            </w:r>
          </w:p>
        </w:tc>
        <w:tc>
          <w:tcPr>
            <w:tcW w:type="dxa" w:w="6120"/>
            <w:shd w:fill="17365D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9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销售额、GMV、客单价、优惠金额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数据没有金额字段</w:t>
            </w:r>
          </w:p>
        </w:tc>
      </w:tr>
      <w:tr>
        <w:trPr>
          <w:cantSplit w:val="true"/>
        </w:trPr>
        <w:tc>
          <w:tcPr>
            <w:tcW w:type="dxa" w:w="38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真实订单量、每单件数</w:t>
            </w:r>
          </w:p>
        </w:tc>
        <w:tc>
          <w:tcPr>
            <w:tcW w:type="dxa" w:w="6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没有订单号和件数；buy 只是行为记录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商品名、商家名、品牌名、类目名称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数据只提供匿名 ID</w:t>
            </w:r>
          </w:p>
        </w:tc>
      </w:tr>
      <w:tr>
        <w:trPr>
          <w:cantSplit w:val="true"/>
        </w:trPr>
        <w:tc>
          <w:tcPr>
            <w:tcW w:type="dxa" w:w="38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地区、城市、门店和渠道表现</w:t>
            </w:r>
          </w:p>
        </w:tc>
        <w:tc>
          <w:tcPr>
            <w:tcW w:type="dxa" w:w="6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没有地理与渠道字段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严格的点击到购买转化路径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没有 session_id，无法证明动作发生在同一会话并按顺序推进</w:t>
            </w:r>
          </w:p>
        </w:tc>
      </w:tr>
      <w:tr>
        <w:trPr>
          <w:cantSplit w:val="true"/>
        </w:trPr>
        <w:tc>
          <w:tcPr>
            <w:tcW w:type="dxa" w:w="38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平台全量用户数与全量交易结论</w:t>
            </w:r>
          </w:p>
        </w:tc>
        <w:tc>
          <w:tcPr>
            <w:tcW w:type="dxa" w:w="6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当前只导入约 1/55 的稳定样本</w:t>
            </w:r>
          </w:p>
        </w:tc>
      </w:tr>
      <w:tr>
        <w:trPr>
          <w:cantSplit w:val="true"/>
        </w:trPr>
        <w:tc>
          <w:tcPr>
            <w:tcW w:type="dxa" w:w="381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test 的真实复购率</w:t>
            </w:r>
          </w:p>
        </w:tc>
        <w:tc>
          <w:tcPr>
            <w:tcW w:type="dxa" w:w="61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test 没有真实 label，prob 也尚未写入预测结果</w:t>
            </w:r>
          </w:p>
        </w:tc>
      </w:tr>
      <w:tr>
        <w:trPr>
          <w:cantSplit w:val="true"/>
        </w:trPr>
        <w:tc>
          <w:tcPr>
            <w:tcW w:type="dxa" w:w="3816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零售订单与天猫行为的联合分析</w:t>
            </w:r>
          </w:p>
        </w:tc>
        <w:tc>
          <w:tcPr>
            <w:tcW w:type="dxa" w:w="6120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hAnsi="Aptos" w:eastAsia="Microsoft YaHei"/>
                <w:color w:val="202124"/>
                <w:sz w:val="18"/>
              </w:rPr>
              <w:t>两个数据域的时间、主体和口径均不一致，系统禁止跨域 JOIN</w:t>
            </w:r>
          </w:p>
        </w:tc>
      </w:tr>
    </w:tbl>
    <w:p>
      <w:pPr>
        <w:spacing w:after="40"/>
      </w:pPr>
    </w:p>
    <w:p>
      <w:pPr>
        <w:pStyle w:val="Heading1"/>
      </w:pPr>
      <w:r>
        <w:t>七 面试回答提纲</w:t>
      </w:r>
    </w:p>
    <w:p>
      <w:pPr>
        <w:pStyle w:val="Heading2"/>
      </w:pPr>
      <w:r>
        <w:t>一分钟项目总结</w:t>
      </w:r>
    </w:p>
    <w:p>
      <w:pPr>
        <w:spacing w:line="300" w:lineRule="auto"/>
      </w:pPr>
      <w:r>
        <w:rPr>
          <w:rFonts w:ascii="Aptos" w:hAnsi="Aptos" w:eastAsia="Microsoft YaHei"/>
          <w:color w:val="202124"/>
          <w:sz w:val="22"/>
        </w:rPr>
        <w:t>我把天猫 IJCAI 2015 的公开数据接入了现有数据中台。原始行为日志有 5,492 万行，为了让本地环境可运行，我对四个 CSV 使用同一条 user_id 取模规则做稳定抽样，最终导入 7,712 位用户、998,542 条行为和 9,558 个复购样本。结构化数据进入 PostgreSQL，分成 Silver 明细层和 Gold 汇总层；智能问数只开放六张 Gold 表，通过领域路由、字段白名单、AST 校验和只读事务控制风险。业务口径、字段字典、抽样规则和限制写成四份知识文档，按标题和语义边界切片后做 embedding，使用向量加关键词混合召回、RRF 融合和 rerank。这样数字由 SQL 精确计算，知识库负责解释口径，既能回答趋势和排行，也能解释为什么 buy 不是订单、复购和购买广度有什么差别。</w:t>
      </w:r>
    </w:p>
    <w:p>
      <w:pPr>
        <w:pStyle w:val="Heading2"/>
      </w:pPr>
      <w:r>
        <w:t>面试官追问时要说清楚的五点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1.  选库依据：答案需要从数据计算就进 PostgreSQL；答案已经写在文档里就进 pgvector。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2.  抽样依据：按 user_id 取模能保证确定性、跨文件一致性和单个用户行为完整，不能把样本绝对数量当平台全量。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3.  复购口径：历史复购是在同一个 merchant_id 下至少两条 buy；购买多个商家是广度；train label 是未来复购监督标签，三者不同。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4.  事务安全：--replace 的删除、COPY 和 Gold 重算必须在同一真实数据库事务中；asyncpg COPY 前显式触发并确认事务。</w:t>
      </w:r>
    </w:p>
    <w:p>
      <w:pPr>
        <w:spacing w:after="60" w:line="269" w:lineRule="auto"/>
        <w:ind w:left="403" w:hanging="403"/>
      </w:pPr>
      <w:r>
        <w:rPr>
          <w:rFonts w:ascii="Aptos" w:hAnsi="Aptos" w:eastAsia="Microsoft YaHei"/>
          <w:color w:val="202124"/>
          <w:sz w:val="21"/>
        </w:rPr>
        <w:t>5.  查询边界：Agent 只查 Gold，不暴露用户明细；天猫与零售禁止跨域 JOIN；没有金额和订单号就不回答 GMV 与订单量。</w:t>
      </w:r>
    </w:p>
    <w:p>
      <w:pPr>
        <w:pStyle w:val="Heading2"/>
      </w:pPr>
      <w:r>
        <w:t>常用操作命令</w:t>
      </w:r>
    </w:p>
    <w:p>
      <w:pPr>
        <w:spacing w:after="60"/>
        <w:ind w:left="288"/>
      </w:pPr>
      <w:r>
        <w:rPr>
          <w:rFonts w:ascii="Cascadia Mono" w:hAnsi="Cascadia Mono" w:eastAsia="Microsoft YaHei"/>
          <w:color w:val="333333"/>
          <w:sz w:val="18"/>
        </w:rPr>
        <w:t>python -m alembic upgrade head</w:t>
      </w:r>
    </w:p>
    <w:p>
      <w:pPr>
        <w:spacing w:after="60"/>
        <w:ind w:left="288"/>
      </w:pPr>
      <w:r>
        <w:rPr>
          <w:rFonts w:ascii="Cascadia Mono" w:hAnsi="Cascadia Mono" w:eastAsia="Microsoft YaHei"/>
          <w:color w:val="333333"/>
          <w:sz w:val="18"/>
        </w:rPr>
        <w:t>python scripts/ingest_tmall_data.py --zip "&lt;zip-path&gt;" --dry-run</w:t>
      </w:r>
    </w:p>
    <w:p>
      <w:pPr>
        <w:spacing w:after="60"/>
        <w:ind w:left="288"/>
      </w:pPr>
      <w:r>
        <w:rPr>
          <w:rFonts w:ascii="Cascadia Mono" w:hAnsi="Cascadia Mono" w:eastAsia="Microsoft YaHei"/>
          <w:color w:val="333333"/>
          <w:sz w:val="18"/>
        </w:rPr>
        <w:t>python scripts/ingest_tmall_data.py --zip "&lt;zip-path&gt;" --sample-modulus 55 --sample-residue 0 --batch-size 10000</w:t>
      </w:r>
    </w:p>
    <w:p>
      <w:pPr>
        <w:spacing w:after="60"/>
        <w:ind w:left="288"/>
      </w:pPr>
      <w:r>
        <w:rPr>
          <w:rFonts w:ascii="Cascadia Mono" w:hAnsi="Cascadia Mono" w:eastAsia="Microsoft YaHei"/>
          <w:color w:val="333333"/>
          <w:sz w:val="18"/>
        </w:rPr>
        <w:t>python scripts/verify_tmall_data.py</w:t>
      </w:r>
    </w:p>
    <w:p>
      <w:pPr>
        <w:spacing w:after="60"/>
        <w:ind w:left="288"/>
      </w:pPr>
      <w:r>
        <w:rPr>
          <w:rFonts w:ascii="Cascadia Mono" w:hAnsi="Cascadia Mono" w:eastAsia="Microsoft YaHei"/>
          <w:color w:val="333333"/>
          <w:sz w:val="18"/>
        </w:rPr>
        <w:t>python scripts/verify_tmall_data.py --check-idempotency --zip "&lt;zip-path&gt;"</w:t>
      </w:r>
    </w:p>
    <w:p>
      <w:pPr>
        <w:spacing w:after="60"/>
        <w:ind w:left="288"/>
      </w:pPr>
      <w:r>
        <w:rPr>
          <w:rFonts w:ascii="Cascadia Mono" w:hAnsi="Cascadia Mono" w:eastAsia="Microsoft YaHei"/>
          <w:color w:val="333333"/>
          <w:sz w:val="18"/>
        </w:rPr>
        <w:t>python scripts/ingest_knowledge.py --dry-run</w:t>
      </w:r>
    </w:p>
    <w:p>
      <w:pPr>
        <w:spacing w:after="60"/>
        <w:ind w:left="288"/>
      </w:pPr>
      <w:r>
        <w:rPr>
          <w:rFonts w:ascii="Cascadia Mono" w:hAnsi="Cascadia Mono" w:eastAsia="Microsoft YaHei"/>
          <w:color w:val="333333"/>
          <w:sz w:val="18"/>
        </w:rPr>
        <w:t>python scripts/ingest_knowledge.py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6666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