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A" w:sz="1"/>
              <w:left w:val="single" w:color="4B2D8A" w:sz="1"/>
              <w:bottom w:val="single" w:color="4B2D8A" w:sz="1"/>
              <w:right w:val="single" w:color="4B2D8A" w:sz="1"/>
            </w:tcBorders>
            <w:shd w:fill="4B2D8A" w:val="clear"/>
            <w:tcMar>
              <w:top w:type="dxa" w:w="360"/>
              <w:left w:type="dxa" w:w="400"/>
              <w:bottom w:type="dxa" w:w="360"/>
              <w:right w:type="dxa" w:w="400"/>
            </w:tcMar>
          </w:tcPr>
          <w:p>
            <w:pPr>
              <w:jc w:val="center"/>
            </w:pPr>
            <w:r>
              <w:rPr>
                <w:rFonts w:ascii="Arial" w:cs="Arial" w:eastAsia="Arial" w:hAnsi="Arial"/>
                <w:b/>
                <w:bCs/>
                <w:color w:val="FFFFFF"/>
                <w:sz w:val="38"/>
                <w:szCs w:val="38"/>
              </w:rPr>
              <w:t xml:space="preserve">STRATEGIC ENGINEERING OF SYNTHETIC TAX DATASETS</w:t>
            </w:r>
          </w:p>
          <w:p>
            <w:pPr>
              <w:spacing w:after="0" w:before="80"/>
            </w:pPr>
            <w:r>
              <w:t xml:space="preserve"/>
            </w:r>
          </w:p>
          <w:p>
            <w:pPr>
              <w:jc w:val="center"/>
            </w:pPr>
            <w:r>
              <w:rPr>
                <w:rFonts w:ascii="Arial" w:cs="Arial" w:eastAsia="Arial" w:hAnsi="Arial"/>
                <w:color w:val="D0BBF5"/>
                <w:sz w:val="24"/>
                <w:szCs w:val="24"/>
              </w:rPr>
              <w:t xml:space="preserve">Advanced Federal and Multi-State Compliance Architecture</w:t>
            </w:r>
          </w:p>
          <w:p>
            <w:pPr>
              <w:spacing w:after="0" w:before="60"/>
            </w:pPr>
            <w:r>
              <w:t xml:space="preserve"/>
            </w:r>
          </w:p>
          <w:p>
            <w:pPr>
              <w:jc w:val="center"/>
            </w:pPr>
            <w:r>
              <w:rPr>
                <w:rFonts w:ascii="Arial" w:cs="Arial" w:eastAsia="Arial" w:hAnsi="Arial"/>
                <w:b/>
                <w:bCs/>
                <w:color w:val="EDE6F8"/>
                <w:sz w:val="21"/>
                <w:szCs w:val="21"/>
              </w:rPr>
              <w:t xml:space="preserve">DEFINITIVE CORRECTED EDITION v4.0  │  April 2026</w:t>
            </w:r>
          </w:p>
          <w:p>
            <w:pPr>
              <w:spacing w:after="0" w:before="60"/>
            </w:pPr>
            <w:r>
              <w:t xml:space="preserve"/>
            </w:r>
          </w:p>
          <w:p>
            <w:pPr>
              <w:jc w:val="center"/>
            </w:pPr>
            <w:r>
              <w:rPr>
                <w:rFonts w:ascii="Arial" w:cs="Arial" w:eastAsia="Arial" w:hAnsi="Arial"/>
                <w:i/>
                <w:iCs/>
                <w:color w:val="C0A8E8"/>
                <w:sz w:val="18"/>
                <w:szCs w:val="18"/>
              </w:rPr>
              <w:t xml:space="preserve">Resolving errors across three prior report versions — verified against IRS Rev. Proc. 2025-32, Katten, Tax Foundation, Kiplinger, and IRS.gov official guidance</w:t>
            </w:r>
          </w:p>
        </w:tc>
      </w:tr>
    </w:tbl>
    <w:p>
      <w:pPr>
        <w:spacing w:after="0" w:before="24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1. Executive Summary</w:t>
      </w:r>
    </w:p>
    <w:p>
      <w:pPr>
        <w:spacing w:after="60" w:before="60"/>
      </w:pPr>
      <w:r>
        <w:rPr>
          <w:rFonts w:ascii="Arial" w:cs="Arial" w:eastAsia="Arial" w:hAnsi="Arial"/>
          <w:color w:val="1A1A2E"/>
          <w:sz w:val="20"/>
          <w:szCs w:val="20"/>
        </w:rPr>
        <w:t xml:space="preserve">This v4.0 specification is the definitive corrected architecture for generating 2,000 synthetic individual tax datasets spanning five U.S. jurisdictions (CA, TX, NY, IL, FL), six tax years (2020–2025), and three complexity tiers. It resolves all errors identified in prior versions (v1, v2/corrected, and v3/advanced), cross-verified against IRS Revenue Procedure 2025-32, Katten Muchin Rosenman private wealth analysis, Tax Foundation 2026 bracket data, Kiplinger capital gains analysis, and official IRS.gov OBBBA guidance pages.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5CBF" w:sz="1"/>
              <w:left w:val="single" w:color="7C5CBF" w:sz="1"/>
              <w:bottom w:val="single" w:color="7C5CBF" w:sz="1"/>
              <w:right w:val="single" w:color="7C5CBF" w:sz="1"/>
            </w:tcBorders>
            <w:shd w:fill="EDE6F8" w:val="clear"/>
            <w:tcMar>
              <w:top w:type="dxa" w:w="120"/>
              <w:left w:type="dxa" w:w="160"/>
              <w:bottom w:type="dxa" w:w="120"/>
              <w:right w:type="dxa" w:w="160"/>
            </w:tcMar>
          </w:tcPr>
          <w:p>
            <w:pPr>
              <w:spacing w:after="60" w:before="0"/>
            </w:pPr>
            <w:r>
              <w:rPr>
                <w:rFonts w:ascii="Arial" w:cs="Arial" w:eastAsia="Arial" w:hAnsi="Arial"/>
                <w:b/>
                <w:bCs/>
                <w:color w:val="4B2D8A"/>
                <w:sz w:val="20"/>
                <w:szCs w:val="20"/>
              </w:rPr>
              <w:t xml:space="preserve">Scope Unchanged</w:t>
            </w:r>
          </w:p>
          <w:p>
            <w:pPr>
              <w:spacing w:after="30" w:before="30"/>
            </w:pPr>
            <w:r>
              <w:rPr>
                <w:rFonts w:ascii="Arial" w:cs="Arial" w:eastAsia="Arial" w:hAnsi="Arial"/>
                <w:color w:val="1A1A2E"/>
                <w:sz w:val="19"/>
                <w:szCs w:val="19"/>
              </w:rPr>
              <w:t xml:space="preserve">2,000 datasets • 5 states • 6 tax years (2020–2025) • 3 complexity levels</w:t>
            </w:r>
          </w:p>
          <w:p>
            <w:pPr>
              <w:spacing w:after="30" w:before="30"/>
            </w:pPr>
            <w:r>
              <w:rPr>
                <w:rFonts w:ascii="Arial" w:cs="Arial" w:eastAsia="Arial" w:hAnsi="Arial"/>
                <w:color w:val="1A1A2E"/>
                <w:sz w:val="19"/>
                <w:szCs w:val="19"/>
              </w:rPr>
              <w:t xml:space="preserve">Delivery: 300–400 datasets/week</w:t>
            </w:r>
          </w:p>
          <w:p>
            <w:pPr>
              <w:spacing w:after="30" w:before="30"/>
            </w:pPr>
            <w:r>
              <w:rPr>
                <w:rFonts w:ascii="Arial" w:cs="Arial" w:eastAsia="Arial" w:hAnsi="Arial"/>
                <w:color w:val="1A1A2E"/>
                <w:sz w:val="19"/>
                <w:szCs w:val="19"/>
              </w:rPr>
              <w:t xml:space="preserve">Each dataset: Client Summary PDF + 4–15 supporting documents + federal/state forms + Executive Summary + XML</w:t>
            </w:r>
          </w:p>
          <w:p>
            <w:pPr>
              <w:spacing w:after="30" w:before="30"/>
            </w:pPr>
            <w:r>
              <w:rPr>
                <w:rFonts w:ascii="Arial" w:cs="Arial" w:eastAsia="Arial" w:hAnsi="Arial"/>
                <w:color w:val="1A1A2E"/>
                <w:sz w:val="19"/>
                <w:szCs w:val="19"/>
              </w:rPr>
              <w:t xml:space="preserve">Note: Tax year 2026 parameters are included in this report for forward-compatibility of the data engine, but are not part of the 2,000-dataset deliverable scope.</w:t>
            </w:r>
          </w:p>
        </w:tc>
      </w:tr>
    </w:tbl>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2. Complete Error Log (All Prior Versions)</w:t>
      </w:r>
    </w:p>
    <w:p>
      <w:pPr>
        <w:spacing w:after="60" w:before="60"/>
      </w:pPr>
      <w:r>
        <w:rPr>
          <w:rFonts w:ascii="Arial" w:cs="Arial" w:eastAsia="Arial" w:hAnsi="Arial"/>
          <w:color w:val="1A1A2E"/>
          <w:sz w:val="20"/>
          <w:szCs w:val="20"/>
        </w:rPr>
        <w:t xml:space="preserve">The following errors were identified by systematic cross-checking of every quantitative and legislative claim in the v1, v2, and v3 reports against primary IRS sources. Each error is classified and corrected below.</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E-01</w:t>
            </w:r>
          </w:p>
        </w:tc>
        <w:tc>
          <w:tcPr>
            <w:tcW w:type="dxa" w:w="120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Math</w:t>
            </w:r>
          </w:p>
        </w:tc>
        <w:tc>
          <w:tcPr>
            <w:tcW w:type="dxa" w:w="7560"/>
            <w:tcBorders>
              <w:top w:val="single" w:color="C0392B" w:sz="1"/>
              <w:left w:val="single" w:color="C0392B" w:sz="1"/>
              <w:bottom w:val="single" w:color="C0392B" w:sz="1"/>
              <w:right w:val="single" w:color="C0392B" w:sz="1"/>
            </w:tcBorders>
            <w:shd w:fill="FDFCFE" w:val="clear"/>
            <w:tcMar>
              <w:top w:type="dxa" w:w="80"/>
              <w:left w:type="dxa" w:w="160"/>
              <w:bottom w:type="dxa" w:w="80"/>
              <w:right w:type="dxa" w:w="120"/>
            </w:tcMar>
            <w:vAlign w:val="center"/>
          </w:tcPr>
          <w:p>
            <w:r>
              <w:rPr>
                <w:rFonts w:ascii="Arial" w:cs="Arial" w:eastAsia="Arial" w:hAnsi="Arial"/>
                <w:b/>
                <w:bCs/>
                <w:color w:val="C0392B"/>
                <w:sz w:val="20"/>
                <w:szCs w:val="20"/>
              </w:rPr>
              <w:t xml:space="preserve">AGI Arithmetic: $168,500 not $171,500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AGI Example</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$150,000 wages + $18,500 interest = $171,500 AGI (v1, v2 repeated)</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$150,000 + $18,500 = $168,500. The prior $3,000 error cascades into EITC and CTC phase-out calculations.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E-02</w:t>
            </w:r>
          </w:p>
        </w:tc>
        <w:tc>
          <w:tcPr>
            <w:tcW w:type="dxa" w:w="120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Math</w:t>
            </w:r>
          </w:p>
        </w:tc>
        <w:tc>
          <w:tcPr>
            <w:tcW w:type="dxa" w:w="7560"/>
            <w:tcBorders>
              <w:top w:val="single" w:color="C0392B" w:sz="1"/>
              <w:left w:val="single" w:color="C0392B" w:sz="1"/>
              <w:bottom w:val="single" w:color="C0392B" w:sz="1"/>
              <w:right w:val="single" w:color="C0392B" w:sz="1"/>
            </w:tcBorders>
            <w:shd w:fill="FDFCFE" w:val="clear"/>
            <w:tcMar>
              <w:top w:type="dxa" w:w="80"/>
              <w:left w:type="dxa" w:w="160"/>
              <w:bottom w:type="dxa" w:w="80"/>
              <w:right w:type="dxa" w:w="120"/>
            </w:tcMar>
            <w:vAlign w:val="center"/>
          </w:tcPr>
          <w:p>
            <w:r>
              <w:rPr>
                <w:rFonts w:ascii="Arial" w:cs="Arial" w:eastAsia="Arial" w:hAnsi="Arial"/>
                <w:b/>
                <w:bCs/>
                <w:color w:val="C0392B"/>
                <w:sz w:val="20"/>
                <w:szCs w:val="20"/>
              </w:rPr>
              <w:t xml:space="preserve">Child Tax Credit is Year-Specific, Not Universal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CTC Per Child</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$2,200/child stated universally across all years (v1 through v3)</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2020/2022–2024: $2,000/child. 2021: $3,600 (&lt;6 yrs) or $3,000 (6–17). 2025–onward: $2,200/child (OBBBA). 2026: stays $2,200 (inflation too low to adjust). The data engine must branch by year.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D35400" w:sz="1"/>
              <w:left w:val="single" w:color="D35400" w:sz="1"/>
              <w:bottom w:val="single" w:color="D35400" w:sz="1"/>
              <w:right w:val="single" w:color="D35400" w:sz="1"/>
            </w:tcBorders>
            <w:shd w:fill="D35400"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E-03</w:t>
            </w:r>
          </w:p>
        </w:tc>
        <w:tc>
          <w:tcPr>
            <w:tcW w:type="dxa" w:w="12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Classification</w:t>
            </w:r>
          </w:p>
        </w:tc>
        <w:tc>
          <w:tcPr>
            <w:tcW w:type="dxa" w:w="7560"/>
            <w:tcBorders>
              <w:top w:val="single" w:color="D35400" w:sz="1"/>
              <w:left w:val="single" w:color="D35400" w:sz="1"/>
              <w:bottom w:val="single" w:color="D35400" w:sz="1"/>
              <w:right w:val="single" w:color="D35400" w:sz="1"/>
            </w:tcBorders>
            <w:shd w:fill="FDFCFE" w:val="clear"/>
            <w:tcMar>
              <w:top w:type="dxa" w:w="80"/>
              <w:left w:type="dxa" w:w="160"/>
              <w:bottom w:type="dxa" w:w="80"/>
              <w:right w:type="dxa" w:w="120"/>
            </w:tcMar>
            <w:vAlign w:val="center"/>
          </w:tcPr>
          <w:p>
            <w:r>
              <w:rPr>
                <w:rFonts w:ascii="Arial" w:cs="Arial" w:eastAsia="Arial" w:hAnsi="Arial"/>
                <w:b/>
                <w:bCs/>
                <w:color w:val="D35400"/>
                <w:sz w:val="20"/>
                <w:szCs w:val="20"/>
              </w:rPr>
              <w:t xml:space="preserve">OBBBA Deductions Misclassified as Below-the-Line (v1 and v2)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Deduction Type</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v1 called OBBBA deductions 'below-the-line'; v2 corrected this but used imprecise Form 1040 line reference (Line 13b)</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All four OBBBA deductions are above-the-line adjustments on Schedule 1-A, flowing to Schedule 1 Part II, then to Form 1040 Line 10. There is no 'Line 13b' on Form 1040. Line 13 = QBI deduction. Line 10 = Schedule 1 net adjustments.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E-04</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Specification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Car Loan Interest Phase-Out Listed as N/A (v1)</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Car Loan Phase-Out</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Table showed N/A (v1)</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Phase-out starts at $100,000 MAGI (Single) / $200,000 MAGI (MFJ). Reduction: $200 per $1,000 over threshold. Fully phased out at $149,000 Single / $249,000 MFJ (confirmed: IRS.gov, TurboTax Feb 2026, Doeren).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C0392B" w:sz="1"/>
              <w:left w:val="single" w:color="C0392B" w:sz="1"/>
              <w:bottom w:val="single" w:color="C0392B" w:sz="1"/>
              <w:right w:val="single" w:color="C0392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E-05</w:t>
            </w:r>
          </w:p>
        </w:tc>
        <w:tc>
          <w:tcPr>
            <w:tcW w:type="dxa" w:w="1200"/>
            <w:tcBorders>
              <w:top w:val="single" w:color="C0392B" w:sz="1"/>
              <w:left w:val="single" w:color="C0392B" w:sz="1"/>
              <w:bottom w:val="single" w:color="C0392B" w:sz="1"/>
              <w:right w:val="single" w:color="C0392B" w:sz="1"/>
            </w:tcBorders>
            <w:shd w:fill="C0392B"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Math</w:t>
            </w:r>
          </w:p>
        </w:tc>
        <w:tc>
          <w:tcPr>
            <w:tcW w:type="dxa" w:w="7560"/>
            <w:tcBorders>
              <w:top w:val="single" w:color="C0392B" w:sz="1"/>
              <w:left w:val="single" w:color="C0392B" w:sz="1"/>
              <w:bottom w:val="single" w:color="C0392B" w:sz="1"/>
              <w:right w:val="single" w:color="C0392B" w:sz="1"/>
            </w:tcBorders>
            <w:shd w:fill="FDFCFE" w:val="clear"/>
            <w:tcMar>
              <w:top w:type="dxa" w:w="80"/>
              <w:left w:type="dxa" w:w="160"/>
              <w:bottom w:type="dxa" w:w="80"/>
              <w:right w:type="dxa" w:w="120"/>
            </w:tcMar>
            <w:vAlign w:val="center"/>
          </w:tcPr>
          <w:p>
            <w:r>
              <w:rPr>
                <w:rFonts w:ascii="Arial" w:cs="Arial" w:eastAsia="Arial" w:hAnsi="Arial"/>
                <w:b/>
                <w:bCs/>
                <w:color w:val="C0392B"/>
                <w:sz w:val="20"/>
                <w:szCs w:val="20"/>
              </w:rPr>
              <w:t xml:space="preserve">Capital Gains 20% Threshold: 2025 Values Used for 2026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20% Cap Gains Threshold</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Report (v3) used $533,400 Single / $600,050 MFJ as 2026 20% capital gains threshold</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2025 thresholds: $533,400/$600,050. 2026 thresholds (inflation-adjusted per Rev. Proc. 2025-32): $545,500 Single / $613,700 MFJ. (Source: Katten, Kiplinger March 2026, Tax Foundation).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E-06</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Specification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AMT Phase-Out Range and Rate Change Not Documented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AMT Phase-Out</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v3 correctly stated $90,100/$140,200 exemption but omitted critical OBBBA AMT change</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OBBBA reverts AMT phase-out START thresholds to 2018 levels AND doubles the phase-out rate from 25 cents to 50 cents per dollar. 2026 full phase-out ranges: $500,000–$680,200 (Single); $1,000,000–$1,280,400 (MFJ). This dramatically expands AMT exposure for high-earners with $500K–$680K income. (Source: Tax Foundation, Doeren, CPA Practice Advisor).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E-07</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Specification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QBI Phase-Out Description Uses Wrong Terminology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QBI Terminology</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v3 described '$75,000/$150,000 expanded phase-out range' as if it is the start threshold</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$75,000/$150,000 is the WIDTH of the phase-in range, not the start. The phase-out for W-2/property limits BEGINS at $201,775 (Single) / $403,500 (MFJ) in 2026 and extends over a $75,000/$150,000 range. SSTB exclusions also begin at these thresholds. (Source: Tax Foundation Rev. Proc. 2025-32 table).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E-08</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Specification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Charitable Non-Itemizer Deduction: Start Year Corrected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Charitable Start Year</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v2 (corrected report) said non-itemizer charitable deduction starts in 2025</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Confirmed starting in 2026 per Katten: 'consider accelerating 2025 charitable giving... non-itemizers, however, should consider holding tight until 2026.' The deduction of up to $1,000 (Single) / $2,000 (MFJ) is permanent beginning 2026. v3 was correct on this point; v2 was wrong.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E-09</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Specification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Medicare Surtax Threshold Incomplete (v1 and v2)</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Medicare 0.9%</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v1: stated $200,000 universally. v2: added MFJ=$250,000 but incomplete employer logic</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Full picture: Employer W-2 withholding triggers at $200,000 per individual (filing-status-blind). Final liability on Form 8959: $200,000 (Single/HOH/MFS) or $250,000 (MFJ). A dual-income MFJ household where each earns $180,000 will have zero employer withholding but owe 0.9% on $110,000 ($360K − $250K) reconciled on Form 8959.</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E-10</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Specification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Validation Table Incomplete: 7 of 15 Rules Missing (v3)</w:t>
            </w:r>
          </w:p>
        </w:tc>
      </w:tr>
    </w:tbl>
    <w:p>
      <w:pPr>
        <w:spacing w:after="0" w:before="60"/>
      </w:pPr>
      <w:r>
        <w:t xml:space="preserve"/>
      </w:r>
    </w:p>
    <w:p>
      <w:pPr>
        <w:spacing w:after="60" w:before="60"/>
      </w:pPr>
      <w:r>
        <w:rPr>
          <w:rFonts w:ascii="Arial" w:cs="Arial" w:eastAsia="Arial" w:hAnsi="Arial"/>
          <w:b/>
          <w:bCs/>
          <w:color w:val="1A1A2E"/>
          <w:sz w:val="20"/>
          <w:szCs w:val="20"/>
        </w:rPr>
        <w:t xml:space="preserve">The v3 validation table lists only 8 rules (V-01, V-02, V-05, V-06, V-07, V-10, V-12, V-14). The following 7 rules are missing entirely: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rPr>
          <w:tblHeader/>
        </w:trPr>
        <w:tc>
          <w:tcPr>
            <w:tcW w:type="dxa" w:w="6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Rule ID</w:t>
            </w:r>
          </w:p>
        </w:tc>
        <w:tc>
          <w:tcPr>
            <w:tcW w:type="dxa" w:w="32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Missing Check</w:t>
            </w:r>
          </w:p>
        </w:tc>
        <w:tc>
          <w:tcPr>
            <w:tcW w:type="dxa" w:w="55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Why Critical</w:t>
            </w:r>
          </w:p>
        </w:tc>
      </w:tr>
      <w:tr>
        <w:tc>
          <w:tcPr>
            <w:tcW w:type="dxa" w:w="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V-03</w:t>
            </w:r>
          </w:p>
        </w:tc>
        <w:tc>
          <w:tcPr>
            <w:tcW w:type="dxa" w:w="3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SUM(1099-NEC Box 1) flows to Schedule C Line 1</w:t>
            </w:r>
          </w:p>
        </w:tc>
        <w:tc>
          <w:tcPr>
            <w:tcW w:type="dxa" w:w="5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Schedule C gross receipts must match all 1099-NEC inputs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V-04</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Form 1098 Box 1 ≤ $750K loan limit → Schedule A Line 8a</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Mortgage interest deduction is capped; uncapped input inflates Schedule A</w:t>
            </w:r>
          </w:p>
        </w:tc>
      </w:tr>
      <w:tr>
        <w:tc>
          <w:tcPr>
            <w:tcW w:type="dxa" w:w="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V-08</w:t>
            </w:r>
          </w:p>
        </w:tc>
        <w:tc>
          <w:tcPr>
            <w:tcW w:type="dxa" w:w="3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SUM(1099-INT Box 1) = Schedule B Part I = Form 1040 Line 2b</w:t>
            </w:r>
          </w:p>
        </w:tc>
        <w:tc>
          <w:tcPr>
            <w:tcW w:type="dxa" w:w="5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Three-document chain must be exactly equal</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V-09</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W-2 Box 4 = min(Box 3, SS_Wage_Base) × 0.062</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Redundant with V-02 but critical for multi-employer scenarios</w:t>
            </w:r>
          </w:p>
        </w:tc>
      </w:tr>
      <w:tr>
        <w:tc>
          <w:tcPr>
            <w:tcW w:type="dxa" w:w="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V-11</w:t>
            </w:r>
          </w:p>
        </w:tc>
        <w:tc>
          <w:tcPr>
            <w:tcW w:type="dxa" w:w="3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CTC = year_lookup(tax_year) × qualifying_children</w:t>
            </w:r>
          </w:p>
        </w:tc>
        <w:tc>
          <w:tcPr>
            <w:tcW w:type="dxa" w:w="5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Without year-specific CTC lookup, all pre-2025 datasets get wrong credit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V-13</w:t>
            </w:r>
          </w:p>
        </w:tc>
        <w:tc>
          <w:tcPr>
            <w:tcW w:type="dxa" w:w="3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SSN not in used_ssns set; add to set on pass</w:t>
            </w:r>
          </w:p>
        </w:tc>
        <w:tc>
          <w:tcPr>
            <w:tcW w:type="dxa" w:w="5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Prevents duplicate SSNs across the 2,000-dataset corpus</w:t>
            </w:r>
          </w:p>
        </w:tc>
      </w:tr>
      <w:tr>
        <w:tc>
          <w:tcPr>
            <w:tcW w:type="dxa" w:w="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V-15</w:t>
            </w:r>
          </w:p>
        </w:tc>
        <w:tc>
          <w:tcPr>
            <w:tcW w:type="dxa" w:w="3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All required subdirs and files exist before finalizing dataset</w:t>
            </w:r>
          </w:p>
        </w:tc>
        <w:tc>
          <w:tcPr>
            <w:tcW w:type="dxa" w:w="55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Catches partial generation failures before packaging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E-11</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Omission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SALT 2026 Cap Omits the 1% Annual Inflation Increment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2026 SALT Cap</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v3 implies $40,000 cap is flat through 2029</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OBBBA mandates 1% annual increase. 2025=$40,000. 2026=$40,400. 2027=$40,804. 2028=$41,212. 2029=$41,624. The phase-out start threshold also adjusts: $505,000+ in 2026 (from $500,000). (Source: Millan CPA, 2026 IRS sources).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E-12</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Specification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Bonus Depreciation Date is Ambiguous / Unverifiable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Bonus Depr. Date</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v3: '100% bonus depreciation for property placed in service on or after January 19, 2025'</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January 19 is Trump's inauguration date. OBBBA makes 100% bonus depreciation permanent for qualified property placed in service on or after January 20, 2025 (day after inauguration, consistent with the OBBBA enactment intent). Retroactive to that date regardless of OBBBA's July 2025 signing. Implement as: placed_in_service_date &gt;= 2025-01-20.</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7C5CBF" w:sz="1"/>
              <w:left w:val="single" w:color="7C5CBF" w:sz="1"/>
              <w:bottom w:val="single" w:color="7C5CBF" w:sz="1"/>
              <w:right w:val="single" w:color="7C5CBF" w:sz="1"/>
            </w:tcBorders>
            <w:shd w:fill="7C5CBF"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E-13</w:t>
            </w:r>
          </w:p>
        </w:tc>
        <w:tc>
          <w:tcPr>
            <w:tcW w:type="dxa" w:w="1200"/>
            <w:tcBorders>
              <w:top w:val="single" w:color="7C5CBF" w:sz="1"/>
              <w:left w:val="single" w:color="7C5CBF" w:sz="1"/>
              <w:bottom w:val="single" w:color="7C5CBF" w:sz="1"/>
              <w:right w:val="single" w:color="7C5CBF" w:sz="1"/>
            </w:tcBorders>
            <w:shd w:fill="7C5CBF"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Specification</w:t>
            </w:r>
          </w:p>
        </w:tc>
        <w:tc>
          <w:tcPr>
            <w:tcW w:type="dxa" w:w="7560"/>
            <w:tcBorders>
              <w:top w:val="single" w:color="7C5CBF" w:sz="1"/>
              <w:left w:val="single" w:color="7C5CBF" w:sz="1"/>
              <w:bottom w:val="single" w:color="7C5CBF" w:sz="1"/>
              <w:right w:val="single" w:color="7C5CBF" w:sz="1"/>
            </w:tcBorders>
            <w:shd w:fill="FDFCFE" w:val="clear"/>
            <w:tcMar>
              <w:top w:type="dxa" w:w="80"/>
              <w:left w:type="dxa" w:w="160"/>
              <w:bottom w:type="dxa" w:w="80"/>
              <w:right w:type="dxa" w:w="120"/>
            </w:tcMar>
            <w:vAlign w:val="center"/>
          </w:tcPr>
          <w:p>
            <w:r>
              <w:rPr>
                <w:rFonts w:ascii="Arial" w:cs="Arial" w:eastAsia="Arial" w:hAnsi="Arial"/>
                <w:b/>
                <w:bCs/>
                <w:color w:val="7C5CBF"/>
                <w:sz w:val="20"/>
                <w:szCs w:val="20"/>
              </w:rPr>
              <w:t xml:space="preserve">Form 720 Framing: Individual vs. Business Obligation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Remittance Tax</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v3 implies individuals may need to account for Form 720 in their tax dataset</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Form 720 is a quarterly BUSINESS excise tax return. Individual remittance senders have zero Form 720 obligation. The 1% tax is collected and remitted by the corporate transfer provider (money transfer operator). For synthetic individual datasets, the only modeling needed is: reduce the persona's disposable cash flow by 1% on qualifying cash/money-order remittances. Do not generate Form 720 as part of individual dataset folders.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7560"/>
      </w:tblGrid>
      <w:tr>
        <w:tc>
          <w:tcPr>
            <w:tcW w:type="dxa" w:w="600"/>
            <w:tcBorders>
              <w:top w:val="single" w:color="D35400" w:sz="1"/>
              <w:left w:val="single" w:color="D35400" w:sz="1"/>
              <w:bottom w:val="single" w:color="D35400" w:sz="1"/>
              <w:right w:val="single" w:color="D35400" w:sz="1"/>
            </w:tcBorders>
            <w:shd w:fill="D35400"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E-14</w:t>
            </w:r>
          </w:p>
        </w:tc>
        <w:tc>
          <w:tcPr>
            <w:tcW w:type="dxa" w:w="1200"/>
            <w:tcBorders>
              <w:top w:val="single" w:color="D35400" w:sz="1"/>
              <w:left w:val="single" w:color="D35400" w:sz="1"/>
              <w:bottom w:val="single" w:color="D35400" w:sz="1"/>
              <w:right w:val="single" w:color="D35400" w:sz="1"/>
            </w:tcBorders>
            <w:shd w:fill="D35400" w:val="clear"/>
            <w:tcMar>
              <w:top w:type="dxa" w:w="80"/>
              <w:left w:type="dxa" w:w="100"/>
              <w:bottom w:type="dxa" w:w="80"/>
              <w:right w:type="dxa" w:w="100"/>
            </w:tcMar>
            <w:vAlign w:val="center"/>
          </w:tcPr>
          <w:p>
            <w:pPr>
              <w:jc w:val="center"/>
            </w:pPr>
            <w:r>
              <w:rPr>
                <w:rFonts w:ascii="Arial" w:cs="Arial" w:eastAsia="Arial" w:hAnsi="Arial"/>
                <w:b/>
                <w:bCs/>
                <w:color w:val="FFFFFF"/>
                <w:sz w:val="17"/>
                <w:szCs w:val="17"/>
              </w:rPr>
              <w:t xml:space="preserve">Classification</w:t>
            </w:r>
          </w:p>
        </w:tc>
        <w:tc>
          <w:tcPr>
            <w:tcW w:type="dxa" w:w="7560"/>
            <w:tcBorders>
              <w:top w:val="single" w:color="D35400" w:sz="1"/>
              <w:left w:val="single" w:color="D35400" w:sz="1"/>
              <w:bottom w:val="single" w:color="D35400" w:sz="1"/>
              <w:right w:val="single" w:color="D35400" w:sz="1"/>
            </w:tcBorders>
            <w:shd w:fill="FDFCFE" w:val="clear"/>
            <w:tcMar>
              <w:top w:type="dxa" w:w="80"/>
              <w:left w:type="dxa" w:w="160"/>
              <w:bottom w:type="dxa" w:w="80"/>
              <w:right w:type="dxa" w:w="120"/>
            </w:tcMar>
            <w:vAlign w:val="center"/>
          </w:tcPr>
          <w:p>
            <w:r>
              <w:rPr>
                <w:rFonts w:ascii="Arial" w:cs="Arial" w:eastAsia="Arial" w:hAnsi="Arial"/>
                <w:b/>
                <w:bCs/>
                <w:color w:val="D35400"/>
                <w:sz w:val="20"/>
                <w:szCs w:val="20"/>
              </w:rPr>
              <w:t xml:space="preserve">2/37 Rule Mislabeled as Pease Limitation Resurrection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80"/>
        <w:gridCol w:w="4180"/>
      </w:tblGrid>
      <w:tr>
        <w:tc>
          <w:tcPr>
            <w:tcW w:type="dxa" w:w="1400"/>
            <w:tcBorders>
              <w:top w:val="single" w:color="C0392B" w:sz="1"/>
              <w:left w:val="single" w:color="C0392B" w:sz="1"/>
              <w:bottom w:val="single" w:color="C0392B" w:sz="1"/>
              <w:right w:val="single" w:color="C0392B" w:sz="1"/>
            </w:tcBorders>
            <w:shd w:fill="FADBD8" w:val="clear"/>
            <w:tcMar>
              <w:top w:type="dxa" w:w="80"/>
              <w:left w:type="dxa" w:w="100"/>
              <w:bottom w:type="dxa" w:w="80"/>
              <w:right w:type="dxa" w:w="100"/>
            </w:tcMar>
            <w:vAlign w:val="center"/>
          </w:tcPr>
          <w:p>
            <w:pPr>
              <w:jc w:val="center"/>
            </w:pPr>
            <w:r>
              <w:rPr>
                <w:rFonts w:ascii="Arial" w:cs="Arial" w:eastAsia="Arial" w:hAnsi="Arial"/>
                <w:b/>
                <w:bCs/>
                <w:color w:val="C0392B"/>
                <w:sz w:val="18"/>
                <w:szCs w:val="18"/>
              </w:rPr>
              <w:t xml:space="preserve">2/37 Rule</w:t>
            </w:r>
          </w:p>
        </w:tc>
        <w:tc>
          <w:tcPr>
            <w:tcW w:type="dxa" w:w="3780"/>
            <w:tcBorders>
              <w:top w:val="single" w:color="C0392B" w:sz="1"/>
              <w:left w:val="single" w:color="C0392B" w:sz="1"/>
              <w:bottom w:val="single" w:color="C0392B" w:sz="1"/>
              <w:right w:val="single" w:color="C0392B" w:sz="1"/>
            </w:tcBorders>
            <w:shd w:fill="FDECEA" w:val="clear"/>
            <w:tcMar>
              <w:top w:type="dxa" w:w="80"/>
              <w:left w:type="dxa" w:w="120"/>
              <w:bottom w:type="dxa" w:w="80"/>
              <w:right w:type="dxa" w:w="120"/>
            </w:tcMar>
          </w:tcPr>
          <w:p>
            <w:r>
              <w:rPr>
                <w:rFonts w:ascii="Arial" w:cs="Arial" w:eastAsia="Arial" w:hAnsi="Arial"/>
                <w:b/>
                <w:bCs/>
                <w:color w:val="C0392B"/>
                <w:sz w:val="16"/>
                <w:szCs w:val="16"/>
              </w:rPr>
              <w:t xml:space="preserve">❌ OLD / WRONG</w:t>
            </w:r>
          </w:p>
          <w:p>
            <w:pPr>
              <w:spacing w:before="40"/>
            </w:pPr>
            <w:r>
              <w:rPr>
                <w:rFonts w:ascii="Arial" w:cs="Arial" w:eastAsia="Arial" w:hAnsi="Arial"/>
                <w:color w:val="C0392B"/>
                <w:sz w:val="18"/>
                <w:szCs w:val="18"/>
              </w:rPr>
              <w:t xml:space="preserve">v3: 'resurrects a highly specialized form of the historical Pease limitation'</w:t>
            </w:r>
          </w:p>
        </w:tc>
        <w:tc>
          <w:tcPr>
            <w:tcW w:type="dxa" w:w="4180"/>
            <w:tcBorders>
              <w:top w:val="single" w:color="1E7E34" w:sz="1"/>
              <w:left w:val="single" w:color="1E7E34" w:sz="1"/>
              <w:bottom w:val="single" w:color="1E7E34" w:sz="1"/>
              <w:right w:val="single" w:color="1E7E34" w:sz="1"/>
            </w:tcBorders>
            <w:shd w:fill="EAFAF1" w:val="clear"/>
            <w:tcMar>
              <w:top w:type="dxa" w:w="80"/>
              <w:left w:type="dxa" w:w="120"/>
              <w:bottom w:type="dxa" w:w="80"/>
              <w:right w:type="dxa" w:w="120"/>
            </w:tcMar>
          </w:tcPr>
          <w:p>
            <w:r>
              <w:rPr>
                <w:rFonts w:ascii="Arial" w:cs="Arial" w:eastAsia="Arial" w:hAnsi="Arial"/>
                <w:b/>
                <w:bCs/>
                <w:color w:val="1E7E34"/>
                <w:sz w:val="16"/>
                <w:szCs w:val="16"/>
              </w:rPr>
              <w:t xml:space="preserve">✓ CORRECTED</w:t>
            </w:r>
          </w:p>
          <w:p>
            <w:pPr>
              <w:spacing w:before="40"/>
            </w:pPr>
            <w:r>
              <w:rPr>
                <w:rFonts w:ascii="Arial" w:cs="Arial" w:eastAsia="Arial" w:hAnsi="Arial"/>
                <w:color w:val="1E7E34"/>
                <w:sz w:val="18"/>
                <w:szCs w:val="18"/>
              </w:rPr>
              <w:t xml:space="preserve">Pease limitation was a haircut applied to ALL itemizers. The OBBBA 2/37 rule is different in mechanism: it specifically caps the tax BENEFIT (not the deduction amount) for taxpayers in the 37% bracket at 35 cents per dollar, effective 2026. Implementation: if persona is in 37% bracket and itemizes, add [total_itemized × 0.02] to final tax liability on Line 16. (Source: IRS Rev. Proc. 2025-32 note; Katten; Doeren).</w:t>
            </w:r>
          </w:p>
        </w:tc>
      </w:tr>
    </w:tbl>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3. Verified 2026 Federal Tax Parameter Reference</w:t>
      </w:r>
    </w:p>
    <w:p>
      <w:pPr>
        <w:spacing w:after="60" w:before="60"/>
      </w:pPr>
      <w:r>
        <w:rPr>
          <w:rFonts w:ascii="Arial" w:cs="Arial" w:eastAsia="Arial" w:hAnsi="Arial"/>
          <w:color w:val="1A1A2E"/>
          <w:sz w:val="20"/>
          <w:szCs w:val="20"/>
        </w:rPr>
        <w:t xml:space="preserve">All values below are verified against IRS Revenue Procedure 2025-32 (issued October 2025) and secondary confirmation from Tax Foundation, CPA Practice Advisor, and Katten Muchin Rosenman. These are the authoritative figures for the data engine's 2026 tax_tables.py entries.</w:t>
      </w:r>
    </w:p>
    <w:p>
      <w:pPr>
        <w:spacing w:after="0" w:before="120"/>
      </w:pPr>
      <w:r>
        <w:t xml:space="preserve"/>
      </w:r>
    </w:p>
    <w:p>
      <w:pPr>
        <w:pStyle w:val="Heading2"/>
        <w:spacing w:after="80" w:before="260"/>
      </w:pPr>
      <w:r>
        <w:rPr>
          <w:rFonts w:ascii="Arial" w:cs="Arial" w:eastAsia="Arial" w:hAnsi="Arial"/>
          <w:b/>
          <w:bCs/>
          <w:color w:val="1A1A2E"/>
          <w:sz w:val="26"/>
          <w:szCs w:val="26"/>
        </w:rPr>
        <w:t xml:space="preserve">3.1 Standard Deductions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060"/>
      </w:tblGrid>
      <w:tr>
        <w:trPr>
          <w:tblHeader/>
        </w:trPr>
        <w:tc>
          <w:tcPr>
            <w:tcW w:type="dxa" w:w="25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Filing Status</w:t>
            </w:r>
          </w:p>
        </w:tc>
        <w:tc>
          <w:tcPr>
            <w:tcW w:type="dxa" w:w="18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2025 (OBBBA)</w:t>
            </w:r>
          </w:p>
        </w:tc>
        <w:tc>
          <w:tcPr>
            <w:tcW w:type="dxa" w:w="20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2026 (Rev. Proc. 2025-32)</w:t>
            </w:r>
          </w:p>
        </w:tc>
        <w:tc>
          <w:tcPr>
            <w:tcW w:type="dxa" w:w="30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Change</w:t>
            </w:r>
          </w:p>
        </w:tc>
      </w:tr>
      <w:tr>
        <w:tc>
          <w:tcPr>
            <w:tcW w:type="dxa" w:w="2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Single / MFS</w:t>
            </w:r>
          </w:p>
        </w:tc>
        <w:tc>
          <w:tcPr>
            <w:tcW w:type="dxa" w:w="1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$15,750</w:t>
            </w:r>
          </w:p>
        </w:tc>
        <w:tc>
          <w:tcPr>
            <w:tcW w:type="dxa" w:w="2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$16,100</w:t>
            </w:r>
          </w:p>
        </w:tc>
        <w:tc>
          <w:tcPr>
            <w:tcW w:type="dxa" w:w="30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+$350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Head of Household</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$23,625</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$24,150</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+$525</w:t>
            </w:r>
          </w:p>
        </w:tc>
      </w:tr>
      <w:tr>
        <w:tc>
          <w:tcPr>
            <w:tcW w:type="dxa" w:w="2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MFJ / Surviving Spouse</w:t>
            </w:r>
          </w:p>
        </w:tc>
        <w:tc>
          <w:tcPr>
            <w:tcW w:type="dxa" w:w="1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$31,500</w:t>
            </w:r>
          </w:p>
        </w:tc>
        <w:tc>
          <w:tcPr>
            <w:tcW w:type="dxa" w:w="2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$32,200</w:t>
            </w:r>
          </w:p>
        </w:tc>
        <w:tc>
          <w:tcPr>
            <w:tcW w:type="dxa" w:w="30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+$700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Add'l Standard Deduction (65+ or blind, Single)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$2,000 (est.)</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$2,050</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+$50</w:t>
            </w:r>
          </w:p>
        </w:tc>
      </w:tr>
      <w:tr>
        <w:tc>
          <w:tcPr>
            <w:tcW w:type="dxa" w:w="2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Add'l Standard Deduction (65+ or blind, MFJ)</w:t>
            </w:r>
          </w:p>
        </w:tc>
        <w:tc>
          <w:tcPr>
            <w:tcW w:type="dxa" w:w="18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$1,600 (est.)</w:t>
            </w:r>
          </w:p>
        </w:tc>
        <w:tc>
          <w:tcPr>
            <w:tcW w:type="dxa" w:w="2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$1,650/person</w:t>
            </w:r>
          </w:p>
        </w:tc>
        <w:tc>
          <w:tcPr>
            <w:tcW w:type="dxa" w:w="30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+$50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Senior OBBBA Deduction (65+, separate from above)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$6,000/person</w:t>
            </w:r>
          </w:p>
        </w:tc>
        <w:tc>
          <w:tcPr>
            <w:tcW w:type="dxa" w:w="2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$6,000/person (continues)</w:t>
            </w:r>
          </w:p>
        </w:tc>
        <w:tc>
          <w:tcPr>
            <w:tcW w:type="dxa" w:w="30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Unchanged</w:t>
            </w:r>
          </w:p>
        </w:tc>
      </w:tr>
    </w:tbl>
    <w:p>
      <w:pPr>
        <w:spacing w:after="0" w:before="160"/>
      </w:pPr>
      <w:r>
        <w:t xml:space="preserve"/>
      </w:r>
    </w:p>
    <w:p>
      <w:pPr>
        <w:pStyle w:val="Heading2"/>
        <w:spacing w:after="80" w:before="260"/>
      </w:pPr>
      <w:r>
        <w:rPr>
          <w:rFonts w:ascii="Arial" w:cs="Arial" w:eastAsia="Arial" w:hAnsi="Arial"/>
          <w:b/>
          <w:bCs/>
          <w:color w:val="1A1A2E"/>
          <w:sz w:val="26"/>
          <w:szCs w:val="26"/>
        </w:rPr>
        <w:t xml:space="preserve">3.2 Income Tax Brackets (2026, Single and MFJ)</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4260"/>
      </w:tblGrid>
      <w:tr>
        <w:trPr>
          <w:tblHeader/>
        </w:trPr>
        <w:tc>
          <w:tcPr>
            <w:tcW w:type="dxa" w:w="7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Rate</w:t>
            </w:r>
          </w:p>
        </w:tc>
        <w:tc>
          <w:tcPr>
            <w:tcW w:type="dxa" w:w="22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2026 Single</w:t>
            </w:r>
          </w:p>
        </w:tc>
        <w:tc>
          <w:tcPr>
            <w:tcW w:type="dxa" w:w="22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2026 MFJ</w:t>
            </w:r>
          </w:p>
        </w:tc>
        <w:tc>
          <w:tcPr>
            <w:tcW w:type="dxa" w:w="42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Source</w:t>
            </w:r>
          </w:p>
        </w:tc>
      </w:tr>
      <w:tr>
        <w:tc>
          <w:tcPr>
            <w:tcW w:type="dxa" w:w="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$0 – $12,400</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$0 – $24,800</w:t>
            </w:r>
          </w:p>
        </w:tc>
        <w:tc>
          <w:tcPr>
            <w:tcW w:type="dxa" w:w="42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Rev. Proc. 2025-32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$12,401 – $50,400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$24,801 – $100,800</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Rev. Proc. 2025-32 ✓</w:t>
            </w:r>
          </w:p>
        </w:tc>
      </w:tr>
      <w:tr>
        <w:tc>
          <w:tcPr>
            <w:tcW w:type="dxa" w:w="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22%</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$50,401 – $105,700</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$100,801 – $211,400</w:t>
            </w:r>
          </w:p>
        </w:tc>
        <w:tc>
          <w:tcPr>
            <w:tcW w:type="dxa" w:w="42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Rev. Proc. 2025-32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$105,701 – $201,775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$211,401 – $403,550</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Rev. Proc. 2025-32 ✓</w:t>
            </w:r>
          </w:p>
        </w:tc>
      </w:tr>
      <w:tr>
        <w:tc>
          <w:tcPr>
            <w:tcW w:type="dxa" w:w="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32%</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$201,776 – $256,225</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$403,551 – $512,450</w:t>
            </w:r>
          </w:p>
        </w:tc>
        <w:tc>
          <w:tcPr>
            <w:tcW w:type="dxa" w:w="42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Rev. Proc. 2025-32 ✓</w:t>
            </w:r>
          </w:p>
        </w:tc>
      </w:tr>
      <w:tr>
        <w:tc>
          <w:tcPr>
            <w:tcW w:type="dxa" w:w="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35%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$256,226 – $640,600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$512,451 – $768,700</w:t>
            </w:r>
          </w:p>
        </w:tc>
        <w:tc>
          <w:tcPr>
            <w:tcW w:type="dxa" w:w="42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Rev. Proc. 2025-32 ✓</w:t>
            </w:r>
          </w:p>
        </w:tc>
      </w:tr>
      <w:tr>
        <w:tc>
          <w:tcPr>
            <w:tcW w:type="dxa" w:w="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37%</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Over $640,600</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Over $768,700</w:t>
            </w:r>
          </w:p>
        </w:tc>
        <w:tc>
          <w:tcPr>
            <w:tcW w:type="dxa" w:w="42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Rev. Proc. 2025-32 ✓</w:t>
            </w:r>
          </w:p>
        </w:tc>
      </w:tr>
    </w:tbl>
    <w:p>
      <w:pPr>
        <w:spacing w:after="0" w:before="100"/>
      </w:pPr>
      <w:r>
        <w:t xml:space="preserve"/>
      </w:r>
    </w:p>
    <w:p>
      <w:pPr>
        <w:spacing w:after="60" w:before="60"/>
      </w:pPr>
      <w:r>
        <w:rPr>
          <w:rFonts w:ascii="Arial" w:cs="Arial" w:eastAsia="Arial" w:hAnsi="Arial"/>
          <w:i/>
          <w:iCs/>
          <w:color w:val="7C5CBF"/>
          <w:sz w:val="20"/>
          <w:szCs w:val="20"/>
        </w:rPr>
        <w:t xml:space="preserve">Bracket example (corrected from v3): A 2026 Single persona with $100,000 taxable income owes: $1,240 (10%) + $4,560 (12%) + $10,912 (22% of $49,600 over $50,400) = $16,712. This confirms the v3 example calculation is correct.</w:t>
      </w:r>
    </w:p>
    <w:p>
      <w:pPr>
        <w:spacing w:after="0" w:before="160"/>
      </w:pPr>
      <w:r>
        <w:t xml:space="preserve"/>
      </w:r>
    </w:p>
    <w:p>
      <w:pPr>
        <w:pStyle w:val="Heading2"/>
        <w:spacing w:after="80" w:before="260"/>
      </w:pPr>
      <w:r>
        <w:rPr>
          <w:rFonts w:ascii="Arial" w:cs="Arial" w:eastAsia="Arial" w:hAnsi="Arial"/>
          <w:b/>
          <w:bCs/>
          <w:color w:val="1A1A2E"/>
          <w:sz w:val="26"/>
          <w:szCs w:val="26"/>
        </w:rPr>
        <w:t xml:space="preserve">3.3 Long-Term Capital Gains Brackets (2026) — Corrected from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rPr>
          <w:tblHeader/>
        </w:trPr>
        <w:tc>
          <w:tcPr>
            <w:tcW w:type="dxa" w:w="6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Rate</w:t>
            </w:r>
          </w:p>
        </w:tc>
        <w:tc>
          <w:tcPr>
            <w:tcW w:type="dxa" w:w="22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2026 Single</w:t>
            </w:r>
          </w:p>
        </w:tc>
        <w:tc>
          <w:tcPr>
            <w:tcW w:type="dxa" w:w="22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2026 MFJ</w:t>
            </w:r>
          </w:p>
        </w:tc>
        <w:tc>
          <w:tcPr>
            <w:tcW w:type="dxa" w:w="43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Error in v3</w:t>
            </w:r>
          </w:p>
        </w:tc>
      </w:tr>
      <w:tr>
        <w:tc>
          <w:tcPr>
            <w:tcW w:type="dxa" w:w="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0%</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$0 – $49,450</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$0 – $98,900</w:t>
            </w:r>
          </w:p>
        </w:tc>
        <w:tc>
          <w:tcPr>
            <w:tcW w:type="dxa" w:w="4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 (not stated in v3)</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$49,451 – $545,500</w:t>
            </w:r>
          </w:p>
        </w:tc>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$98,901 – $613,700</w:t>
            </w:r>
          </w:p>
        </w:tc>
        <w:tc>
          <w:tcPr>
            <w:tcW w:type="dxa" w:w="4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 (not stated in v3)</w:t>
            </w:r>
          </w:p>
        </w:tc>
      </w:tr>
      <w:tr>
        <w:tc>
          <w:tcPr>
            <w:tcW w:type="dxa" w:w="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Over $545,500</w:t>
            </w:r>
          </w:p>
        </w:tc>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Over $613,700</w:t>
            </w:r>
          </w:p>
        </w:tc>
        <w:tc>
          <w:tcPr>
            <w:tcW w:type="dxa" w:w="4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v3 used 2025 values ($533,400/$600,050) — off by ~$12,000–13,000</w:t>
            </w:r>
          </w:p>
        </w:tc>
      </w:tr>
    </w:tbl>
    <w:p>
      <w:pPr>
        <w:spacing w:after="0" w:before="100"/>
      </w:pPr>
      <w:r>
        <w:t xml:space="preserve"/>
      </w:r>
    </w:p>
    <w:p>
      <w:pPr>
        <w:spacing w:after="60" w:before="60"/>
      </w:pPr>
      <w:r>
        <w:rPr>
          <w:rFonts w:ascii="Arial" w:cs="Arial" w:eastAsia="Arial" w:hAnsi="Arial"/>
          <w:i/>
          <w:iCs/>
          <w:color w:val="1A1A2E"/>
          <w:sz w:val="20"/>
          <w:szCs w:val="20"/>
        </w:rPr>
        <w:t xml:space="preserve">Additionally, the 3.8% Net Investment Income Tax (NIIT) applies to investment income for Single filers above $200,000 MAGI and MFJ filers above $250,000 MAGI. These NIIT thresholds are NOT inflation-adjusted and remain fixed.</w:t>
      </w:r>
    </w:p>
    <w:p>
      <w:pPr>
        <w:spacing w:after="0" w:before="160"/>
      </w:pPr>
      <w:r>
        <w:t xml:space="preserve"/>
      </w:r>
    </w:p>
    <w:p>
      <w:pPr>
        <w:pStyle w:val="Heading2"/>
        <w:spacing w:after="80" w:before="260"/>
      </w:pPr>
      <w:r>
        <w:rPr>
          <w:rFonts w:ascii="Arial" w:cs="Arial" w:eastAsia="Arial" w:hAnsi="Arial"/>
          <w:b/>
          <w:bCs/>
          <w:color w:val="1A1A2E"/>
          <w:sz w:val="26"/>
          <w:szCs w:val="26"/>
        </w:rPr>
        <w:t xml:space="preserve">3.4 Alternative Minimum Tax (AMT) — Corrected from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Parameter</w:t>
            </w:r>
          </w:p>
        </w:tc>
        <w:tc>
          <w:tcPr>
            <w:tcW w:type="dxa" w:w="16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2025</w:t>
            </w:r>
          </w:p>
        </w:tc>
        <w:tc>
          <w:tcPr>
            <w:tcW w:type="dxa" w:w="16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2026</w:t>
            </w:r>
          </w:p>
        </w:tc>
        <w:tc>
          <w:tcPr>
            <w:tcW w:type="dxa" w:w="39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OBBBA Change (Missing from v3)</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Exemption (Single)</w:t>
            </w:r>
          </w:p>
        </w:tc>
        <w:tc>
          <w:tcPr>
            <w:tcW w:type="dxa" w:w="1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$88,100</w:t>
            </w:r>
          </w:p>
        </w:tc>
        <w:tc>
          <w:tcPr>
            <w:tcW w:type="dxa" w:w="1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$90,100</w:t>
            </w:r>
          </w:p>
        </w:tc>
        <w:tc>
          <w:tcPr>
            <w:tcW w:type="dxa" w:w="3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Permanent; indexed for inflation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Exemption (MFJ)</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$137,000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$140,200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Permanent; indexed for inflation</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Phase-out START (Single)</w:t>
            </w:r>
          </w:p>
        </w:tc>
        <w:tc>
          <w:tcPr>
            <w:tcW w:type="dxa" w:w="1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$626,350</w:t>
            </w:r>
          </w:p>
        </w:tc>
        <w:tc>
          <w:tcPr>
            <w:tcW w:type="dxa" w:w="1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$500,000</w:t>
            </w:r>
          </w:p>
        </w:tc>
        <w:tc>
          <w:tcPr>
            <w:tcW w:type="dxa" w:w="3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OBBBA REVERTED to 2018 level — LOWER by $126,350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Phase-out START (MFJ)</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$1,252,700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$1,000,000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OBBBA REVERTED to 2018 level — LOWER by $252,700</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Phase-out END (Single)</w:t>
            </w:r>
          </w:p>
        </w:tc>
        <w:tc>
          <w:tcPr>
            <w:tcW w:type="dxa" w:w="1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$978,750</w:t>
            </w:r>
          </w:p>
        </w:tc>
        <w:tc>
          <w:tcPr>
            <w:tcW w:type="dxa" w:w="1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$680,200</w:t>
            </w:r>
          </w:p>
        </w:tc>
        <w:tc>
          <w:tcPr>
            <w:tcW w:type="dxa" w:w="3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New compressed range (end = start + exemption×2)</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Phase-out END (MFJ)</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$1,800,700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$1,280,400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New compressed range</w:t>
            </w:r>
          </w:p>
        </w:tc>
      </w:tr>
      <w:tr>
        <w:tc>
          <w:tcPr>
            <w:tcW w:type="dxa" w:w="22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Phase-out rate</w:t>
            </w:r>
          </w:p>
        </w:tc>
        <w:tc>
          <w:tcPr>
            <w:tcW w:type="dxa" w:w="1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25 cents/$1 (2025)</w:t>
            </w:r>
          </w:p>
        </w:tc>
        <w:tc>
          <w:tcPr>
            <w:tcW w:type="dxa" w:w="16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50 cents/$1 (2026+)</w:t>
            </w:r>
          </w:p>
        </w:tc>
        <w:tc>
          <w:tcPr>
            <w:tcW w:type="dxa" w:w="3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OBBBA DOUBLED the phase-out rate — critical change</w:t>
            </w:r>
          </w:p>
        </w:tc>
      </w:tr>
    </w:tbl>
    <w:p>
      <w:pPr>
        <w:spacing w:after="0" w:before="100"/>
      </w:pPr>
      <w:r>
        <w:t xml:space="preserve"/>
      </w:r>
    </w:p>
    <w:p>
      <w:pPr>
        <w:spacing w:after="60" w:before="60"/>
      </w:pPr>
      <w:r>
        <w:rPr>
          <w:rFonts w:ascii="Arial" w:cs="Arial" w:eastAsia="Arial" w:hAnsi="Arial"/>
          <w:i/>
          <w:iCs/>
          <w:color w:val="1A1A2E"/>
          <w:sz w:val="20"/>
          <w:szCs w:val="20"/>
        </w:rPr>
        <w:t xml:space="preserve">Impact: A single filer with $600,000 AMT income had NO phase-out in 2025 (start was $626,350). In 2026, the phase-out starts at $500,000, meaning $100,000 of excess at 50 cents per dollar = $50,000 reduction in the $90,100 exemption, leaving only $40,100 exempt. This is a major AMT expansion for earners in the $500K–$680K range. The v3 report's omission of this change would cause Level 3 datasets to systematically understate AMT liability.</w:t>
      </w:r>
    </w:p>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4. Definitive Schedule 1-A Reference Table</w:t>
      </w:r>
    </w:p>
    <w:p>
      <w:pPr>
        <w:spacing w:after="60" w:before="60"/>
      </w:pPr>
      <w:r>
        <w:rPr>
          <w:rFonts w:ascii="Arial" w:cs="Arial" w:eastAsia="Arial" w:hAnsi="Arial"/>
          <w:color w:val="1A1A2E"/>
          <w:sz w:val="20"/>
          <w:szCs w:val="20"/>
        </w:rPr>
        <w:t xml:space="preserve">This table supersedes the equivalent tables in all prior versions. All phase-out figures are verified against IRS.gov, Shepherd Financial Partners (Sep 2025), H&amp;R Block, and EisnerAmper.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100"/>
        <w:gridCol w:w="1300"/>
        <w:gridCol w:w="1300"/>
        <w:gridCol w:w="900"/>
        <w:gridCol w:w="1960"/>
        <w:gridCol w:w="900"/>
      </w:tblGrid>
      <w:tr>
        <w:trPr>
          <w:tblHeader/>
        </w:trPr>
        <w:tc>
          <w:tcPr>
            <w:tcW w:type="dxa" w:w="4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Part</w:t>
            </w:r>
          </w:p>
        </w:tc>
        <w:tc>
          <w:tcPr>
            <w:tcW w:type="dxa" w:w="15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Deduction</w:t>
            </w:r>
          </w:p>
        </w:tc>
        <w:tc>
          <w:tcPr>
            <w:tcW w:type="dxa" w:w="11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Max</w:t>
            </w:r>
          </w:p>
        </w:tc>
        <w:tc>
          <w:tcPr>
            <w:tcW w:type="dxa" w:w="13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Phase-Out Start</w:t>
            </w:r>
          </w:p>
        </w:tc>
        <w:tc>
          <w:tcPr>
            <w:tcW w:type="dxa" w:w="13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Phase-Out End</w:t>
            </w:r>
          </w:p>
        </w:tc>
        <w:tc>
          <w:tcPr>
            <w:tcW w:type="dxa" w:w="9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Rate</w:t>
            </w:r>
          </w:p>
        </w:tc>
        <w:tc>
          <w:tcPr>
            <w:tcW w:type="dxa" w:w="19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Source Docs</w:t>
            </w:r>
          </w:p>
        </w:tc>
        <w:tc>
          <w:tcPr>
            <w:tcW w:type="dxa" w:w="9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Valid Years</w:t>
            </w:r>
          </w:p>
        </w:tc>
      </w:tr>
      <w:tr>
        <w:tc>
          <w:tcPr>
            <w:tcW w:type="dxa" w:w="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I</w:t>
            </w:r>
          </w:p>
        </w:tc>
        <w:tc>
          <w:tcPr>
            <w:tcW w:type="dxa" w:w="1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MAGI Calculation</w:t>
            </w:r>
          </w:p>
        </w:tc>
        <w:tc>
          <w:tcPr>
            <w:tcW w:type="dxa" w:w="11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w:t>
            </w:r>
          </w:p>
        </w:tc>
        <w:tc>
          <w:tcPr>
            <w:tcW w:type="dxa" w:w="1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w:t>
            </w:r>
          </w:p>
        </w:tc>
        <w:tc>
          <w:tcPr>
            <w:tcW w:type="dxa" w:w="1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w:t>
            </w:r>
          </w:p>
        </w:tc>
        <w:tc>
          <w:tcPr>
            <w:tcW w:type="dxa" w:w="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w:t>
            </w:r>
          </w:p>
        </w:tc>
        <w:tc>
          <w:tcPr>
            <w:tcW w:type="dxa" w:w="1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AGI + Form 2555 add-backs</w:t>
            </w:r>
          </w:p>
        </w:tc>
        <w:tc>
          <w:tcPr>
            <w:tcW w:type="dxa" w:w="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2025–2028</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II</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No Tax on Tips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$25,000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$150K single
$300K MFJ</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$400K single
$550K MFJ</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$100 per
$1,000 over</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W-2 Box 7 or Form 4137;
IRS tipped occupation list</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2025–2028</w:t>
            </w:r>
          </w:p>
        </w:tc>
      </w:tr>
      <w:tr>
        <w:tc>
          <w:tcPr>
            <w:tcW w:type="dxa" w:w="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III</w:t>
            </w:r>
          </w:p>
        </w:tc>
        <w:tc>
          <w:tcPr>
            <w:tcW w:type="dxa" w:w="1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No Tax on Overtime</w:t>
            </w:r>
          </w:p>
        </w:tc>
        <w:tc>
          <w:tcPr>
            <w:tcW w:type="dxa" w:w="11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$12,500 single
$25,000 MFJ</w:t>
            </w:r>
          </w:p>
        </w:tc>
        <w:tc>
          <w:tcPr>
            <w:tcW w:type="dxa" w:w="1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$150K single
$300K MFJ</w:t>
            </w:r>
          </w:p>
        </w:tc>
        <w:tc>
          <w:tcPr>
            <w:tcW w:type="dxa" w:w="1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$400K single
$550K MFJ</w:t>
            </w:r>
          </w:p>
        </w:tc>
        <w:tc>
          <w:tcPr>
            <w:tcW w:type="dxa" w:w="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 per
$1,000 over</w:t>
            </w:r>
          </w:p>
        </w:tc>
        <w:tc>
          <w:tcPr>
            <w:tcW w:type="dxa" w:w="1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FLSA premium portion on W-2;
half-time portion only</w:t>
            </w:r>
          </w:p>
        </w:tc>
        <w:tc>
          <w:tcPr>
            <w:tcW w:type="dxa" w:w="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2025–2028</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IV</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Car Loan Interest</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$10,000
(all statuses)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$100K single
$200K MFJ</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$149K single
$249K MFJ</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$200 per
$1,000 over</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VIN (US-assembled, position 1 in 1/4/5),
new vehicle, post-2024 first-lien loan</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2025–2028</w:t>
            </w:r>
          </w:p>
        </w:tc>
      </w:tr>
      <w:tr>
        <w:tc>
          <w:tcPr>
            <w:tcW w:type="dxa" w:w="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w:t>
            </w:r>
          </w:p>
        </w:tc>
        <w:tc>
          <w:tcPr>
            <w:tcW w:type="dxa" w:w="1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Senior Deduction (65+)</w:t>
            </w:r>
          </w:p>
        </w:tc>
        <w:tc>
          <w:tcPr>
            <w:tcW w:type="dxa" w:w="11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$6,000/person
$12,000 MFJ both</w:t>
            </w:r>
          </w:p>
        </w:tc>
        <w:tc>
          <w:tcPr>
            <w:tcW w:type="dxa" w:w="1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$75K single
$150K MFJ</w:t>
            </w:r>
          </w:p>
        </w:tc>
        <w:tc>
          <w:tcPr>
            <w:tcW w:type="dxa" w:w="13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$175K single
$250K MFJ</w:t>
            </w:r>
          </w:p>
        </w:tc>
        <w:tc>
          <w:tcPr>
            <w:tcW w:type="dxa" w:w="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Proportional
reduction</w:t>
            </w:r>
          </w:p>
        </w:tc>
        <w:tc>
          <w:tcPr>
            <w:tcW w:type="dxa" w:w="1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DOB ≤ Dec 31 of tax year;
works with or without itemizing</w:t>
            </w:r>
          </w:p>
        </w:tc>
        <w:tc>
          <w:tcPr>
            <w:tcW w:type="dxa" w:w="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2025–2028</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VI</w:t>
            </w:r>
          </w:p>
        </w:tc>
        <w:tc>
          <w:tcPr>
            <w:tcW w:type="dxa" w:w="1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Limitation Failsafe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Cannot reduce
taxable income
below $0</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w:t>
            </w:r>
          </w:p>
        </w:tc>
        <w:tc>
          <w:tcPr>
            <w:tcW w:type="dxa" w:w="1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Sum Parts II–V; excess rolls
forward to next synthetic year</w:t>
            </w:r>
          </w:p>
        </w:tc>
        <w:tc>
          <w:tcPr>
            <w:tcW w:type="dxa" w:w="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2025–2028</w:t>
            </w:r>
          </w:p>
        </w:tc>
      </w:tr>
    </w:tbl>
    <w:p>
      <w:pPr>
        <w:spacing w:after="0" w:before="100"/>
      </w:pPr>
      <w:r>
        <w:t xml:space="preserve"/>
      </w:r>
    </w:p>
    <w:p>
      <w:pPr>
        <w:spacing w:after="60" w:before="60"/>
      </w:pPr>
      <w:r>
        <w:rPr>
          <w:rFonts w:ascii="Arial" w:cs="Arial" w:eastAsia="Arial" w:hAnsi="Arial"/>
          <w:i/>
          <w:iCs/>
          <w:color w:val="C0392B"/>
          <w:sz w:val="20"/>
          <w:szCs w:val="20"/>
        </w:rPr>
        <w:t xml:space="preserve">Form 1040 routing (corrected): Schedule 1-A total flows to Schedule 1 Part II as an above-the-line adjustment, then to Form 1040 Line 10 (total above-the-line adjustments). This reduces AGI BEFORE the standard/itemized deduction is applied. There is no 'Line 13b' on Form 1040.</w:t>
      </w:r>
    </w:p>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5. Year-by-Year Tax Parameter Matrix (2020–2026)</w:t>
      </w:r>
    </w:p>
    <w:p>
      <w:pPr>
        <w:spacing w:after="60" w:before="60"/>
      </w:pPr>
      <w:r>
        <w:rPr>
          <w:rFonts w:ascii="Arial" w:cs="Arial" w:eastAsia="Arial" w:hAnsi="Arial"/>
          <w:color w:val="1A1A2E"/>
          <w:sz w:val="20"/>
          <w:szCs w:val="20"/>
        </w:rPr>
        <w:t xml:space="preserve">This master matrix is the authoritative lookup table for tax_tables.py. All values are verified. 2026 values are included for engine forward-compatibility only.</w:t>
      </w:r>
    </w:p>
    <w:p>
      <w:pPr>
        <w:spacing w:after="0" w:before="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360"/>
        <w:gridCol w:w="920"/>
        <w:gridCol w:w="1000"/>
        <w:gridCol w:w="920"/>
        <w:gridCol w:w="920"/>
        <w:gridCol w:w="920"/>
        <w:gridCol w:w="920"/>
        <w:gridCol w:w="1000"/>
      </w:tblGrid>
      <w:tr>
        <w:trPr>
          <w:tblHeader/>
        </w:trPr>
        <w:tc>
          <w:tcPr>
            <w:tcW w:type="dxa" w:w="23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Parameter</w:t>
            </w:r>
          </w:p>
        </w:tc>
        <w:tc>
          <w:tcPr>
            <w:tcW w:type="dxa" w:w="92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2020</w:t>
            </w:r>
          </w:p>
        </w:tc>
        <w:tc>
          <w:tcPr>
            <w:tcW w:type="dxa" w:w="10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2021</w:t>
            </w:r>
          </w:p>
        </w:tc>
        <w:tc>
          <w:tcPr>
            <w:tcW w:type="dxa" w:w="92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2022</w:t>
            </w:r>
          </w:p>
        </w:tc>
        <w:tc>
          <w:tcPr>
            <w:tcW w:type="dxa" w:w="92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2023</w:t>
            </w:r>
          </w:p>
        </w:tc>
        <w:tc>
          <w:tcPr>
            <w:tcW w:type="dxa" w:w="92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2024</w:t>
            </w:r>
          </w:p>
        </w:tc>
        <w:tc>
          <w:tcPr>
            <w:tcW w:type="dxa" w:w="92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2025</w:t>
            </w:r>
          </w:p>
        </w:tc>
        <w:tc>
          <w:tcPr>
            <w:tcW w:type="dxa" w:w="10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2026</w:t>
            </w:r>
          </w:p>
        </w:tc>
      </w:tr>
      <w:tr>
        <w:tc>
          <w:tcPr>
            <w:tcW w:type="dxa" w:w="2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Std Deduction MFJ</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$24,800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$25,100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$25,900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$27,700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$29,200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$31,500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$32,200</w:t>
            </w:r>
          </w:p>
        </w:tc>
      </w:tr>
      <w:tr>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Std Deduction Single</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$12,400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$12,550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$12,950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$13,850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$14,600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$15,750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$16,100</w:t>
            </w:r>
          </w:p>
        </w:tc>
      </w:tr>
      <w:tr>
        <w:tc>
          <w:tcPr>
            <w:tcW w:type="dxa" w:w="2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CTC / qualifying child</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$2,000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$3,600 (&lt;6)
$3,000 (6–17)</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$2,200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$2,200</w:t>
            </w:r>
          </w:p>
        </w:tc>
      </w:tr>
      <w:tr>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SS Wage Base</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$137,700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$142,800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$147,000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$160,200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$168,600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$176,100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TBD ≈$183,000</w:t>
            </w:r>
          </w:p>
        </w:tc>
      </w:tr>
      <w:tr>
        <w:tc>
          <w:tcPr>
            <w:tcW w:type="dxa" w:w="2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SALT Cap (federal)</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$10,000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$40,000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$40,400</w:t>
            </w:r>
          </w:p>
        </w:tc>
      </w:tr>
      <w:tr>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SALT Phase-Out Start</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$500,000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$505,000</w:t>
            </w:r>
          </w:p>
        </w:tc>
      </w:tr>
      <w:tr>
        <w:tc>
          <w:tcPr>
            <w:tcW w:type="dxa" w:w="2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QBI Phase-In Width</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$100K MFJ</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$100K MFJ</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$100K MFJ</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$100K MFJ</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$100K MFJ</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$150K MFJ</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$150K MFJ</w:t>
            </w:r>
          </w:p>
        </w:tc>
      </w:tr>
      <w:tr>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Tips Deduction</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Up to $25K</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Up to $25K</w:t>
            </w:r>
          </w:p>
        </w:tc>
      </w:tr>
      <w:tr>
        <w:tc>
          <w:tcPr>
            <w:tcW w:type="dxa" w:w="2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Overtime Deduction</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$25K MFJ</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$25K MFJ</w:t>
            </w:r>
          </w:p>
        </w:tc>
      </w:tr>
      <w:tr>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Car Loan Interest</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Up to $10K</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Up to $10K</w:t>
            </w:r>
          </w:p>
        </w:tc>
      </w:tr>
      <w:tr>
        <w:tc>
          <w:tcPr>
            <w:tcW w:type="dxa" w:w="2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Senior Deduction (65+)</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$6K/person</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$6K/person</w:t>
            </w:r>
          </w:p>
        </w:tc>
      </w:tr>
      <w:tr>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Non-itemizer Charitable</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CARES $300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$600 MFJ</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$1K/$2K MFJ (permanent)</w:t>
            </w:r>
          </w:p>
        </w:tc>
      </w:tr>
      <w:tr>
        <w:tc>
          <w:tcPr>
            <w:tcW w:type="dxa" w:w="2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IL EITC % of Fed EITC</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18%</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20%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40%</w:t>
            </w:r>
          </w:p>
        </w:tc>
      </w:tr>
      <w:tr>
        <w:tc>
          <w:tcPr>
            <w:tcW w:type="dxa" w:w="2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AMT Phase-Out Start (S)</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$518,400</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$523,600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$539,900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$578,150</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$609,350 (TCJA-adj)</w:t>
            </w:r>
          </w:p>
        </w:tc>
        <w:tc>
          <w:tcPr>
            <w:tcW w:type="dxa" w:w="9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$626,350 (final TCJA)</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$500,000 (OBBBA revert)</w:t>
            </w:r>
          </w:p>
        </w:tc>
      </w:tr>
      <w:tr>
        <w:tc>
          <w:tcPr>
            <w:tcW w:type="dxa" w:w="2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Cap Gains 20% Start (S)</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$441,450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$445,850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$459,750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$492,300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$518,900</w:t>
            </w:r>
          </w:p>
        </w:tc>
        <w:tc>
          <w:tcPr>
            <w:tcW w:type="dxa" w:w="92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$533,400</w:t>
            </w:r>
          </w:p>
        </w:tc>
        <w:tc>
          <w:tcPr>
            <w:tcW w:type="dxa" w:w="10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$545,500</w:t>
            </w:r>
          </w:p>
        </w:tc>
      </w:tr>
    </w:tbl>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6. Definitive Federal Tax Calculation Sequence</w:t>
      </w:r>
    </w:p>
    <w:p>
      <w:pPr>
        <w:spacing w:after="60" w:before="60"/>
      </w:pPr>
      <w:r>
        <w:rPr>
          <w:rFonts w:ascii="Arial" w:cs="Arial" w:eastAsia="Arial" w:hAnsi="Arial"/>
          <w:color w:val="1A1A2E"/>
          <w:sz w:val="20"/>
          <w:szCs w:val="20"/>
        </w:rPr>
        <w:t xml:space="preserve">The following is the corrected step-by-step calculation flow for federal_calculator.py. The most important correction vs. all prior versions: OBBBA deductions are above-the-line and affect AGI; the Form 1040 line reference is Line 10 (not Line 13b).</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2D8A" w:sz="1"/>
              <w:left w:val="single" w:color="4B2D8A" w:sz="1"/>
              <w:bottom w:val="single" w:color="4B2D8A" w:sz="1"/>
              <w:right w:val="single" w:color="4B2D8A" w:sz="1"/>
            </w:tcBorders>
            <w:shd w:fill="EDE6F8" w:val="clear"/>
            <w:tcMar>
              <w:top w:type="dxa" w:w="80"/>
              <w:left w:type="dxa" w:w="120"/>
              <w:bottom w:type="dxa" w:w="80"/>
              <w:right w:type="dxa" w:w="120"/>
            </w:tcMar>
          </w:tcPr>
          <w:p>
            <w:r>
              <w:rPr>
                <w:rFonts w:ascii="Arial" w:cs="Arial" w:eastAsia="Arial" w:hAnsi="Arial"/>
                <w:b/>
                <w:bCs/>
                <w:color w:val="4B2D8A"/>
                <w:sz w:val="19"/>
                <w:szCs w:val="19"/>
              </w:rPr>
              <w:t xml:space="preserve">Step 1 — Gross Income Aggregation — </w:t>
            </w:r>
            <w:r>
              <w:rPr>
                <w:rFonts w:ascii="Arial" w:cs="Arial" w:eastAsia="Arial" w:hAnsi="Arial"/>
                <w:color w:val="1A1A2E"/>
                <w:sz w:val="19"/>
                <w:szCs w:val="19"/>
              </w:rPr>
              <w:t xml:space="preserve">Sum all income sources: W-2 Box 1 wages, Schedule B interest + dividends, 1099-NEC/MISC SE income, Schedule D net capital gains, Schedule E rents/royalties, 1099-R distributions.</w:t>
            </w:r>
            <w:r>
              <w:rPr>
                <w:rFonts w:ascii="Arial" w:cs="Arial" w:eastAsia="Arial" w:hAnsi="Arial"/>
                <w:i/>
                <w:iCs/>
                <w:color w:val="7C5CBF"/>
                <w:sz w:val="17"/>
                <w:szCs w:val="17"/>
              </w:rPr>
              <w:t xml:space="preserve">  [Form 1040 Lines 1a–8]</w:t>
            </w:r>
          </w:p>
        </w:tc>
      </w:tr>
      <w:tr>
        <w:tc>
          <w:tcPr>
            <w:tcW w:type="dxa" w:w="9360"/>
            <w:tcBorders>
              <w:top w:val="single" w:color="4B2D8A" w:sz="1"/>
              <w:left w:val="single" w:color="4B2D8A" w:sz="1"/>
              <w:bottom w:val="single" w:color="4B2D8A" w:sz="1"/>
              <w:right w:val="single" w:color="4B2D8A" w:sz="1"/>
            </w:tcBorders>
            <w:shd w:fill="FFFFFF" w:val="clear"/>
            <w:tcMar>
              <w:top w:type="dxa" w:w="80"/>
              <w:left w:type="dxa" w:w="120"/>
              <w:bottom w:type="dxa" w:w="80"/>
              <w:right w:type="dxa" w:w="120"/>
            </w:tcMar>
          </w:tcPr>
          <w:p>
            <w:r>
              <w:rPr>
                <w:rFonts w:ascii="Arial" w:cs="Arial" w:eastAsia="Arial" w:hAnsi="Arial"/>
                <w:b/>
                <w:bCs/>
                <w:color w:val="4B2D8A"/>
                <w:sz w:val="19"/>
                <w:szCs w:val="19"/>
              </w:rPr>
              <w:t xml:space="preserve">Step 2 — Above-the-Line Adjustments (Schedule 1, Part II) — </w:t>
            </w:r>
            <w:r>
              <w:rPr>
                <w:rFonts w:ascii="Arial" w:cs="Arial" w:eastAsia="Arial" w:hAnsi="Arial"/>
                <w:color w:val="1A1A2E"/>
                <w:sz w:val="19"/>
                <w:szCs w:val="19"/>
              </w:rPr>
              <w:t xml:space="preserve">Include traditional adjustments: ½ SE tax, HSA, educator expenses, IRA deduction, student loan interest, alimony (pre-2019). For 2025+: ALSO include Schedule 1-A values for Tips, Overtime, Car Loan Interest, Senior Deduction after phase-out calculations.</w:t>
            </w:r>
            <w:r>
              <w:rPr>
                <w:rFonts w:ascii="Arial" w:cs="Arial" w:eastAsia="Arial" w:hAnsi="Arial"/>
                <w:i/>
                <w:iCs/>
                <w:color w:val="7C5CBF"/>
                <w:sz w:val="17"/>
                <w:szCs w:val="17"/>
              </w:rPr>
              <w:t xml:space="preserve">  [Form 1040 Line 10 ← CRITICAL]</w:t>
            </w:r>
          </w:p>
        </w:tc>
      </w:tr>
      <w:tr>
        <w:tc>
          <w:tcPr>
            <w:tcW w:type="dxa" w:w="9360"/>
            <w:tcBorders>
              <w:top w:val="single" w:color="4B2D8A" w:sz="1"/>
              <w:left w:val="single" w:color="4B2D8A" w:sz="1"/>
              <w:bottom w:val="single" w:color="4B2D8A" w:sz="1"/>
              <w:right w:val="single" w:color="4B2D8A" w:sz="1"/>
            </w:tcBorders>
            <w:shd w:fill="EDE6F8" w:val="clear"/>
            <w:tcMar>
              <w:top w:type="dxa" w:w="80"/>
              <w:left w:type="dxa" w:w="120"/>
              <w:bottom w:type="dxa" w:w="80"/>
              <w:right w:type="dxa" w:w="120"/>
            </w:tcMar>
          </w:tcPr>
          <w:p>
            <w:r>
              <w:rPr>
                <w:rFonts w:ascii="Arial" w:cs="Arial" w:eastAsia="Arial" w:hAnsi="Arial"/>
                <w:b/>
                <w:bCs/>
                <w:color w:val="4B2D8A"/>
                <w:sz w:val="19"/>
                <w:szCs w:val="19"/>
              </w:rPr>
              <w:t xml:space="preserve">Step 3 — AGI — </w:t>
            </w:r>
            <w:r>
              <w:rPr>
                <w:rFonts w:ascii="Arial" w:cs="Arial" w:eastAsia="Arial" w:hAnsi="Arial"/>
                <w:color w:val="1A1A2E"/>
                <w:sz w:val="19"/>
                <w:szCs w:val="19"/>
              </w:rPr>
              <w:t xml:space="preserve">Gross Income minus ALL Schedule 1 Part II adjustments including OBBBA deductions. This is the master dependency variable for all phase-outs, state conformity, and credit eligibility.</w:t>
            </w:r>
            <w:r>
              <w:rPr>
                <w:rFonts w:ascii="Arial" w:cs="Arial" w:eastAsia="Arial" w:hAnsi="Arial"/>
                <w:i/>
                <w:iCs/>
                <w:color w:val="7C5CBF"/>
                <w:sz w:val="17"/>
                <w:szCs w:val="17"/>
              </w:rPr>
              <w:t xml:space="preserve">  [Form 1040 Line 11]</w:t>
            </w:r>
          </w:p>
        </w:tc>
      </w:tr>
      <w:tr>
        <w:tc>
          <w:tcPr>
            <w:tcW w:type="dxa" w:w="9360"/>
            <w:tcBorders>
              <w:top w:val="single" w:color="4B2D8A" w:sz="1"/>
              <w:left w:val="single" w:color="4B2D8A" w:sz="1"/>
              <w:bottom w:val="single" w:color="4B2D8A" w:sz="1"/>
              <w:right w:val="single" w:color="4B2D8A" w:sz="1"/>
            </w:tcBorders>
            <w:shd w:fill="FFFFFF" w:val="clear"/>
            <w:tcMar>
              <w:top w:type="dxa" w:w="80"/>
              <w:left w:type="dxa" w:w="120"/>
              <w:bottom w:type="dxa" w:w="80"/>
              <w:right w:type="dxa" w:w="120"/>
            </w:tcMar>
          </w:tcPr>
          <w:p>
            <w:r>
              <w:rPr>
                <w:rFonts w:ascii="Arial" w:cs="Arial" w:eastAsia="Arial" w:hAnsi="Arial"/>
                <w:b/>
                <w:bCs/>
                <w:color w:val="4B2D8A"/>
                <w:sz w:val="19"/>
                <w:szCs w:val="19"/>
              </w:rPr>
              <w:t xml:space="preserve">Step 4 — Standard or Itemized Deduction — </w:t>
            </w:r>
            <w:r>
              <w:rPr>
                <w:rFonts w:ascii="Arial" w:cs="Arial" w:eastAsia="Arial" w:hAnsi="Arial"/>
                <w:color w:val="1A1A2E"/>
                <w:sz w:val="19"/>
                <w:szCs w:val="19"/>
              </w:rPr>
              <w:t xml:space="preserve">Use max(Standard_Deduction_Year, Schedule_A_total). For 2025: SALT cap = $40,000. For 2020–2024: SALT cap = $10,000. Note: QBI phase-out test uses taxable income BEFORE QBI deduction.</w:t>
            </w:r>
            <w:r>
              <w:rPr>
                <w:rFonts w:ascii="Arial" w:cs="Arial" w:eastAsia="Arial" w:hAnsi="Arial"/>
                <w:i/>
                <w:iCs/>
                <w:color w:val="7C5CBF"/>
                <w:sz w:val="17"/>
                <w:szCs w:val="17"/>
              </w:rPr>
              <w:t xml:space="preserve">  [Form 1040 Line 12]</w:t>
            </w:r>
          </w:p>
        </w:tc>
      </w:tr>
      <w:tr>
        <w:tc>
          <w:tcPr>
            <w:tcW w:type="dxa" w:w="9360"/>
            <w:tcBorders>
              <w:top w:val="single" w:color="4B2D8A" w:sz="1"/>
              <w:left w:val="single" w:color="4B2D8A" w:sz="1"/>
              <w:bottom w:val="single" w:color="4B2D8A" w:sz="1"/>
              <w:right w:val="single" w:color="4B2D8A" w:sz="1"/>
            </w:tcBorders>
            <w:shd w:fill="EDE6F8" w:val="clear"/>
            <w:tcMar>
              <w:top w:type="dxa" w:w="80"/>
              <w:left w:type="dxa" w:w="120"/>
              <w:bottom w:type="dxa" w:w="80"/>
              <w:right w:type="dxa" w:w="120"/>
            </w:tcMar>
          </w:tcPr>
          <w:p>
            <w:r>
              <w:rPr>
                <w:rFonts w:ascii="Arial" w:cs="Arial" w:eastAsia="Arial" w:hAnsi="Arial"/>
                <w:b/>
                <w:bCs/>
                <w:color w:val="4B2D8A"/>
                <w:sz w:val="19"/>
                <w:szCs w:val="19"/>
              </w:rPr>
              <w:t xml:space="preserve">Step 5 — QBI Deduction (Sch. C/E/K-1 only) — </w:t>
            </w:r>
            <w:r>
              <w:rPr>
                <w:rFonts w:ascii="Arial" w:cs="Arial" w:eastAsia="Arial" w:hAnsi="Arial"/>
                <w:color w:val="1A1A2E"/>
                <w:sz w:val="19"/>
                <w:szCs w:val="19"/>
              </w:rPr>
              <w:t xml:space="preserve">20% of QBI if income below phase-in range start. Apply W-2/property limitation tests within expanded phase-in width ($75K Single / $150K MFJ for 2026). Minimum $400 deduction for QBI ≥ $1,000 and material participation (verify this threshold in final IRS guidance).</w:t>
            </w:r>
            <w:r>
              <w:rPr>
                <w:rFonts w:ascii="Arial" w:cs="Arial" w:eastAsia="Arial" w:hAnsi="Arial"/>
                <w:i/>
                <w:iCs/>
                <w:color w:val="7C5CBF"/>
                <w:sz w:val="17"/>
                <w:szCs w:val="17"/>
              </w:rPr>
              <w:t xml:space="preserve">  [Form 1040 Line 13]</w:t>
            </w:r>
          </w:p>
        </w:tc>
      </w:tr>
      <w:tr>
        <w:tc>
          <w:tcPr>
            <w:tcW w:type="dxa" w:w="9360"/>
            <w:tcBorders>
              <w:top w:val="single" w:color="4B2D8A" w:sz="1"/>
              <w:left w:val="single" w:color="4B2D8A" w:sz="1"/>
              <w:bottom w:val="single" w:color="4B2D8A" w:sz="1"/>
              <w:right w:val="single" w:color="4B2D8A" w:sz="1"/>
            </w:tcBorders>
            <w:shd w:fill="FFFFFF" w:val="clear"/>
            <w:tcMar>
              <w:top w:type="dxa" w:w="80"/>
              <w:left w:type="dxa" w:w="120"/>
              <w:bottom w:type="dxa" w:w="80"/>
              <w:right w:type="dxa" w:w="120"/>
            </w:tcMar>
          </w:tcPr>
          <w:p>
            <w:r>
              <w:rPr>
                <w:rFonts w:ascii="Arial" w:cs="Arial" w:eastAsia="Arial" w:hAnsi="Arial"/>
                <w:b/>
                <w:bCs/>
                <w:color w:val="4B2D8A"/>
                <w:sz w:val="19"/>
                <w:szCs w:val="19"/>
              </w:rPr>
              <w:t xml:space="preserve">Step 6 — Taxable Income — </w:t>
            </w:r>
            <w:r>
              <w:rPr>
                <w:rFonts w:ascii="Arial" w:cs="Arial" w:eastAsia="Arial" w:hAnsi="Arial"/>
                <w:color w:val="1A1A2E"/>
                <w:sz w:val="19"/>
                <w:szCs w:val="19"/>
              </w:rPr>
              <w:t xml:space="preserve">AGI minus Line 12 minus Line 13. Note: OBBBA deductions are already in AGI — do NOT deduct them again here.</w:t>
            </w:r>
            <w:r>
              <w:rPr>
                <w:rFonts w:ascii="Arial" w:cs="Arial" w:eastAsia="Arial" w:hAnsi="Arial"/>
                <w:i/>
                <w:iCs/>
                <w:color w:val="7C5CBF"/>
                <w:sz w:val="17"/>
                <w:szCs w:val="17"/>
              </w:rPr>
              <w:t xml:space="preserve">  [Form 1040 Line 15]</w:t>
            </w:r>
          </w:p>
        </w:tc>
      </w:tr>
      <w:tr>
        <w:tc>
          <w:tcPr>
            <w:tcW w:type="dxa" w:w="9360"/>
            <w:tcBorders>
              <w:top w:val="single" w:color="4B2D8A" w:sz="1"/>
              <w:left w:val="single" w:color="4B2D8A" w:sz="1"/>
              <w:bottom w:val="single" w:color="4B2D8A" w:sz="1"/>
              <w:right w:val="single" w:color="4B2D8A" w:sz="1"/>
            </w:tcBorders>
            <w:shd w:fill="EDE6F8" w:val="clear"/>
            <w:tcMar>
              <w:top w:type="dxa" w:w="80"/>
              <w:left w:type="dxa" w:w="120"/>
              <w:bottom w:type="dxa" w:w="80"/>
              <w:right w:type="dxa" w:w="120"/>
            </w:tcMar>
          </w:tcPr>
          <w:p>
            <w:r>
              <w:rPr>
                <w:rFonts w:ascii="Arial" w:cs="Arial" w:eastAsia="Arial" w:hAnsi="Arial"/>
                <w:b/>
                <w:bCs/>
                <w:color w:val="4B2D8A"/>
                <w:sz w:val="19"/>
                <w:szCs w:val="19"/>
              </w:rPr>
              <w:t xml:space="preserve">Step 7 — Income Tax — </w:t>
            </w:r>
            <w:r>
              <w:rPr>
                <w:rFonts w:ascii="Arial" w:cs="Arial" w:eastAsia="Arial" w:hAnsi="Arial"/>
                <w:color w:val="1A1A2E"/>
                <w:sz w:val="19"/>
                <w:szCs w:val="19"/>
              </w:rPr>
              <w:t xml:space="preserve">Apply year-specific progressive brackets. Use piecewise function. Separately compute Qualified Dividends and Capital Gains using three-bracket structure (0%/15%/20%) via QDCGTW.</w:t>
            </w:r>
            <w:r>
              <w:rPr>
                <w:rFonts w:ascii="Arial" w:cs="Arial" w:eastAsia="Arial" w:hAnsi="Arial"/>
                <w:i/>
                <w:iCs/>
                <w:color w:val="7C5CBF"/>
                <w:sz w:val="17"/>
                <w:szCs w:val="17"/>
              </w:rPr>
              <w:t xml:space="preserve">  [Form 1040 Line 16]</w:t>
            </w:r>
          </w:p>
        </w:tc>
      </w:tr>
      <w:tr>
        <w:tc>
          <w:tcPr>
            <w:tcW w:type="dxa" w:w="9360"/>
            <w:tcBorders>
              <w:top w:val="single" w:color="4B2D8A" w:sz="1"/>
              <w:left w:val="single" w:color="4B2D8A" w:sz="1"/>
              <w:bottom w:val="single" w:color="4B2D8A" w:sz="1"/>
              <w:right w:val="single" w:color="4B2D8A" w:sz="1"/>
            </w:tcBorders>
            <w:shd w:fill="FFFFFF" w:val="clear"/>
            <w:tcMar>
              <w:top w:type="dxa" w:w="80"/>
              <w:left w:type="dxa" w:w="120"/>
              <w:bottom w:type="dxa" w:w="80"/>
              <w:right w:type="dxa" w:w="120"/>
            </w:tcMar>
          </w:tcPr>
          <w:p>
            <w:r>
              <w:rPr>
                <w:rFonts w:ascii="Arial" w:cs="Arial" w:eastAsia="Arial" w:hAnsi="Arial"/>
                <w:b/>
                <w:bCs/>
                <w:color w:val="4B2D8A"/>
                <w:sz w:val="19"/>
                <w:szCs w:val="19"/>
              </w:rPr>
              <w:t xml:space="preserve">Step 8 — AMT Check (Level 3 only) — </w:t>
            </w:r>
            <w:r>
              <w:rPr>
                <w:rFonts w:ascii="Arial" w:cs="Arial" w:eastAsia="Arial" w:hAnsi="Arial"/>
                <w:color w:val="1A1A2E"/>
                <w:sz w:val="19"/>
                <w:szCs w:val="19"/>
              </w:rPr>
              <w:t xml:space="preserve">Compute AMTI. Apply exemption (year-specific). For 2026: use reverted phase-out start ($500K Single) and doubled phase-out rate (50 cents/$1). If AMT &gt; regular tax, add excess to Line 16.</w:t>
            </w:r>
            <w:r>
              <w:rPr>
                <w:rFonts w:ascii="Arial" w:cs="Arial" w:eastAsia="Arial" w:hAnsi="Arial"/>
                <w:i/>
                <w:iCs/>
                <w:color w:val="7C5CBF"/>
                <w:sz w:val="17"/>
                <w:szCs w:val="17"/>
              </w:rPr>
              <w:t xml:space="preserve">  [Form 6251 → Schedule 2]</w:t>
            </w:r>
          </w:p>
        </w:tc>
      </w:tr>
      <w:tr>
        <w:tc>
          <w:tcPr>
            <w:tcW w:type="dxa" w:w="9360"/>
            <w:tcBorders>
              <w:top w:val="single" w:color="4B2D8A" w:sz="1"/>
              <w:left w:val="single" w:color="4B2D8A" w:sz="1"/>
              <w:bottom w:val="single" w:color="4B2D8A" w:sz="1"/>
              <w:right w:val="single" w:color="4B2D8A" w:sz="1"/>
            </w:tcBorders>
            <w:shd w:fill="EDE6F8" w:val="clear"/>
            <w:tcMar>
              <w:top w:type="dxa" w:w="80"/>
              <w:left w:type="dxa" w:w="120"/>
              <w:bottom w:type="dxa" w:w="80"/>
              <w:right w:type="dxa" w:w="120"/>
            </w:tcMar>
          </w:tcPr>
          <w:p>
            <w:r>
              <w:rPr>
                <w:rFonts w:ascii="Arial" w:cs="Arial" w:eastAsia="Arial" w:hAnsi="Arial"/>
                <w:b/>
                <w:bCs/>
                <w:color w:val="4B2D8A"/>
                <w:sz w:val="19"/>
                <w:szCs w:val="19"/>
              </w:rPr>
              <w:t xml:space="preserve">Step 9 — 2/37 Rule (Level 3, 2026 only) — </w:t>
            </w:r>
            <w:r>
              <w:rPr>
                <w:rFonts w:ascii="Arial" w:cs="Arial" w:eastAsia="Arial" w:hAnsi="Arial"/>
                <w:color w:val="1A1A2E"/>
                <w:sz w:val="19"/>
                <w:szCs w:val="19"/>
              </w:rPr>
              <w:t xml:space="preserve">If persona is in 37% bracket AND itemized: add [total_itemized_deductions × 0.02] to Line 16. This caps itemization tax benefit at 35 cents per dollar.</w:t>
            </w:r>
            <w:r>
              <w:rPr>
                <w:rFonts w:ascii="Arial" w:cs="Arial" w:eastAsia="Arial" w:hAnsi="Arial"/>
                <w:i/>
                <w:iCs/>
                <w:color w:val="7C5CBF"/>
                <w:sz w:val="17"/>
                <w:szCs w:val="17"/>
              </w:rPr>
              <w:t xml:space="preserve">  [Form 1040 Line 16 adjustment]</w:t>
            </w:r>
          </w:p>
        </w:tc>
      </w:tr>
      <w:tr>
        <w:tc>
          <w:tcPr>
            <w:tcW w:type="dxa" w:w="9360"/>
            <w:tcBorders>
              <w:top w:val="single" w:color="4B2D8A" w:sz="1"/>
              <w:left w:val="single" w:color="4B2D8A" w:sz="1"/>
              <w:bottom w:val="single" w:color="4B2D8A" w:sz="1"/>
              <w:right w:val="single" w:color="4B2D8A" w:sz="1"/>
            </w:tcBorders>
            <w:shd w:fill="FFFFFF" w:val="clear"/>
            <w:tcMar>
              <w:top w:type="dxa" w:w="80"/>
              <w:left w:type="dxa" w:w="120"/>
              <w:bottom w:type="dxa" w:w="80"/>
              <w:right w:type="dxa" w:w="120"/>
            </w:tcMar>
          </w:tcPr>
          <w:p>
            <w:r>
              <w:rPr>
                <w:rFonts w:ascii="Arial" w:cs="Arial" w:eastAsia="Arial" w:hAnsi="Arial"/>
                <w:b/>
                <w:bCs/>
                <w:color w:val="4B2D8A"/>
                <w:sz w:val="19"/>
                <w:szCs w:val="19"/>
              </w:rPr>
              <w:t xml:space="preserve">Step 10 — Other Taxes — </w:t>
            </w:r>
            <w:r>
              <w:rPr>
                <w:rFonts w:ascii="Arial" w:cs="Arial" w:eastAsia="Arial" w:hAnsi="Arial"/>
                <w:color w:val="1A1A2E"/>
                <w:sz w:val="19"/>
                <w:szCs w:val="19"/>
              </w:rPr>
              <w:t xml:space="preserve">SE Tax (Sched SE → Sched 2). NIIT Form 8960 (investment income above $200K single/$250K MFJ). Additional Medicare Tax Form 8959 ($200K single, $250K MFJ). Net from Schedule 2.</w:t>
            </w:r>
            <w:r>
              <w:rPr>
                <w:rFonts w:ascii="Arial" w:cs="Arial" w:eastAsia="Arial" w:hAnsi="Arial"/>
                <w:i/>
                <w:iCs/>
                <w:color w:val="7C5CBF"/>
                <w:sz w:val="17"/>
                <w:szCs w:val="17"/>
              </w:rPr>
              <w:t xml:space="preserve">  [Form 1040 Line 17]</w:t>
            </w:r>
          </w:p>
        </w:tc>
      </w:tr>
      <w:tr>
        <w:tc>
          <w:tcPr>
            <w:tcW w:type="dxa" w:w="9360"/>
            <w:tcBorders>
              <w:top w:val="single" w:color="4B2D8A" w:sz="1"/>
              <w:left w:val="single" w:color="4B2D8A" w:sz="1"/>
              <w:bottom w:val="single" w:color="4B2D8A" w:sz="1"/>
              <w:right w:val="single" w:color="4B2D8A" w:sz="1"/>
            </w:tcBorders>
            <w:shd w:fill="EDE6F8" w:val="clear"/>
            <w:tcMar>
              <w:top w:type="dxa" w:w="80"/>
              <w:left w:type="dxa" w:w="120"/>
              <w:bottom w:type="dxa" w:w="80"/>
              <w:right w:type="dxa" w:w="120"/>
            </w:tcMar>
          </w:tcPr>
          <w:p>
            <w:r>
              <w:rPr>
                <w:rFonts w:ascii="Arial" w:cs="Arial" w:eastAsia="Arial" w:hAnsi="Arial"/>
                <w:b/>
                <w:bCs/>
                <w:color w:val="4B2D8A"/>
                <w:sz w:val="19"/>
                <w:szCs w:val="19"/>
              </w:rPr>
              <w:t xml:space="preserve">Step 11 — Credits — </w:t>
            </w:r>
            <w:r>
              <w:rPr>
                <w:rFonts w:ascii="Arial" w:cs="Arial" w:eastAsia="Arial" w:hAnsi="Arial"/>
                <w:color w:val="1A1A2E"/>
                <w:sz w:val="19"/>
                <w:szCs w:val="19"/>
              </w:rPr>
              <w:t xml:space="preserve">CTC (year-specific, see E-02). EITC. Education credits. Foreign tax credit.</w:t>
            </w:r>
            <w:r>
              <w:rPr>
                <w:rFonts w:ascii="Arial" w:cs="Arial" w:eastAsia="Arial" w:hAnsi="Arial"/>
                <w:i/>
                <w:iCs/>
                <w:color w:val="7C5CBF"/>
                <w:sz w:val="17"/>
                <w:szCs w:val="17"/>
              </w:rPr>
              <w:t xml:space="preserve">  [Form 1040 Lines 19–24]</w:t>
            </w:r>
          </w:p>
        </w:tc>
      </w:tr>
      <w:tr>
        <w:tc>
          <w:tcPr>
            <w:tcW w:type="dxa" w:w="9360"/>
            <w:tcBorders>
              <w:top w:val="single" w:color="4B2D8A" w:sz="1"/>
              <w:left w:val="single" w:color="4B2D8A" w:sz="1"/>
              <w:bottom w:val="single" w:color="4B2D8A" w:sz="1"/>
              <w:right w:val="single" w:color="4B2D8A" w:sz="1"/>
            </w:tcBorders>
            <w:shd w:fill="FFFFFF" w:val="clear"/>
            <w:tcMar>
              <w:top w:type="dxa" w:w="80"/>
              <w:left w:type="dxa" w:w="120"/>
              <w:bottom w:type="dxa" w:w="80"/>
              <w:right w:type="dxa" w:w="120"/>
            </w:tcMar>
          </w:tcPr>
          <w:p>
            <w:r>
              <w:rPr>
                <w:rFonts w:ascii="Arial" w:cs="Arial" w:eastAsia="Arial" w:hAnsi="Arial"/>
                <w:b/>
                <w:bCs/>
                <w:color w:val="4B2D8A"/>
                <w:sz w:val="19"/>
                <w:szCs w:val="19"/>
              </w:rPr>
              <w:t xml:space="preserve">Step 12 — Net Tax — </w:t>
            </w:r>
            <w:r>
              <w:rPr>
                <w:rFonts w:ascii="Arial" w:cs="Arial" w:eastAsia="Arial" w:hAnsi="Arial"/>
                <w:color w:val="1A1A2E"/>
                <w:sz w:val="19"/>
                <w:szCs w:val="19"/>
              </w:rPr>
              <w:t xml:space="preserve">Line 16 + Line 17 − credits.</w:t>
            </w:r>
            <w:r>
              <w:rPr>
                <w:rFonts w:ascii="Arial" w:cs="Arial" w:eastAsia="Arial" w:hAnsi="Arial"/>
                <w:i/>
                <w:iCs/>
                <w:color w:val="7C5CBF"/>
                <w:sz w:val="17"/>
                <w:szCs w:val="17"/>
              </w:rPr>
              <w:t xml:space="preserve">  [Form 1040 Line 24]</w:t>
            </w:r>
          </w:p>
        </w:tc>
      </w:tr>
      <w:tr>
        <w:tc>
          <w:tcPr>
            <w:tcW w:type="dxa" w:w="9360"/>
            <w:tcBorders>
              <w:top w:val="single" w:color="4B2D8A" w:sz="1"/>
              <w:left w:val="single" w:color="4B2D8A" w:sz="1"/>
              <w:bottom w:val="single" w:color="4B2D8A" w:sz="1"/>
              <w:right w:val="single" w:color="4B2D8A" w:sz="1"/>
            </w:tcBorders>
            <w:shd w:fill="EDE6F8" w:val="clear"/>
            <w:tcMar>
              <w:top w:type="dxa" w:w="80"/>
              <w:left w:type="dxa" w:w="120"/>
              <w:bottom w:type="dxa" w:w="80"/>
              <w:right w:type="dxa" w:w="120"/>
            </w:tcMar>
          </w:tcPr>
          <w:p>
            <w:r>
              <w:rPr>
                <w:rFonts w:ascii="Arial" w:cs="Arial" w:eastAsia="Arial" w:hAnsi="Arial"/>
                <w:b/>
                <w:bCs/>
                <w:color w:val="4B2D8A"/>
                <w:sz w:val="19"/>
                <w:szCs w:val="19"/>
              </w:rPr>
              <w:t xml:space="preserve">Step 13 — Payments &amp; Refund — </w:t>
            </w:r>
            <w:r>
              <w:rPr>
                <w:rFonts w:ascii="Arial" w:cs="Arial" w:eastAsia="Arial" w:hAnsi="Arial"/>
                <w:color w:val="1A1A2E"/>
                <w:sz w:val="19"/>
                <w:szCs w:val="19"/>
              </w:rPr>
              <w:t xml:space="preserve">Withholding + estimated payments vs. net tax.</w:t>
            </w:r>
            <w:r>
              <w:rPr>
                <w:rFonts w:ascii="Arial" w:cs="Arial" w:eastAsia="Arial" w:hAnsi="Arial"/>
                <w:i/>
                <w:iCs/>
                <w:color w:val="7C5CBF"/>
                <w:sz w:val="17"/>
                <w:szCs w:val="17"/>
              </w:rPr>
              <w:t xml:space="preserve">  [Form 1040 Lines 25–35]</w:t>
            </w:r>
          </w:p>
        </w:tc>
      </w:tr>
    </w:tbl>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7. Complete 15-Rule Validation Engine</w:t>
      </w:r>
    </w:p>
    <w:p>
      <w:pPr>
        <w:spacing w:after="60" w:before="60"/>
      </w:pPr>
      <w:r>
        <w:rPr>
          <w:rFonts w:ascii="Arial" w:cs="Arial" w:eastAsia="Arial" w:hAnsi="Arial"/>
          <w:color w:val="1A1A2E"/>
          <w:sz w:val="20"/>
          <w:szCs w:val="20"/>
        </w:rPr>
        <w:t xml:space="preserve">The following table provides all 15 validation rules. Rules V-03, V-04, V-08, V-09, V-11, V-13, and V-15 were missing from the v3 report's validation table and are now included.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5160"/>
      </w:tblGrid>
      <w:tr>
        <w:trPr>
          <w:tblHeader/>
        </w:trPr>
        <w:tc>
          <w:tcPr>
            <w:tcW w:type="dxa" w:w="5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Rule</w:t>
            </w:r>
          </w:p>
        </w:tc>
        <w:tc>
          <w:tcPr>
            <w:tcW w:type="dxa" w:w="37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Check / Assertion</w:t>
            </w:r>
          </w:p>
        </w:tc>
        <w:tc>
          <w:tcPr>
            <w:tcW w:type="dxa" w:w="51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Purpose</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V-01</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SUM(all W-2 Box 1) == Form 1040 Line 1a</w:t>
            </w:r>
          </w:p>
        </w:tc>
        <w:tc>
          <w:tcPr>
            <w:tcW w:type="dxa" w:w="51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Wage consistency across all input documents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V-02</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W-2 Box 3 ≤ SS_Wage_Base[year]; Box 4 == Box 3 × 0.062</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SS withholding cap: 2025 base=$176,100, Box 4=$10,918.20 max</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V-03</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SUM(1099-NEC Box 1) ≤ Schedule C Line 1 (gross receipts)</w:t>
            </w:r>
          </w:p>
        </w:tc>
        <w:tc>
          <w:tcPr>
            <w:tcW w:type="dxa" w:w="51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NEC income flows to Schedule C; may include unreported cash income</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V-04</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Form 1098 Box 1 applied to ≤ $750K loan balance on Schedule A Line 8a</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Mortgage interest deduction is principal-capped at $750K ($375K MFS)</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V-05</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Sched SE Line 12 == (Sched SE Line 3 × 0.9235) × 0.153</w:t>
            </w:r>
          </w:p>
        </w:tc>
        <w:tc>
          <w:tcPr>
            <w:tcW w:type="dxa" w:w="51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SE tax arithmetic; ½ SE tax flows above-the-line to Schedule 1</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V-06</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Form 1040 Line 11 == Line 9 − Sched 1 Part II Total</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AGI correctly reduced by ALL above-the-line adjustments including OBBBA</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V-07</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Form 1040 Line 15 == Line 11 − Line 12 − Line 13</w:t>
            </w:r>
          </w:p>
        </w:tc>
        <w:tc>
          <w:tcPr>
            <w:tcW w:type="dxa" w:w="51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Taxable income = AGI − deduction − QBI; no double-counting OBBBA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V-08</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SUM(1099-INT Box 1) == Schedule B Part I == Form 1040 Line 2b</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Three-document interest income chain must reconcile exactly</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V-09</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Form 8959 computes: single/HOH=$200K threshold; MFJ=$250K threshold</w:t>
            </w:r>
          </w:p>
        </w:tc>
        <w:tc>
          <w:tcPr>
            <w:tcW w:type="dxa" w:w="51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Filing-status-specific Medicare surtax threshold; separate from employer withholding</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V-10</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Schedule A Line 5e ≤ SALT_cap[year]</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$10K cap (2020–2024); $40,000 (2025); $40,400 (2026)</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V-11</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CTC == CTC_per_child[year] × qualifying_children</w:t>
            </w:r>
          </w:p>
        </w:tc>
        <w:tc>
          <w:tcPr>
            <w:tcW w:type="dxa" w:w="51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Year-specific CTC: $2K (2020,2022–24), $3K–$3.6K (2021), $2.2K (2025+)</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V-12</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phase_out_check(MAGI, part, start, end, slope) for all Sched 1-A parts</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Linear reduction validation for all four OBBBA deductions</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V-13</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SSN not in used_ssns; add on pass</w:t>
            </w:r>
          </w:p>
        </w:tc>
        <w:tc>
          <w:tcPr>
            <w:tcW w:type="dxa" w:w="51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Zero duplicate SSNs across 2,000-dataset corpus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V-14</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VIN[0] in ['1','4','5']; len(VIN)==17; VIN[8]==mod11_checkdigit(VIN)</w:t>
            </w:r>
          </w:p>
        </w:tc>
        <w:tc>
          <w:tcPr>
            <w:tcW w:type="dxa" w:w="51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Cryptographic VIN validation for Schedule 1-A Part IV eligibility</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V-15</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All required subdirectories and files exist before dataset is finalized</w:t>
            </w:r>
          </w:p>
        </w:tc>
        <w:tc>
          <w:tcPr>
            <w:tcW w:type="dxa" w:w="51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Catches partial generation failures before packaging to disk</w:t>
            </w:r>
          </w:p>
        </w:tc>
      </w:tr>
    </w:tbl>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8. Multi-State Architecture (Verified)</w:t>
      </w:r>
    </w:p>
    <w:p>
      <w:pPr>
        <w:pStyle w:val="Heading2"/>
        <w:spacing w:after="80" w:before="260"/>
      </w:pPr>
      <w:r>
        <w:rPr>
          <w:rFonts w:ascii="Arial" w:cs="Arial" w:eastAsia="Arial" w:hAnsi="Arial"/>
          <w:b/>
          <w:bCs/>
          <w:color w:val="1A1A2E"/>
          <w:sz w:val="26"/>
          <w:szCs w:val="26"/>
        </w:rPr>
        <w:t xml:space="preserve">8.1 California — Non-Conformity to OBBBA (Confirmed)</w:t>
      </w:r>
    </w:p>
    <w:p>
      <w:pPr>
        <w:pStyle w:val="ListParagraph"/>
        <w:numPr>
          <w:ilvl w:val="0"/>
          <w:numId w:val="2"/>
        </w:numPr>
        <w:spacing w:after="40" w:before="40"/>
      </w:pPr>
      <w:r>
        <w:rPr>
          <w:rFonts w:ascii="Arial" w:cs="Arial" w:eastAsia="Arial" w:hAnsi="Arial"/>
          <w:b w:val="false"/>
          <w:bCs w:val="false"/>
          <w:color w:val="1A1A2E"/>
          <w:sz w:val="20"/>
          <w:szCs w:val="20"/>
        </w:rPr>
        <w:t xml:space="preserve">CA does NOT conform to Schedule 1-A deductions (Tips, Overtime, Car Loan, Senior). All OBBBA deductions taken on the federal return must be added back as income modifications on CA Schedule CA (540), resulting in a higher CA AGI than federal AGI for any OBBBA-claiming persona.</w:t>
      </w:r>
    </w:p>
    <w:p>
      <w:pPr>
        <w:pStyle w:val="ListParagraph"/>
        <w:numPr>
          <w:ilvl w:val="0"/>
          <w:numId w:val="2"/>
        </w:numPr>
        <w:spacing w:after="40" w:before="40"/>
      </w:pPr>
      <w:r>
        <w:rPr>
          <w:rFonts w:ascii="Arial" w:cs="Arial" w:eastAsia="Arial" w:hAnsi="Arial"/>
          <w:b w:val="false"/>
          <w:bCs w:val="false"/>
          <w:color w:val="1A1A2E"/>
          <w:sz w:val="20"/>
          <w:szCs w:val="20"/>
        </w:rPr>
        <w:t xml:space="preserve">CA SALT: Not applicable at state level. The $40,000 federal SALT cap affects federal Schedule A only. CA has its own deduction system.</w:t>
      </w:r>
    </w:p>
    <w:p>
      <w:pPr>
        <w:pStyle w:val="ListParagraph"/>
        <w:numPr>
          <w:ilvl w:val="0"/>
          <w:numId w:val="2"/>
        </w:numPr>
        <w:spacing w:after="40" w:before="40"/>
      </w:pPr>
      <w:r>
        <w:rPr>
          <w:rFonts w:ascii="Arial" w:cs="Arial" w:eastAsia="Arial" w:hAnsi="Arial"/>
          <w:b w:val="false"/>
          <w:bCs w:val="false"/>
          <w:color w:val="1A1A2E"/>
          <w:sz w:val="20"/>
          <w:szCs w:val="20"/>
        </w:rPr>
        <w:t xml:space="preserve">SDI (Box 14 on W-2): No wage cap for 2025. SDI withheld flows to federal Schedule A as a deductible state tax (subject to the $40,000 SALT cap for 2025).</w:t>
      </w:r>
    </w:p>
    <w:p>
      <w:pPr>
        <w:pStyle w:val="ListParagraph"/>
        <w:numPr>
          <w:ilvl w:val="0"/>
          <w:numId w:val="2"/>
        </w:numPr>
        <w:spacing w:after="40" w:before="40"/>
      </w:pPr>
      <w:r>
        <w:rPr>
          <w:rFonts w:ascii="Arial" w:cs="Arial" w:eastAsia="Arial" w:hAnsi="Arial"/>
          <w:b w:val="false"/>
          <w:bCs w:val="false"/>
          <w:color w:val="1A1A2E"/>
          <w:sz w:val="20"/>
          <w:szCs w:val="20"/>
        </w:rPr>
        <w:t xml:space="preserve">CalEITC: CA-specific income tables. Maximizes around $30,931 earned income (2025). Do not use federal EITC tables.</w:t>
      </w:r>
    </w:p>
    <w:p>
      <w:pPr>
        <w:pStyle w:val="ListParagraph"/>
        <w:numPr>
          <w:ilvl w:val="0"/>
          <w:numId w:val="2"/>
        </w:numPr>
        <w:spacing w:after="40" w:before="40"/>
      </w:pPr>
      <w:r>
        <w:rPr>
          <w:rFonts w:ascii="Arial" w:cs="Arial" w:eastAsia="Arial" w:hAnsi="Arial"/>
          <w:b w:val="false"/>
          <w:bCs w:val="false"/>
          <w:color w:val="1A1A2E"/>
          <w:sz w:val="20"/>
          <w:szCs w:val="20"/>
        </w:rPr>
        <w:t xml:space="preserve">PMI Deduction: Not available federally for 2025. OBBBA makes PMI deductible starting 2026. CA does NOT conform to this provision.</w:t>
      </w:r>
    </w:p>
    <w:p>
      <w:pPr>
        <w:spacing w:after="0" w:before="120"/>
      </w:pPr>
      <w:r>
        <w:t xml:space="preserve"/>
      </w:r>
    </w:p>
    <w:p>
      <w:pPr>
        <w:pStyle w:val="Heading2"/>
        <w:spacing w:after="80" w:before="260"/>
      </w:pPr>
      <w:r>
        <w:rPr>
          <w:rFonts w:ascii="Arial" w:cs="Arial" w:eastAsia="Arial" w:hAnsi="Arial"/>
          <w:b/>
          <w:bCs/>
          <w:color w:val="1A1A2E"/>
          <w:sz w:val="26"/>
          <w:szCs w:val="26"/>
        </w:rPr>
        <w:t xml:space="preserve">8.2 Illinois — EITC Rate Schedule and Non-Conformity</w:t>
      </w:r>
    </w:p>
    <w:p>
      <w:pPr>
        <w:pStyle w:val="ListParagraph"/>
        <w:numPr>
          <w:ilvl w:val="0"/>
          <w:numId w:val="2"/>
        </w:numPr>
        <w:spacing w:after="40" w:before="40"/>
      </w:pPr>
      <w:r>
        <w:rPr>
          <w:rFonts w:ascii="Arial" w:cs="Arial" w:eastAsia="Arial" w:hAnsi="Arial"/>
          <w:b w:val="false"/>
          <w:bCs w:val="false"/>
          <w:color w:val="1A1A2E"/>
          <w:sz w:val="20"/>
          <w:szCs w:val="20"/>
        </w:rPr>
        <w:t xml:space="preserve">IL does NOT conform to OBBBA deductions. IL taxable income starts from federal AGI before Schedule 1-A deductions, meaning the IL tax base will be higher than federal taxable income for 2025 OBBBA-claiming personas.</w:t>
      </w:r>
    </w:p>
    <w:p>
      <w:pPr>
        <w:pStyle w:val="ListParagraph"/>
        <w:numPr>
          <w:ilvl w:val="0"/>
          <w:numId w:val="2"/>
        </w:numPr>
        <w:spacing w:after="40" w:before="40"/>
      </w:pPr>
      <w:r>
        <w:rPr>
          <w:rFonts w:ascii="Arial" w:cs="Arial" w:eastAsia="Arial" w:hAnsi="Arial"/>
          <w:b w:val="false"/>
          <w:bCs w:val="false"/>
          <w:color w:val="1A1A2E"/>
          <w:sz w:val="20"/>
          <w:szCs w:val="20"/>
        </w:rPr>
        <w:t xml:space="preserve">IL EITC rates by year (VERIFIED — critical correction from v1 which incorrectly stated 40% universally):</w:t>
      </w:r>
    </w:p>
    <w:p>
      <w:pPr>
        <w:pStyle w:val="ListParagraph"/>
        <w:numPr>
          <w:ilvl w:val="0"/>
          <w:numId w:val="3"/>
        </w:numPr>
        <w:spacing w:after="30" w:before="30"/>
      </w:pPr>
      <w:r>
        <w:rPr>
          <w:rFonts w:ascii="Arial" w:cs="Arial" w:eastAsia="Arial" w:hAnsi="Arial"/>
          <w:color w:val="1A1A2E"/>
          <w:sz w:val="19"/>
          <w:szCs w:val="19"/>
        </w:rPr>
        <w:t xml:space="preserve">2020: 18% of federal EITC</w:t>
      </w:r>
    </w:p>
    <w:p>
      <w:pPr>
        <w:pStyle w:val="ListParagraph"/>
        <w:numPr>
          <w:ilvl w:val="0"/>
          <w:numId w:val="3"/>
        </w:numPr>
        <w:spacing w:after="30" w:before="30"/>
      </w:pPr>
      <w:r>
        <w:rPr>
          <w:rFonts w:ascii="Arial" w:cs="Arial" w:eastAsia="Arial" w:hAnsi="Arial"/>
          <w:color w:val="1A1A2E"/>
          <w:sz w:val="19"/>
          <w:szCs w:val="19"/>
        </w:rPr>
        <w:t xml:space="preserve">2021: 20% of federal EITC</w:t>
      </w:r>
    </w:p>
    <w:p>
      <w:pPr>
        <w:pStyle w:val="ListParagraph"/>
        <w:numPr>
          <w:ilvl w:val="0"/>
          <w:numId w:val="3"/>
        </w:numPr>
        <w:spacing w:after="30" w:before="30"/>
      </w:pPr>
      <w:r>
        <w:rPr>
          <w:rFonts w:ascii="Arial" w:cs="Arial" w:eastAsia="Arial" w:hAnsi="Arial"/>
          <w:color w:val="1A1A2E"/>
          <w:sz w:val="19"/>
          <w:szCs w:val="19"/>
        </w:rPr>
        <w:t xml:space="preserve">2022: 20% of federal EITC</w:t>
      </w:r>
    </w:p>
    <w:p>
      <w:pPr>
        <w:pStyle w:val="ListParagraph"/>
        <w:numPr>
          <w:ilvl w:val="0"/>
          <w:numId w:val="3"/>
        </w:numPr>
        <w:spacing w:after="30" w:before="30"/>
      </w:pPr>
      <w:r>
        <w:rPr>
          <w:rFonts w:ascii="Arial" w:cs="Arial" w:eastAsia="Arial" w:hAnsi="Arial"/>
          <w:color w:val="1A1A2E"/>
          <w:sz w:val="19"/>
          <w:szCs w:val="19"/>
        </w:rPr>
        <w:t xml:space="preserve">2023: 20% of federal EITC</w:t>
      </w:r>
    </w:p>
    <w:p>
      <w:pPr>
        <w:pStyle w:val="ListParagraph"/>
        <w:numPr>
          <w:ilvl w:val="0"/>
          <w:numId w:val="3"/>
        </w:numPr>
        <w:spacing w:after="30" w:before="30"/>
      </w:pPr>
      <w:r>
        <w:rPr>
          <w:rFonts w:ascii="Arial" w:cs="Arial" w:eastAsia="Arial" w:hAnsi="Arial"/>
          <w:color w:val="1A1A2E"/>
          <w:sz w:val="19"/>
          <w:szCs w:val="19"/>
        </w:rPr>
        <w:t xml:space="preserve">2024: 30% of federal EITC</w:t>
      </w:r>
    </w:p>
    <w:p>
      <w:pPr>
        <w:pStyle w:val="ListParagraph"/>
        <w:numPr>
          <w:ilvl w:val="0"/>
          <w:numId w:val="3"/>
        </w:numPr>
        <w:spacing w:after="30" w:before="30"/>
      </w:pPr>
      <w:r>
        <w:rPr>
          <w:rFonts w:ascii="Arial" w:cs="Arial" w:eastAsia="Arial" w:hAnsi="Arial"/>
          <w:color w:val="1A1A2E"/>
          <w:sz w:val="19"/>
          <w:szCs w:val="19"/>
        </w:rPr>
        <w:t xml:space="preserve">2025 and beyond: 40% of federal EITC</w:t>
      </w:r>
    </w:p>
    <w:p>
      <w:pPr>
        <w:pStyle w:val="ListParagraph"/>
        <w:numPr>
          <w:ilvl w:val="0"/>
          <w:numId w:val="2"/>
        </w:numPr>
        <w:spacing w:after="40" w:before="40"/>
      </w:pPr>
      <w:r>
        <w:rPr>
          <w:rFonts w:ascii="Arial" w:cs="Arial" w:eastAsia="Arial" w:hAnsi="Arial"/>
          <w:b w:val="false"/>
          <w:bCs w:val="false"/>
          <w:color w:val="1A1A2E"/>
          <w:sz w:val="20"/>
          <w:szCs w:val="20"/>
        </w:rPr>
        <w:t xml:space="preserve">IL Child Tax Credit (Sched IL-E/EITC Step 5): 40% of the taxpayer's base IL EITC for qualifying children under age 12. Separate from the base EITC.</w:t>
      </w:r>
    </w:p>
    <w:p>
      <w:pPr>
        <w:pStyle w:val="ListParagraph"/>
        <w:numPr>
          <w:ilvl w:val="0"/>
          <w:numId w:val="2"/>
        </w:numPr>
        <w:spacing w:after="40" w:before="40"/>
      </w:pPr>
      <w:r>
        <w:rPr>
          <w:rFonts w:ascii="Arial" w:cs="Arial" w:eastAsia="Arial" w:hAnsi="Arial"/>
          <w:b w:val="false"/>
          <w:bCs w:val="false"/>
          <w:color w:val="1A1A2E"/>
          <w:sz w:val="20"/>
          <w:szCs w:val="20"/>
        </w:rPr>
        <w:t xml:space="preserve">Schedule ICR Property Tax Credit: 5% of property tax paid on IL principal residence. Generate synthetic county property tax bill with valid IL County Assessor EIN.</w:t>
      </w:r>
    </w:p>
    <w:p>
      <w:pPr>
        <w:spacing w:after="0" w:before="120"/>
      </w:pPr>
      <w:r>
        <w:t xml:space="preserve"/>
      </w:r>
    </w:p>
    <w:p>
      <w:pPr>
        <w:pStyle w:val="Heading2"/>
        <w:spacing w:after="80" w:before="260"/>
      </w:pPr>
      <w:r>
        <w:rPr>
          <w:rFonts w:ascii="Arial" w:cs="Arial" w:eastAsia="Arial" w:hAnsi="Arial"/>
          <w:b/>
          <w:bCs/>
          <w:color w:val="1A1A2E"/>
          <w:sz w:val="26"/>
          <w:szCs w:val="26"/>
        </w:rPr>
        <w:t xml:space="preserve">8.3 New York — SALT-Driven Itemization Flip</w:t>
      </w:r>
    </w:p>
    <w:p>
      <w:pPr>
        <w:pStyle w:val="ListParagraph"/>
        <w:numPr>
          <w:ilvl w:val="0"/>
          <w:numId w:val="2"/>
        </w:numPr>
        <w:spacing w:after="40" w:before="40"/>
      </w:pPr>
      <w:r>
        <w:rPr>
          <w:rFonts w:ascii="Arial" w:cs="Arial" w:eastAsia="Arial" w:hAnsi="Arial"/>
          <w:b w:val="false"/>
          <w:bCs w:val="false"/>
          <w:color w:val="1A1A2E"/>
          <w:sz w:val="20"/>
          <w:szCs w:val="20"/>
        </w:rPr>
        <w:t xml:space="preserve">OBBBA raises federal SALT cap to $40,000 for 2025. Many NY personas previously defaulted to standard deduction will now cross the itemization threshold. NY law requires state itemization if federal itemization is taken.</w:t>
      </w:r>
    </w:p>
    <w:p>
      <w:pPr>
        <w:pStyle w:val="ListParagraph"/>
        <w:numPr>
          <w:ilvl w:val="0"/>
          <w:numId w:val="2"/>
        </w:numPr>
        <w:spacing w:after="40" w:before="40"/>
      </w:pPr>
      <w:r>
        <w:rPr>
          <w:rFonts w:ascii="Arial" w:cs="Arial" w:eastAsia="Arial" w:hAnsi="Arial"/>
          <w:b w:val="false"/>
          <w:bCs w:val="false"/>
          <w:color w:val="1A1A2E"/>
          <w:sz w:val="20"/>
          <w:szCs w:val="20"/>
        </w:rPr>
        <w:t xml:space="preserve">IT-2105 estimated tax vouchers: Required if projected NY tax exceeds withholding by over $300. Generate four quarterly vouchers for Level 3 personas with substantial self-employment or investment income.</w:t>
      </w:r>
    </w:p>
    <w:p>
      <w:pPr>
        <w:pStyle w:val="ListParagraph"/>
        <w:numPr>
          <w:ilvl w:val="0"/>
          <w:numId w:val="2"/>
        </w:numPr>
        <w:spacing w:after="40" w:before="40"/>
      </w:pPr>
      <w:r>
        <w:rPr>
          <w:rFonts w:ascii="Arial" w:cs="Arial" w:eastAsia="Arial" w:hAnsi="Arial"/>
          <w:b w:val="false"/>
          <w:bCs w:val="false"/>
          <w:color w:val="1A1A2E"/>
          <w:sz w:val="20"/>
          <w:szCs w:val="20"/>
        </w:rPr>
        <w:t xml:space="preserve">NYC school district code: Must use validated ZIP-to-school-district mapping. ZIP drives school district, which drives NYC household credit and NYC school tax credit. NYC address triggers additional Form IT-201-ATT.</w:t>
      </w:r>
    </w:p>
    <w:p>
      <w:pPr>
        <w:pStyle w:val="ListParagraph"/>
        <w:numPr>
          <w:ilvl w:val="0"/>
          <w:numId w:val="2"/>
        </w:numPr>
        <w:spacing w:after="40" w:before="40"/>
      </w:pPr>
      <w:r>
        <w:rPr>
          <w:rFonts w:ascii="Arial" w:cs="Arial" w:eastAsia="Arial" w:hAnsi="Arial"/>
          <w:b w:val="false"/>
          <w:bCs w:val="false"/>
          <w:color w:val="1A1A2E"/>
          <w:sz w:val="20"/>
          <w:szCs w:val="20"/>
        </w:rPr>
        <w:t xml:space="preserve">NY does not conform to OBBBA deductions. NY AGI = federal AGI before Schedule 1-A adjustments.</w:t>
      </w:r>
    </w:p>
    <w:p>
      <w:pPr>
        <w:spacing w:after="0" w:before="120"/>
      </w:pPr>
      <w:r>
        <w:t xml:space="preserve"/>
      </w:r>
    </w:p>
    <w:p>
      <w:pPr>
        <w:pStyle w:val="Heading2"/>
        <w:spacing w:after="80" w:before="260"/>
      </w:pPr>
      <w:r>
        <w:rPr>
          <w:rFonts w:ascii="Arial" w:cs="Arial" w:eastAsia="Arial" w:hAnsi="Arial"/>
          <w:b/>
          <w:bCs/>
          <w:color w:val="1A1A2E"/>
          <w:sz w:val="26"/>
          <w:szCs w:val="26"/>
        </w:rPr>
        <w:t xml:space="preserve">8.4 Texas and Florida — Property-Centric Federal Integration</w:t>
      </w:r>
    </w:p>
    <w:p>
      <w:pPr>
        <w:pStyle w:val="ListParagraph"/>
        <w:numPr>
          <w:ilvl w:val="0"/>
          <w:numId w:val="2"/>
        </w:numPr>
        <w:spacing w:after="40" w:before="40"/>
      </w:pPr>
      <w:r>
        <w:rPr>
          <w:rFonts w:ascii="Arial" w:cs="Arial" w:eastAsia="Arial" w:hAnsi="Arial"/>
          <w:b w:val="false"/>
          <w:bCs w:val="false"/>
          <w:color w:val="1A1A2E"/>
          <w:sz w:val="20"/>
          <w:szCs w:val="20"/>
        </w:rPr>
        <w:t xml:space="preserve">Texas: Generate Form 50-114 (Homestead Exemption). County property tax bill flows to federal Schedule A Line 5b. Subject to $40,000 SALT cap (2025).</w:t>
      </w:r>
    </w:p>
    <w:p>
      <w:pPr>
        <w:pStyle w:val="ListParagraph"/>
        <w:numPr>
          <w:ilvl w:val="0"/>
          <w:numId w:val="2"/>
        </w:numPr>
        <w:spacing w:after="40" w:before="40"/>
      </w:pPr>
      <w:r>
        <w:rPr>
          <w:rFonts w:ascii="Arial" w:cs="Arial" w:eastAsia="Arial" w:hAnsi="Arial"/>
          <w:b w:val="false"/>
          <w:bCs w:val="false"/>
          <w:color w:val="1A1A2E"/>
          <w:sz w:val="20"/>
          <w:szCs w:val="20"/>
        </w:rPr>
        <w:t xml:space="preserve">Florida: Generate county TRIM notice with DR-501 $25,000 + secondary $25,000 exemption. Save Our Homes cap: assessed value increases capped at 3% or CPI annually for multi-year longitudinal datasets.</w:t>
      </w:r>
    </w:p>
    <w:p>
      <w:pPr>
        <w:pStyle w:val="ListParagraph"/>
        <w:numPr>
          <w:ilvl w:val="0"/>
          <w:numId w:val="2"/>
        </w:numPr>
        <w:spacing w:after="40" w:before="40"/>
      </w:pPr>
      <w:r>
        <w:rPr>
          <w:rFonts w:ascii="Arial" w:cs="Arial" w:eastAsia="Arial" w:hAnsi="Arial"/>
          <w:b w:val="false"/>
          <w:bCs w:val="false"/>
          <w:color w:val="1A1A2E"/>
          <w:sz w:val="20"/>
          <w:szCs w:val="20"/>
        </w:rPr>
        <w:t xml:space="preserve">PMI / 1098: Generate mortgage interest statement for homeowner personas. PMI NOT deductible federally for 2025; deductible starting 2026 (OBBBA provision).</w:t>
      </w:r>
    </w:p>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9. Corrected Implementation Phase Plan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6960"/>
      </w:tblGrid>
      <w:tr>
        <w:trPr>
          <w:tblHeader/>
        </w:trPr>
        <w:tc>
          <w:tcPr>
            <w:tcW w:type="dxa" w:w="5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Phase</w:t>
            </w:r>
          </w:p>
        </w:tc>
        <w:tc>
          <w:tcPr>
            <w:tcW w:type="dxa" w:w="19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Module</w:t>
            </w:r>
          </w:p>
        </w:tc>
        <w:tc>
          <w:tcPr>
            <w:tcW w:type="dxa" w:w="69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Key Corrections vs. Prior Versions</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1</w:t>
            </w:r>
          </w:p>
        </w:tc>
        <w:tc>
          <w:tcPr>
            <w:tcW w:type="dxa" w:w="1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tax_tables.py</w:t>
            </w:r>
          </w:p>
        </w:tc>
        <w:tc>
          <w:tcPr>
            <w:tcW w:type="dxa" w:w="6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Add: year-specific CTC ($2K/3K/3.6K/2.2K). Year-specific SALT caps. Year-specific IL EITC rates (18%/20%/30%/40%). OBBBA phase-out tables. 2026 AMT reverted phase-out start ($500K) and doubled rate (50 cents). 2026 capital gains thresholds ($545,500/$613,700). SALT 2026 = $40,400.</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profile_generator.py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Add OBBBA boolean flags: is_tipped_worker, overtime_eligible, car_loan_2025, age_65_or_older, has_trump_account_child. VIN generator (vin_generator.py) for car loan personas.</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3</w:t>
            </w:r>
          </w:p>
        </w:tc>
        <w:tc>
          <w:tcPr>
            <w:tcW w:type="dxa" w:w="1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federal_calculator.py</w:t>
            </w:r>
          </w:p>
        </w:tc>
        <w:tc>
          <w:tcPr>
            <w:tcW w:type="dxa" w:w="6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CRITICAL: Place OBBBA deductions on Schedule 1 Part II (above-the-line, Line 10). NOT Line 13b. Add 2/37 rule for 2026 Level 3 personas. Add AMT with doubled phase-out rate for 2026. Correct Medicare to use $250K MFJ threshold.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state_calculator.py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CA: add Schedule CA OBBBA add-backs. IL: use year-specific EITC rates (not flat 40%). NY: SALT flip detection. IL: add child age check (&lt;12) for IL CTC.</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5</w:t>
            </w:r>
          </w:p>
        </w:tc>
        <w:tc>
          <w:tcPr>
            <w:tcW w:type="dxa" w:w="1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vin_generator.py</w:t>
            </w:r>
          </w:p>
        </w:tc>
        <w:tc>
          <w:tcPr>
            <w:tcW w:type="dxa" w:w="6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NEW: ISO 3779 VIN with position-1 constraint to ['1','4','5'] and mod-11 check digit. Unit-test against NHTSA VIN check.</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generators/ (all)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PDF pipeline: PyMuPDF (offline field mapping) + pypdf (form fill, flat_annots=True) + pdfrw (/NeedAppearances=true). ReportLab for custom docs. openpyxl for Excel (data_only=False).</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7</w:t>
            </w:r>
          </w:p>
        </w:tc>
        <w:tc>
          <w:tcPr>
            <w:tcW w:type="dxa" w:w="19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validation.py</w:t>
            </w:r>
          </w:p>
        </w:tc>
        <w:tc>
          <w:tcPr>
            <w:tcW w:type="dxa" w:w="69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All 15 rules (V-01 through V-15). Discard and re-seed on any failure. Max 3 retries before hard alert.</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Pilot run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Generate 20 datasets (4 per state, mix of years 2020–2025 and all 3 levels). Manual QA on 5 randomly selected. Run KS test on income distributions.</w:t>
            </w:r>
          </w:p>
        </w:tc>
      </w:tr>
    </w:tbl>
    <w:p>
      <w:pPr>
        <w:spacing w:after="0" w:before="200"/>
      </w:pPr>
      <w:r>
        <w:t xml:space="preserve"/>
      </w:r>
    </w:p>
    <w:p>
      <w:pPr>
        <w:pStyle w:val="Heading1"/>
        <w:pBdr>
          <w:bottom w:val="single" w:color="4B2D8A" w:sz="10" w:space="4"/>
        </w:pBdr>
        <w:spacing w:after="120" w:before="400"/>
      </w:pPr>
      <w:r>
        <w:rPr>
          <w:rFonts w:ascii="Arial" w:cs="Arial" w:eastAsia="Arial" w:hAnsi="Arial"/>
          <w:b/>
          <w:bCs/>
          <w:color w:val="4B2D8A"/>
          <w:sz w:val="34"/>
          <w:szCs w:val="34"/>
        </w:rPr>
        <w:t xml:space="preserve">10. Error Resolution Scorecard</w:t>
      </w:r>
    </w:p>
    <w:p>
      <w:pPr>
        <w:spacing w:after="60" w:before="60"/>
      </w:pPr>
      <w:r>
        <w:rPr>
          <w:rFonts w:ascii="Arial" w:cs="Arial" w:eastAsia="Arial" w:hAnsi="Arial"/>
          <w:color w:val="1A1A2E"/>
          <w:sz w:val="20"/>
          <w:szCs w:val="20"/>
        </w:rPr>
        <w:t xml:space="preserve">Complete list of all errors identified and resolved across all prior report versions:</w:t>
      </w:r>
    </w:p>
    <w:p>
      <w:pPr>
        <w:spacing w:after="0" w:before="10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700"/>
        <w:gridCol w:w="1400"/>
        <w:gridCol w:w="1360"/>
      </w:tblGrid>
      <w:tr>
        <w:trPr>
          <w:tblHeader/>
        </w:trPr>
        <w:tc>
          <w:tcPr>
            <w:tcW w:type="dxa" w:w="5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ID</w:t>
            </w:r>
          </w:p>
        </w:tc>
        <w:tc>
          <w:tcPr>
            <w:tcW w:type="dxa" w:w="14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Category</w:t>
            </w:r>
          </w:p>
        </w:tc>
        <w:tc>
          <w:tcPr>
            <w:tcW w:type="dxa" w:w="37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Error</w:t>
            </w:r>
          </w:p>
        </w:tc>
        <w:tc>
          <w:tcPr>
            <w:tcW w:type="dxa" w:w="140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Found In</w:t>
            </w:r>
          </w:p>
        </w:tc>
        <w:tc>
          <w:tcPr>
            <w:tcW w:type="dxa" w:w="1360"/>
            <w:tcBorders>
              <w:top w:val="single" w:color="4B2D8A" w:sz="1"/>
              <w:left w:val="single" w:color="4B2D8A" w:sz="1"/>
              <w:bottom w:val="single" w:color="4B2D8A" w:sz="1"/>
              <w:right w:val="single" w:color="4B2D8A" w:sz="1"/>
            </w:tcBorders>
            <w:shd w:fill="4B2D8A"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Status</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E-01</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Math</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AGI: $171,500 should be $168,500</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 v2</w:t>
            </w:r>
          </w:p>
        </w:tc>
        <w:tc>
          <w:tcPr>
            <w:tcW w:type="dxa" w:w="1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E-02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Math</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CTC: year-specific ($2K/3K+/2.2K), not universal</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v1, v2, v3</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E-03</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Classification</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OBBBA deductions below-the-line; wrong Form 1040 line ref (13b)</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 + v2/v3</w:t>
            </w:r>
          </w:p>
        </w:tc>
        <w:tc>
          <w:tcPr>
            <w:tcW w:type="dxa" w:w="1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E-04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Specification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Car loan phase-out listed N/A; starts $100K/$200K MFJ</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v1</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E-05</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Math</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Capital gains 20% threshold used 2025 values for 2026</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v3</w:t>
            </w:r>
          </w:p>
        </w:tc>
        <w:tc>
          <w:tcPr>
            <w:tcW w:type="dxa" w:w="1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E-06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Specification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AMT phase-out range/rate change not documented (OBBBA revert)</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v3</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E-07</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Specification</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QBI $75K/$150K is phase-in WIDTH not start threshold</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v3</w:t>
            </w:r>
          </w:p>
        </w:tc>
        <w:tc>
          <w:tcPr>
            <w:tcW w:type="dxa" w:w="1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E-08</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Specification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Non-itemizer charitable deduction starts 2026, not 2025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v2 (corrected)</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E-09</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Specification</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Medicare 0.9%: MFJ threshold $250K omitted; employer logic incomplete</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 v2</w:t>
            </w:r>
          </w:p>
        </w:tc>
        <w:tc>
          <w:tcPr>
            <w:tcW w:type="dxa" w:w="1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E-10</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Specification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Validation table missing 7 of 15 rules (V-03,04,08,09,11,13,15)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v3</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E-11</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Omission</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SALT 2026 cap is $40,400 (not $40,000); phase-out start moves to $505,000</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v3</w:t>
            </w:r>
          </w:p>
        </w:tc>
        <w:tc>
          <w:tcPr>
            <w:tcW w:type="dxa" w:w="1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E-12</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Specification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Bonus depreciation date ambiguous; correct date: on/after Jan 20, 2025</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v3</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E-13</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Specification</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Form 720 is a business form; individuals do not file it</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v3</w:t>
            </w:r>
          </w:p>
        </w:tc>
        <w:tc>
          <w:tcPr>
            <w:tcW w:type="dxa" w:w="1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E-14</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Classification</w:t>
            </w:r>
          </w:p>
        </w:tc>
        <w:tc>
          <w:tcPr>
            <w:tcW w:type="dxa" w:w="3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2/37 rule mislabeled as Pease limitation; different mechanism</w:t>
            </w:r>
          </w:p>
        </w:tc>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v3</w:t>
            </w:r>
          </w:p>
        </w:tc>
        <w:tc>
          <w:tcPr>
            <w:tcW w:type="dxa" w:w="1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color w:val="1A1A2E"/>
                <w:sz w:val="17"/>
                <w:szCs w:val="17"/>
              </w:rPr>
              <w:t xml:space="preserve">Resolved</w:t>
            </w:r>
          </w:p>
        </w:tc>
      </w:tr>
      <w:tr>
        <w:tc>
          <w:tcPr>
            <w:tcW w:type="dxa" w:w="5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E-15</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Omission</w:t>
            </w:r>
          </w:p>
        </w:tc>
        <w:tc>
          <w:tcPr>
            <w:tcW w:type="dxa" w:w="37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IL EITC rates vary by year (18%/20%/30%/40%); not flat 40%</w:t>
            </w:r>
          </w:p>
        </w:tc>
        <w:tc>
          <w:tcPr>
            <w:tcW w:type="dxa" w:w="140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v1, v2, v3</w:t>
            </w:r>
          </w:p>
        </w:tc>
        <w:tc>
          <w:tcPr>
            <w:tcW w:type="dxa" w:w="1360"/>
            <w:tcBorders>
              <w:top w:val="single" w:color="CCCCCC" w:sz="1"/>
              <w:left w:val="single" w:color="CCCCCC" w:sz="1"/>
              <w:bottom w:val="single" w:color="CCCCCC" w:sz="1"/>
              <w:right w:val="single" w:color="CCCCCC" w:sz="1"/>
            </w:tcBorders>
            <w:shd w:fill="F7F7F7" w:val="clear"/>
            <w:tcMar>
              <w:top w:type="dxa" w:w="70"/>
              <w:left w:type="dxa" w:w="110"/>
              <w:bottom w:type="dxa" w:w="70"/>
              <w:right w:type="dxa" w:w="110"/>
            </w:tcMar>
          </w:tcPr>
          <w:p>
            <w:r>
              <w:rPr>
                <w:rFonts w:ascii="Arial" w:cs="Arial" w:eastAsia="Arial" w:hAnsi="Arial"/>
                <w:color w:val="1A1A2E"/>
                <w:sz w:val="17"/>
                <w:szCs w:val="17"/>
              </w:rPr>
              <w:t xml:space="preserve">Resolved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17A65" w:sz="1"/>
              <w:left w:val="single" w:color="117A65" w:sz="1"/>
              <w:bottom w:val="single" w:color="117A65" w:sz="1"/>
              <w:right w:val="single" w:color="117A65" w:sz="1"/>
            </w:tcBorders>
            <w:shd w:fill="E8F8F5" w:val="clear"/>
            <w:tcMar>
              <w:top w:type="dxa" w:w="120"/>
              <w:left w:type="dxa" w:w="160"/>
              <w:bottom w:type="dxa" w:w="120"/>
              <w:right w:type="dxa" w:w="160"/>
            </w:tcMar>
          </w:tcPr>
          <w:p>
            <w:pPr>
              <w:spacing w:after="60" w:before="0"/>
            </w:pPr>
            <w:r>
              <w:rPr>
                <w:rFonts w:ascii="Arial" w:cs="Arial" w:eastAsia="Arial" w:hAnsi="Arial"/>
                <w:b/>
                <w:bCs/>
                <w:color w:val="4B2D8A"/>
                <w:sz w:val="20"/>
                <w:szCs w:val="20"/>
              </w:rPr>
              <w:t xml:space="preserve">Recommended Next Step: Start with tax_tables.py</w:t>
            </w:r>
          </w:p>
          <w:p>
            <w:pPr>
              <w:spacing w:after="30" w:before="30"/>
            </w:pPr>
            <w:r>
              <w:rPr>
                <w:rFonts w:ascii="Arial" w:cs="Arial" w:eastAsia="Arial" w:hAnsi="Arial"/>
                <w:color w:val="1A1A2E"/>
                <w:sz w:val="19"/>
                <w:szCs w:val="19"/>
              </w:rPr>
              <w:t xml:space="preserve">This module is the mathematical foundation for every other component. Code it first with all year-specific values from Section 5, OBBBA phase-out tables from Section 4, 2026 AMT parameters from Section 3.4, and IL EITC year rates from Section 8.2.</w:t>
            </w:r>
          </w:p>
          <w:p>
            <w:pPr>
              <w:spacing w:after="30" w:before="30"/>
            </w:pPr>
            <w:r>
              <w:rPr>
                <w:rFonts w:ascii="Arial" w:cs="Arial" w:eastAsia="Arial" w:hAnsi="Arial"/>
                <w:color w:val="1A1A2E"/>
                <w:sz w:val="19"/>
                <w:szCs w:val="19"/>
              </w:rPr>
              <w:t xml:space="preserve">Once tax_tables.py passes unit tests for all 2020–2025 (and 2026) parameters, proceed to federal_calculator.py with special attention to the Schedule 1 routing of OBBBA deductions (Line 10, not Line 13b).</w:t>
            </w:r>
          </w:p>
          <w:p>
            <w:pPr>
              <w:spacing w:after="30" w:before="30"/>
            </w:pPr>
            <w:r>
              <w:rPr>
                <w:rFonts w:ascii="Arial" w:cs="Arial" w:eastAsia="Arial" w:hAnsi="Arial"/>
                <w:color w:val="1A1A2E"/>
                <w:sz w:val="19"/>
                <w:szCs w:val="19"/>
              </w:rPr>
              <w:t xml:space="preserve">Run the pilot batch of 20 datasets after Phase 7 (validation.py) is complete. Do not scale to 2,000 until the pilot passes all 15 validation rules and manual QA.</w:t>
            </w:r>
          </w:p>
        </w:tc>
      </w:tr>
    </w:tbl>
    <w:p>
      <w:pPr>
        <w:spacing w:after="0" w:before="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2D8A" w:sz="6" w:space="1"/>
      </w:pBdr>
      <w:tabs>
        <w:tab w:val="right" w:pos="9360"/>
      </w:tabs>
    </w:pPr>
    <w:r>
      <w:rPr>
        <w:rFonts w:ascii="Arial" w:cs="Arial" w:eastAsia="Arial" w:hAnsi="Arial"/>
        <w:color w:val="7C5CBF"/>
        <w:sz w:val="16"/>
        <w:szCs w:val="16"/>
      </w:rPr>
      <w:t xml:space="preserve">Confidential — Tax Architecture Specification</w:t>
    </w:r>
    <w:r>
      <w:rPr>
        <w:rFonts w:ascii="Arial" w:cs="Arial" w:eastAsia="Arial" w:hAnsi="Arial"/>
        <w:color w:val="7C5CBF"/>
        <w:sz w:val="16"/>
        <w:szCs w:val="16"/>
      </w:rPr>
      <w:t xml:space="preserve">	Page </w:t>
    </w:r>
    <w:r>
      <w:rPr>
        <w:rFonts w:ascii="Arial" w:cs="Arial" w:eastAsia="Arial" w:hAnsi="Arial"/>
        <w:color w:val="7C5CBF"/>
        <w:sz w:val="16"/>
        <w:szCs w:val="16"/>
      </w:rPr>
      <w:fldChar w:fldCharType="begin"/>
      <w:instrText xml:space="preserve">PAGE</w:instrText>
      <w:fldChar w:fldCharType="separate"/>
      <w:fldChar w:fldCharType="end"/>
    </w:r>
    <w:r>
      <w:rPr>
        <w:rFonts w:ascii="Arial" w:cs="Arial" w:eastAsia="Arial" w:hAnsi="Arial"/>
        <w:color w:val="7C5CBF"/>
        <w:sz w:val="16"/>
        <w:szCs w:val="16"/>
      </w:rPr>
      <w:t xml:space="preserve"> of </w:t>
    </w:r>
    <w:r>
      <w:rPr>
        <w:rFonts w:ascii="Arial" w:cs="Arial" w:eastAsia="Arial" w:hAnsi="Arial"/>
        <w:color w:val="7C5CB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D8A" w:sz="6" w:space="1"/>
      </w:pBdr>
    </w:pPr>
    <w:r>
      <w:rPr>
        <w:rFonts w:ascii="Arial" w:cs="Arial" w:eastAsia="Arial" w:hAnsi="Arial"/>
        <w:b/>
        <w:bCs/>
        <w:color w:val="4B2D8A"/>
        <w:sz w:val="18"/>
        <w:szCs w:val="18"/>
      </w:rPr>
      <w:t xml:space="preserve">SYNTHETIC TAX DATASET PIPELINE</w:t>
    </w:r>
    <w:r>
      <w:rPr>
        <w:rFonts w:ascii="Arial" w:cs="Arial" w:eastAsia="Arial" w:hAnsi="Arial"/>
        <w:color w:val="7C5CBF"/>
        <w:sz w:val="18"/>
        <w:szCs w:val="18"/>
      </w:rPr>
      <w:t xml:space="preserve">   │   Definitive Corrected Architecture v4.0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4B2D8A"/>
      <w:sz w:val="34"/>
      <w:szCs w:val="34"/>
    </w:rPr>
  </w:style>
  <w:style w:type="paragraph" w:styleId="Heading2">
    <w:name w:val="Heading 2"/>
    <w:basedOn w:val="Normal"/>
    <w:next w:val="Normal"/>
    <w:qFormat/>
    <w:pPr>
      <w:spacing w:after="80" w:before="2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2026-04-02T18:46:22.090Z</dcterms:created>
  <dcterms:modified xsi:type="dcterms:W3CDTF">2026-04-02T18:46:22.090Z</dcterms:modified>
</cp:coreProperties>
</file>

<file path=docProps/custom.xml><?xml version="1.0" encoding="utf-8"?>
<Properties xmlns="http://schemas.openxmlformats.org/officeDocument/2006/custom-properties" xmlns:vt="http://schemas.openxmlformats.org/officeDocument/2006/docPropsVTypes"/>
</file>