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26"/>
          <w:szCs w:val="26"/>
        </w:rPr>
        <w:t xml:space="preserve">Solution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Date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29 September 2026</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Team ID</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6ab9d3ead083b0e2ee74560a</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Project Name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Streamlining IT Procurement: Automating Standard Laptop Orders With Flow Designer</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Maximum Marks</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4 Marks</w:t>
            </w:r>
          </w:p>
        </w:tc>
      </w:tr>
    </w:tbl>
    <w:p>
      <w:pPr>
        <w:keepNext/>
        <w:spacing w:after="80" w:before="240"/>
      </w:pPr>
      <w:r>
        <w:rPr>
          <w:rFonts w:ascii="Times New Roman" w:cs="Times New Roman" w:eastAsia="Times New Roman" w:hAnsi="Times New Roman"/>
          <w:b/>
          <w:bCs/>
          <w:sz w:val="22"/>
          <w:szCs w:val="22"/>
        </w:rPr>
        <w:t xml:space="preserve">Define Functional and Non-Functional Requirements:</w:t>
      </w:r>
    </w:p>
    <w:p>
      <w:pPr>
        <w:spacing w:after="120"/>
      </w:pPr>
      <w:r>
        <w:rPr>
          <w:rFonts w:ascii="Times New Roman" w:cs="Times New Roman" w:eastAsia="Times New Roman" w:hAnsi="Times New Roman"/>
          <w:sz w:val="22"/>
          <w:szCs w:val="22"/>
        </w:rPr>
        <w:t xml:space="preserve">Create a comprehensive list of requirements to define exactly what your solution will do and how well it will perform.</w:t>
      </w:r>
    </w:p>
    <w:p>
      <w:pPr>
        <w:pStyle w:val="ListParagraph"/>
        <w:numPr>
          <w:ilvl w:val="0"/>
          <w:numId w:val="2"/>
        </w:numPr>
        <w:spacing w:after="60"/>
      </w:pPr>
      <w:r>
        <w:rPr>
          <w:rFonts w:ascii="Times New Roman" w:cs="Times New Roman" w:eastAsia="Times New Roman" w:hAnsi="Times New Roman"/>
          <w:b/>
          <w:bCs/>
          <w:sz w:val="22"/>
          <w:szCs w:val="22"/>
        </w:rPr>
        <w:t xml:space="preserve">Functional Requirements (FR)</w:t>
      </w:r>
      <w:r>
        <w:rPr>
          <w:rFonts w:ascii="Times New Roman" w:cs="Times New Roman" w:eastAsia="Times New Roman" w:hAnsi="Times New Roman"/>
          <w:sz w:val="22"/>
          <w:szCs w:val="22"/>
        </w:rPr>
        <w:t xml:space="preserve"> define specific behaviors, functions, or features of the system (What the system should </w:t>
      </w:r>
      <w:r>
        <w:rPr>
          <w:rFonts w:ascii="Times New Roman" w:cs="Times New Roman" w:eastAsia="Times New Roman" w:hAnsi="Times New Roman"/>
          <w:i/>
          <w:iCs/>
          <w:sz w:val="22"/>
          <w:szCs w:val="22"/>
        </w:rPr>
        <w:t xml:space="preserve">do</w:t>
      </w:r>
      <w:r>
        <w:rPr>
          <w:rFonts w:ascii="Times New Roman" w:cs="Times New Roman" w:eastAsia="Times New Roman" w:hAnsi="Times New Roman"/>
          <w:sz w:val="22"/>
          <w:szCs w:val="22"/>
        </w:rPr>
        <w:t xml:space="preserve">).</w:t>
      </w:r>
    </w:p>
    <w:p>
      <w:pPr>
        <w:pStyle w:val="ListParagraph"/>
        <w:numPr>
          <w:ilvl w:val="0"/>
          <w:numId w:val="2"/>
        </w:numPr>
        <w:spacing w:after="120"/>
      </w:pPr>
      <w:r>
        <w:rPr>
          <w:rFonts w:ascii="Times New Roman" w:cs="Times New Roman" w:eastAsia="Times New Roman" w:hAnsi="Times New Roman"/>
          <w:b/>
          <w:bCs/>
          <w:sz w:val="22"/>
          <w:szCs w:val="22"/>
        </w:rPr>
        <w:t xml:space="preserve">Non-Functional Requirements (NFR)</w:t>
      </w:r>
      <w:r>
        <w:rPr>
          <w:rFonts w:ascii="Times New Roman" w:cs="Times New Roman" w:eastAsia="Times New Roman" w:hAnsi="Times New Roman"/>
          <w:sz w:val="22"/>
          <w:szCs w:val="22"/>
        </w:rPr>
        <w:t xml:space="preserve"> specify the criteria that judge the operation of a system, rather than specific behaviors (How the system should </w:t>
      </w:r>
      <w:r>
        <w:rPr>
          <w:rFonts w:ascii="Times New Roman" w:cs="Times New Roman" w:eastAsia="Times New Roman" w:hAnsi="Times New Roman"/>
          <w:i/>
          <w:iCs/>
          <w:sz w:val="22"/>
          <w:szCs w:val="22"/>
        </w:rPr>
        <w:t xml:space="preserve">be</w:t>
      </w:r>
      <w:r>
        <w:rPr>
          <w:rFonts w:ascii="Times New Roman" w:cs="Times New Roman" w:eastAsia="Times New Roman" w:hAnsi="Times New Roman"/>
          <w:sz w:val="22"/>
          <w:szCs w:val="22"/>
        </w:rPr>
        <w:t xml:space="preserve">).</w:t>
      </w:r>
    </w:p>
    <w:p>
      <w:pPr>
        <w:spacing w:after="120"/>
      </w:pPr>
      <w:r>
        <w:rPr>
          <w:rFonts w:ascii="Times New Roman" w:cs="Times New Roman" w:eastAsia="Times New Roman" w:hAnsi="Times New Roman"/>
          <w:sz w:val="22"/>
          <w:szCs w:val="22"/>
        </w:rPr>
        <w:t xml:space="preserve">Fill out the descriptions and necessary details for each category provided below.</w:t>
      </w:r>
    </w:p>
    <w:p>
      <w:pPr>
        <w:keepNext/>
        <w:spacing w:after="80" w:before="240"/>
      </w:pPr>
      <w:r>
        <w:rPr>
          <w:rFonts w:ascii="Times New Roman" w:cs="Times New Roman" w:eastAsia="Times New Roman" w:hAnsi="Times New Roman"/>
          <w:b/>
          <w:bCs/>
          <w:sz w:val="22"/>
          <w:szCs w:val="22"/>
        </w:rPr>
        <w:t xml:space="preserve">Step 1: Functional Requirements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060"/>
        <w:gridCol w:w="1600"/>
      </w:tblGrid>
      <w:tr>
        <w:trPr>
          <w:tblHeader/>
        </w:trPr>
        <w:tc>
          <w:tcPr>
            <w:tcW w:type="dxa" w:w="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S.No</w:t>
            </w:r>
          </w:p>
        </w:tc>
        <w:tc>
          <w:tcPr>
            <w:tcW w:type="dxa" w:w="20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Requirement Category</w:t>
            </w:r>
          </w:p>
        </w:tc>
        <w:tc>
          <w:tcPr>
            <w:tcW w:type="dxa" w:w="506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Requirement Description</w:t>
            </w:r>
          </w:p>
        </w:tc>
        <w:tc>
          <w:tcPr>
            <w:tcW w:type="dxa" w:w="16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Priority (High/ Medium/ Low)</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1</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Authentication</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Users log in to the ServiceNow instance with their own credentials before they can open the Service Catalog. The logged-in user is automatically recorded as the requester ("Requested for" / "Opened by").</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High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Authorization levels</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Requester: any user with Service Catalog access can order the Standard Laptop. Hardware group: members receive and work on the catalog task. Administrator: builds and maintains the catalog item and the Flow Designer flow.</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High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3</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External interfaces</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No third-party system or external API is used. Everything runs on the built-in ServiceNow Service Catalog and Flow Designer (Workflow Studio).</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Low</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4</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Transactions processing</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Ordering the Standard Laptop creates a Request (REQ) and a Requested Item (RITM). The flow "Standard laptop tasks" is triggered from the Service Catalog and runs the Create Catalog Task action, which creates a catalog task (SCTASK) for the requested item.</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High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5</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Reporting</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requester sees an Order Status page with the request number after ordering. The request, requested item and catalog task records can be opened and listed in ServiceNow, and the flow run can be checked in Flow Designer.</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Medium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6</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Business rules, etc.</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catalog item offers one standard laptop model (Lenovo Carbon x1) with optional software (Adobe Acrobat, Adobe Photoshop) and an additional software requirements field. Every order automatically creates a catalog task described as "Laptop need to Configured", assigned to the Hardware group, with Approval set to Approved.</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High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7</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Compliance to laws or regulations</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Request and user data stay inside the organization's ServiceNow instance and are protected by ServiceNow roles and access controls.</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Low</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8</w:t>
            </w:r>
          </w:p>
        </w:tc>
        <w:tc>
          <w:tcPr>
            <w:tcW w:type="dxa" w:w="2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Other</w:t>
            </w:r>
          </w:p>
        </w:tc>
        <w:tc>
          <w:tcPr>
            <w:tcW w:type="dxa" w:w="50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catalog item is linked to the flow through the Process Engine tab, and the flow must be activated for it to run.</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High</w:t>
            </w:r>
          </w:p>
        </w:tc>
      </w:tr>
    </w:tbl>
    <w:p>
      <w:pPr>
        <w:keepNext/>
        <w:spacing w:after="80" w:before="240"/>
      </w:pPr>
      <w:r>
        <w:rPr>
          <w:rFonts w:ascii="Times New Roman" w:cs="Times New Roman" w:eastAsia="Times New Roman" w:hAnsi="Times New Roman"/>
          <w:b/>
          <w:bCs/>
          <w:sz w:val="22"/>
          <w:szCs w:val="22"/>
        </w:rPr>
        <w:t xml:space="preserve">Step 2: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560"/>
        <w:gridCol w:w="3200"/>
      </w:tblGrid>
      <w:tr>
        <w:trPr>
          <w:tblHeader/>
        </w:trPr>
        <w:tc>
          <w:tcPr>
            <w:tcW w:type="dxa" w:w="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S.No</w:t>
            </w:r>
          </w:p>
        </w:tc>
        <w:tc>
          <w:tcPr>
            <w:tcW w:type="dxa" w:w="19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NFR Category</w:t>
            </w:r>
          </w:p>
        </w:tc>
        <w:tc>
          <w:tcPr>
            <w:tcW w:type="dxa" w:w="356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Requirement Description</w:t>
            </w:r>
          </w:p>
        </w:tc>
        <w:tc>
          <w:tcPr>
            <w:tcW w:type="dxa" w:w="32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Target Metric / Acceptance Criteria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1</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Performance &amp; Speed</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After an order is placed, the flow should create the fulfillment task automatically without any manual step.</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Catalog task created within 2 minutes of the order</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Scalability</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Each order runs its own flow instance, so several laptop requests can be placed at the same time without changing the flow.</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Multiple requests handled with one task each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3</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Security &amp; Data Privacy</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Only logged-in users can order, and access to request and task records is controlled by ServiceNow roles.</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Login required; role-based access on all records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4</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Reliability &amp; Availability</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flow runs on the ServiceNow platform, and its executions can be reviewed in Flow Designer if a run fails.</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Every order produces a request, item and task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5</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Usability &amp; Accessibility</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order page is a simple form with clear labels, optional software checkboxes and a confirmation message with the request number.</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Order placed in a few clicks; confirmation shown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6</w:t>
            </w:r>
          </w:p>
        </w:tc>
        <w:tc>
          <w:tcPr>
            <w:tcW w:type="dxa" w:w="1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Other</w:t>
            </w:r>
          </w:p>
        </w:tc>
        <w:tc>
          <w:tcPr>
            <w:tcW w:type="dxa" w:w="35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Maintainability: the flow is built visually in Flow Designer without custom code, so an administrator can change it easily.</w:t>
            </w:r>
          </w:p>
        </w:tc>
        <w:tc>
          <w:tcPr>
            <w:tcW w:type="dxa" w:w="32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No custom scripting needed for the flow</w:t>
            </w:r>
          </w:p>
        </w:tc>
      </w:tr>
    </w:tbl>
    <w:sectPr>
      <w:headerReference w:type="default" r:id="rId7"/>
      <w:pgSz w:w="12240" w:h="15840" w:orient="portrait"/>
      <w:pgMar w:top="720" w:right="1440" w:bottom="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952500" cy="4381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2026-09-29T15:45:31.842Z</dcterms:created>
  <dcterms:modified xsi:type="dcterms:W3CDTF">2026-09-29T15:45:31.842Z</dcterms:modified>
</cp:coreProperties>
</file>

<file path=docProps/custom.xml><?xml version="1.0" encoding="utf-8"?>
<Properties xmlns="http://schemas.openxmlformats.org/officeDocument/2006/custom-properties" xmlns:vt="http://schemas.openxmlformats.org/officeDocument/2006/docPropsVTypes"/>
</file>