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Solution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 September 2026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Team ID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6ab9d3ead083b0e2ee74560a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Project Name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Maximum Marks</w:t>
            </w:r>
          </w:p>
        </w:tc>
        <w:tc>
          <w:tcPr>
            <w:tcW w:type="dxa" w:w="6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Marks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Solution Architecture Diagram: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diagram shows the high-level architecture of the laptop ordering solution across the Presentation Layer, the Service Catalog and Flow Designer layers, and the Data Layer.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9360"/>
            <w:gridSpan w:val="3"/>
            <w:tcBorders>
              <w:top w:val="single" w:color="1FA5C7" w:sz="18"/>
              <w:left w:val="single" w:color="1FA5C7" w:sz="18"/>
              <w:bottom w:val="single" w:color="1FA5C7" w:sz="18"/>
              <w:right w:val="single" w:color="1FA5C7" w:sz="18"/>
            </w:tcBorders>
            <w:shd w:fill="D5EBF3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Presentation / Client 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Web browser: ServiceNow Service Catalog (Hardware &gt; Standard Laptop), Order Status page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E8B000" w:sz="18"/>
              <w:left w:val="single" w:color="E8B000" w:sz="18"/>
              <w:bottom w:val="single" w:color="E8B000" w:sz="18"/>
              <w:right w:val="single" w:color="E8B000" w:sz="18"/>
            </w:tcBorders>
            <w:shd w:fill="FDF1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Service Catalog Engine (Trigger Layer)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Order Now creates the Request (REQ) and Requested Item (RITM) and fires the Service Catalog trigger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Authentication &amp; Roles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ServiceNow user login, roles and access controls</w:t>
            </w:r>
          </w:p>
        </w:tc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Core Logic: Flow Designer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Flow "Standard laptop tasks": Service Catalog trigger, then Create Catalog Task (Hardware group, Approval = Approved)</w:t>
            </w:r>
          </w:p>
        </w:tc>
        <w:tc>
          <w:tcPr>
            <w:tcW w:type="dxa" w:w="3120"/>
            <w:tcBorders>
              <w:top w:val="single" w:color="2E9B57" w:sz="18"/>
              <w:left w:val="single" w:color="2E9B57" w:sz="18"/>
              <w:bottom w:val="single" w:color="2E9B57" w:sz="18"/>
              <w:right w:val="single" w:color="2E9B57" w:sz="18"/>
            </w:tcBorders>
            <w:shd w:fill="DDF0E1" w:color="auto" w:val="clear"/>
            <w:tcMar>
              <w:top w:type="dxa" w:w="120"/>
              <w:left w:type="dxa" w:w="100"/>
              <w:bottom w:type="dxa" w:w="120"/>
              <w:right w:type="dxa" w:w="1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A"/>
                <w:sz w:val="21"/>
                <w:szCs w:val="21"/>
              </w:rPr>
              <w:t xml:space="preserve">External Integrations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7"/>
                <w:szCs w:val="17"/>
              </w:rPr>
              <w:t xml:space="preserve">None. Only built-in ServiceNow modules are used</w:t>
            </w:r>
          </w:p>
        </w:tc>
      </w:tr>
      <w:tr>
        <w:tc>
          <w:tcPr>
            <w:tcW w:type="dxa" w:w="9360"/>
            <w:gridSpan w:val="3"/>
            <w:tcBorders>
              <w:top w:val="none" w:color="FFFFFF" w:sz="0"/>
              <w:left w:val="single" w:color="1FA5C7" w:sz="18"/>
              <w:bottom w:val="none" w:color="FFFFFF" w:sz="0"/>
              <w:right w:val="single" w:color="1FA5C7" w:sz="18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6"/>
                <w:szCs w:val="26"/>
              </w:rPr>
              <w:t xml:space="preserve">↓↑</w:t>
            </w:r>
          </w:p>
        </w:tc>
      </w:tr>
      <w:tr>
        <w:trPr>
          <w:cantSplit/>
        </w:trPr>
        <w:tc>
          <w:tcPr>
            <w:tcW w:type="dxa" w:w="9360"/>
            <w:gridSpan w:val="3"/>
            <w:tcBorders>
              <w:top w:val="single" w:color="D9414F" w:sz="18"/>
              <w:left w:val="single" w:color="D9414F" w:sz="18"/>
              <w:bottom w:val="single" w:color="D9414F" w:sz="18"/>
              <w:right w:val="single" w:color="D9414F" w:sz="18"/>
            </w:tcBorders>
            <w:shd w:fill="F8D7DC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1F4E5F"/>
                <w:sz w:val="22"/>
                <w:szCs w:val="22"/>
              </w:rPr>
              <w:t xml:space="preserve">Data / Storage Layer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18"/>
                <w:szCs w:val="18"/>
              </w:rPr>
              <w:t xml:space="preserve">ServiceNow tables: Catalog Item, Request [sc_request], Requested Item [sc_req_item], Catalog Task [sc_task]</w:t>
            </w:r>
          </w:p>
        </w:tc>
      </w:tr>
    </w:tbl>
    <w:p>
      <w:pPr>
        <w:keepNext/>
        <w:spacing w:after="100" w:before="300"/>
      </w:pPr>
      <w:r>
        <w:rPr>
          <w:rFonts w:ascii="Arial" w:cs="Arial" w:eastAsia="Arial" w:hAnsi="Arial"/>
          <w:b/>
          <w:bCs/>
          <w:color w:val="1F3A4D"/>
          <w:sz w:val="24"/>
          <w:szCs w:val="24"/>
        </w:rPr>
        <w:t xml:space="preserve">Component Description Table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60"/>
        <w:gridCol w:w="3000"/>
      </w:tblGrid>
      <w:tr>
        <w:trPr>
          <w:tblHeader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 Name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 / Role in Architecture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CE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Technologies Used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Presentation Layer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Where the employee browses the Service Catalog, opens the Standard Laptop item, selects optional software and places the order. Shows the order confirmation with the request number.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Service Catalog, web browser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 Catalog Engine (in place of API Gateway)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Receives the order, creates the request and requested item, and fires the Service Catalog trigger that starts the flow.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Service Catalog, catalog item Process Engine link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Designer (in place of Microservices)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Runs the flow "Standard laptop tasks". Its Create Catalog Task action creates a task for the Hardware group with the description "Laptop need to Configured".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Flow Designer / Workflow Studio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Authentication &amp; Roles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Makes sure only logged-in users order laptops and only the Hardware group works the task.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login, roles and ACLs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Database</w:t>
            </w:r>
          </w:p>
        </w:tc>
        <w:tc>
          <w:tcPr>
            <w:tcW w:type="dxa" w:w="40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Stores the catalog item, the request and requested item, and the catalog task with all their links.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ServiceNow tables (sc_cat_item, sc_request, sc_req_item, sc_task)</w:t>
            </w:r>
          </w:p>
        </w:tc>
      </w:tr>
    </w:tbl>
    <w:sectPr>
      <w:headerReference w:type="default" r:id="rId7"/>
      <w:pgSz w:w="12240" w:h="15840" w:orient="portrait"/>
      <w:pgMar w:top="720" w:right="1440" w:bottom="5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  <w:spacing w:after="200"/>
    </w:pPr>
    <w:r>
      <w:drawing>
        <wp:inline distT="0" distB="0" distL="0" distR="0">
          <wp:extent cx="1428750" cy="600075"/>
          <wp:effectExtent t="0" r="0" b="0" l="0"/>
          <wp:docPr id="1" name="sb" descr="SmartBridge 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Times New Roman" w:eastAsia="Times New Roman" w:hAnsi="Times New Roman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SkillWallet 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2026-09-29T15:45:32.310Z</dcterms:created>
  <dcterms:modified xsi:type="dcterms:W3CDTF">2026-09-29T15:45:32.310Z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