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60"/>
        <w:jc w:val="center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Communication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906"/>
      </w:tblGrid>
      <w:tr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</w:rPr>
              <w:t xml:space="preserve">Date</w:t>
            </w:r>
          </w:p>
        </w:tc>
        <w:tc>
          <w:tcPr>
            <w:tcW w:type="dxa" w:w="79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</w:rPr>
              <w:t xml:space="preserve">29 September 2026</w:t>
            </w:r>
          </w:p>
        </w:tc>
      </w:tr>
      <w:tr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</w:rPr>
              <w:t xml:space="preserve">Team ID</w:t>
            </w:r>
          </w:p>
        </w:tc>
        <w:tc>
          <w:tcPr>
            <w:tcW w:type="dxa" w:w="79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</w:rPr>
              <w:t xml:space="preserve">6ab9d3ead083b0e2ee74560a</w:t>
            </w:r>
          </w:p>
        </w:tc>
      </w:tr>
      <w:tr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</w:rPr>
              <w:t xml:space="preserve">Project Name</w:t>
            </w:r>
          </w:p>
        </w:tc>
        <w:tc>
          <w:tcPr>
            <w:tcW w:type="dxa" w:w="79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</w:rPr>
              <w:t xml:space="preserve">Streamlining IT Procurement: Automating Standard Laptop Orders With Flow Designer</w:t>
            </w:r>
          </w:p>
        </w:tc>
      </w:tr>
      <w:tr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</w:rPr>
              <w:t xml:space="preserve">Maximum Marks</w:t>
            </w:r>
          </w:p>
        </w:tc>
        <w:tc>
          <w:tcPr>
            <w:tcW w:type="dxa" w:w="79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</w:rPr>
              <w:t xml:space="preserve">1 Mark</w:t>
            </w:r>
          </w:p>
        </w:tc>
      </w:tr>
    </w:tbl>
    <w:p>
      <w:pPr>
        <w:keepNext/>
        <w:spacing w:after="80" w:before="24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Communication Plan:</w:t>
      </w:r>
    </w:p>
    <w:p>
      <w:pPr>
        <w:spacing w:after="80"/>
        <w:jc w:val="both"/>
      </w:pPr>
      <w:r>
        <w:rPr>
          <w:rFonts w:ascii="Arial" w:cs="Arial" w:eastAsia="Arial" w:hAnsi="Arial"/>
          <w:sz w:val="19"/>
          <w:szCs w:val="19"/>
        </w:rPr>
        <w:t xml:space="preserve">Effective communication is essential for a successful project demonstration. This document outlines the communication strategy used within the team and with stakeholders throughout the project lifecycle, including how updates, issues, and feedback were managed.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1700"/>
        <w:gridCol w:w="1200"/>
        <w:gridCol w:w="1700"/>
        <w:gridCol w:w="1850"/>
        <w:gridCol w:w="2756"/>
      </w:tblGrid>
      <w:tr>
        <w:trPr>
          <w:tblHeader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S.No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Communication Type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Frequency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Channel / Tool</w:t>
            </w:r>
          </w:p>
        </w:tc>
        <w:tc>
          <w:tcPr>
            <w:tcW w:type="dxa" w:w="1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Participants</w:t>
            </w:r>
          </w:p>
        </w:tc>
        <w:tc>
          <w:tcPr>
            <w:tcW w:type="dxa" w:w="27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Purpose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Team Standup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Daily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WhatsApp group</w:t>
            </w:r>
          </w:p>
        </w:tc>
        <w:tc>
          <w:tcPr>
            <w:tcW w:type="dxa" w:w="1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All team members</w:t>
            </w:r>
          </w:p>
        </w:tc>
        <w:tc>
          <w:tcPr>
            <w:tcW w:type="dxa" w:w="27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Share what was done and what is planned for the day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Progress Update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Weekly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Google Meet</w:t>
            </w:r>
          </w:p>
        </w:tc>
        <w:tc>
          <w:tcPr>
            <w:tcW w:type="dxa" w:w="1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All team members</w:t>
            </w:r>
          </w:p>
        </w:tc>
        <w:tc>
          <w:tcPr>
            <w:tcW w:type="dxa" w:w="27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Review completed modules and screenshots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Issue / Bug Discussion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As Needed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WhatsApp group</w:t>
            </w:r>
          </w:p>
        </w:tc>
        <w:tc>
          <w:tcPr>
            <w:tcW w:type="dxa" w:w="1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Affected members</w:t>
            </w:r>
          </w:p>
        </w:tc>
        <w:tc>
          <w:tcPr>
            <w:tcW w:type="dxa" w:w="27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Solve problems in the catalog item, flow or recording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Stakeholder Review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Bi-Weekly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Email / Google Meet</w:t>
            </w:r>
          </w:p>
        </w:tc>
        <w:tc>
          <w:tcPr>
            <w:tcW w:type="dxa" w:w="1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Team and mentor</w:t>
            </w:r>
          </w:p>
        </w:tc>
        <w:tc>
          <w:tcPr>
            <w:tcW w:type="dxa" w:w="27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Get feedback on documents and the working flow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5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Final Demo Rehearsal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Once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Google Meet</w:t>
            </w:r>
          </w:p>
        </w:tc>
        <w:tc>
          <w:tcPr>
            <w:tcW w:type="dxa" w:w="1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All team members</w:t>
            </w:r>
          </w:p>
        </w:tc>
        <w:tc>
          <w:tcPr>
            <w:tcW w:type="dxa" w:w="27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Practise the demo script and timing before recording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6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Document Sharing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As Needed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GitHub repository, Google Drive</w:t>
            </w:r>
          </w:p>
        </w:tc>
        <w:tc>
          <w:tcPr>
            <w:tcW w:type="dxa" w:w="1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All team members</w:t>
            </w:r>
          </w:p>
        </w:tc>
        <w:tc>
          <w:tcPr>
            <w:tcW w:type="dxa" w:w="27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Share the project documents and the demo video link</w:t>
            </w:r>
          </w:p>
        </w:tc>
      </w:tr>
    </w:tbl>
    <w:p>
      <w:pPr>
        <w:keepNext/>
        <w:spacing w:after="80" w:before="24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Communication Challenges &amp; Resolutions: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4453"/>
        <w:gridCol w:w="4853"/>
      </w:tblGrid>
      <w:tr>
        <w:trPr>
          <w:tblHeader/>
        </w:trP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S.No</w:t>
            </w:r>
          </w:p>
        </w:tc>
        <w:tc>
          <w:tcPr>
            <w:tcW w:type="dxa" w:w="445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Challenge Faced</w:t>
            </w:r>
          </w:p>
        </w:tc>
        <w:tc>
          <w:tcPr>
            <w:tcW w:type="dxa" w:w="485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Resolution / Action Taken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445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The microphone was not detected while recording the demo, so no audio was captured.</w:t>
            </w:r>
          </w:p>
        </w:tc>
        <w:tc>
          <w:tcPr>
            <w:tcW w:type="dxa" w:w="485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Windows sound and privacy settings were checked and the microphone was enabled before re-recording.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445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Sharing the admin login with evaluators would give full access to the instance.</w:t>
            </w:r>
          </w:p>
        </w:tc>
        <w:tc>
          <w:tcPr>
            <w:tcW w:type="dxa" w:w="485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 separate demo user was created with only the roles needed to view the solution.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445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Screenshots and documents were spread across members' devices.</w:t>
            </w:r>
          </w:p>
        </w:tc>
        <w:tc>
          <w:tcPr>
            <w:tcW w:type="dxa" w:w="485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Everything was collected in one GitHub repository organized in eight phase folders.</w:t>
            </w:r>
          </w:p>
        </w:tc>
      </w:tr>
    </w:tbl>
    <w:sectPr>
      <w:headerReference w:type="default" r:id="rId7"/>
      <w:pgSz w:w="11906" w:h="16838" w:orient="portrait"/>
      <w:pgMar w:top="800" w:right="1000" w:bottom="6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9906"/>
      </w:tabs>
      <w:spacing w:after="160"/>
    </w:pPr>
    <w:r>
      <w:drawing>
        <wp:inline distT="0" distB="0" distL="0" distR="0">
          <wp:extent cx="1428750" cy="600075"/>
          <wp:effectExtent t="0" r="0" b="0" l="0"/>
          <wp:docPr id="1" name="sb" descr="logo" title="SmartBridg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28750" cy="60007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Arial" w:cs="Arial" w:eastAsia="Arial" w:hAnsi="Arial"/>
      </w:rPr>
      <w:t xml:space="preserve">	</w:t>
    </w:r>
    <w:r>
      <w:drawing>
        <wp:inline distT="0" distB="0" distL="0" distR="0">
          <wp:extent cx="952500" cy="438150"/>
          <wp:effectExtent t="0" r="0" b="0" l="0"/>
          <wp:docPr id="1" name="sw" descr="logo" title="SkillWallet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1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52500" cy="4381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00" w:hanging="22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8570757ec5aa961845f4b744d1610e1d6ea3f6e6.png"/><Relationship Id="rId1" Type="http://schemas.openxmlformats.org/officeDocument/2006/relationships/image" Target="media/be523efd22f1c7519b3e64eac979edd9e4447095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2026-09-29T16:11:18.801Z</dcterms:created>
  <dcterms:modified xsi:type="dcterms:W3CDTF">2026-09-29T16:11:18.801Z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