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Empathy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Empathy Map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empathy map shows how an employee who needs a standard laptop (Arjun) experiences the current ordering process: what he says, thinks, does and feels. It helps the team design an ordering flow that gives a quick confirmation, a clear request number and automatic task creation for the Hardware team.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360"/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12"/>
            </w:tcBorders>
            <w:shd w:fill="D9E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SAYS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“I ordered my laptop last week. Where is my request?”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“Why does a standard laptop need so many approvals?”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“I just need a working laptop to start my project.”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THINKS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“Will my request get lost in email threads?”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“Someone should be able to tell me the status.”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“This should be automatic for a standard model.”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ARJUN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8"/>
                <w:szCs w:val="18"/>
              </w:rPr>
              <w:t xml:space="preserve">(Employee requesting a standard laptop)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12"/>
            </w:tcBorders>
            <w:shd w:fill="F0E6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DOES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Raises a laptop request through the Service Catalog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Follows up with the manager and IT desk by email or chat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Waits and checks the ticket repeatedly for updates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6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Frustrated by delays and repeated follow-ups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Anxious about not being able to start 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Relieved when the request is approved quickly</w:t>
            </w:r>
          </w:p>
        </w:tc>
      </w:tr>
    </w:tbl>
    <w:sectPr>
      <w:headerReference w:type="default" r:id="rId7"/>
      <w:pgSz w:w="12240" w:h="15840" w:orient="portrait"/>
      <w:pgMar w:top="72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2026-10-01T03:57:57.581Z</dcterms:created>
  <dcterms:modified xsi:type="dcterms:W3CDTF">2026-10-01T03:57:57.581Z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