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26"/>
          <w:szCs w:val="26"/>
        </w:rPr>
        <w:t xml:space="preserve">Solution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Date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29 September 2026</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Team ID</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SWTID-2026-1410</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Project Name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Streamlining IT Procurement: Automating Standard Laptop Orders With Flow Designer</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Maximum Marks</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4 Marks</w:t>
            </w:r>
          </w:p>
        </w:tc>
      </w:tr>
    </w:tbl>
    <w:p>
      <w:pPr>
        <w:keepNext/>
        <w:spacing w:after="80" w:before="240"/>
      </w:pPr>
      <w:r>
        <w:rPr>
          <w:rFonts w:ascii="Times New Roman" w:cs="Times New Roman" w:eastAsia="Times New Roman" w:hAnsi="Times New Roman"/>
          <w:b/>
          <w:bCs/>
          <w:sz w:val="22"/>
          <w:szCs w:val="22"/>
        </w:rPr>
        <w:t xml:space="preserve">Define Functional and Non-Functional Requirements:</w:t>
      </w:r>
    </w:p>
    <w:p>
      <w:pPr>
        <w:spacing w:after="120"/>
      </w:pPr>
      <w:r>
        <w:rPr>
          <w:rFonts w:ascii="Times New Roman" w:cs="Times New Roman" w:eastAsia="Times New Roman" w:hAnsi="Times New Roman"/>
          <w:sz w:val="22"/>
          <w:szCs w:val="22"/>
        </w:rPr>
        <w:t xml:space="preserve">These requirements describe what the laptop ordering solution must do and how well it must work. Functional requirements cover ordering the Standard Laptop, running the flow and creating the catalog task. Non-functional requirements cover usability, security, performance and ease of maintenance of the ServiceNow build.</w:t>
      </w:r>
    </w:p>
    <w:p>
      <w:pPr>
        <w:pStyle w:val="ListParagraph"/>
        <w:numPr>
          <w:ilvl w:val="0"/>
          <w:numId w:val="2"/>
        </w:numPr>
        <w:spacing w:after="60"/>
      </w:pPr>
      <w:r>
        <w:rPr>
          <w:rFonts w:ascii="Times New Roman" w:cs="Times New Roman" w:eastAsia="Times New Roman" w:hAnsi="Times New Roman"/>
          <w:b/>
          <w:bCs/>
          <w:sz w:val="22"/>
          <w:szCs w:val="22"/>
        </w:rPr>
        <w:t xml:space="preserve">Functional Requirements (FR)</w:t>
      </w:r>
      <w:r>
        <w:rPr>
          <w:rFonts w:ascii="Times New Roman" w:cs="Times New Roman" w:eastAsia="Times New Roman" w:hAnsi="Times New Roman"/>
          <w:sz w:val="22"/>
          <w:szCs w:val="22"/>
        </w:rPr>
        <w:t xml:space="preserve"> are the actions the solution performs for the user, such as ordering a laptop and creating the catalog task.</w:t>
      </w:r>
    </w:p>
    <w:p>
      <w:pPr>
        <w:pStyle w:val="ListParagraph"/>
        <w:numPr>
          <w:ilvl w:val="0"/>
          <w:numId w:val="2"/>
        </w:numPr>
        <w:spacing w:after="120"/>
      </w:pPr>
      <w:r>
        <w:rPr>
          <w:rFonts w:ascii="Times New Roman" w:cs="Times New Roman" w:eastAsia="Times New Roman" w:hAnsi="Times New Roman"/>
          <w:b/>
          <w:bCs/>
          <w:sz w:val="22"/>
          <w:szCs w:val="22"/>
        </w:rPr>
        <w:t xml:space="preserve">Non-Functional Requirements (NFR)</w:t>
      </w:r>
      <w:r>
        <w:rPr>
          <w:rFonts w:ascii="Times New Roman" w:cs="Times New Roman" w:eastAsia="Times New Roman" w:hAnsi="Times New Roman"/>
          <w:sz w:val="22"/>
          <w:szCs w:val="22"/>
        </w:rPr>
        <w:t xml:space="preserve"> describe the quality of the solution, such as ease of use, security, speed and ease of maintenance.</w:t>
      </w:r>
    </w:p>
    <w:p>
      <w:pPr>
        <w:keepNext/>
        <w:spacing w:after="80" w:before="240"/>
      </w:pPr>
      <w:r>
        <w:rPr>
          <w:rFonts w:ascii="Times New Roman" w:cs="Times New Roman" w:eastAsia="Times New Roman" w:hAnsi="Times New Roman"/>
          <w:b/>
          <w:bCs/>
          <w:sz w:val="22"/>
          <w:szCs w:val="22"/>
        </w:rPr>
        <w:t xml:space="preserve">Step 1: Functional Requirements (FR)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5060"/>
        <w:gridCol w:w="1600"/>
      </w:tblGrid>
      <w:tr>
        <w:trPr>
          <w:tblHeader/>
        </w:trPr>
        <w:tc>
          <w:tcPr>
            <w:tcW w:type="dxa" w:w="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S.No</w:t>
            </w:r>
          </w:p>
        </w:tc>
        <w:tc>
          <w:tcPr>
            <w:tcW w:type="dxa" w:w="20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Requirement Category</w:t>
            </w:r>
          </w:p>
        </w:tc>
        <w:tc>
          <w:tcPr>
            <w:tcW w:type="dxa" w:w="506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Requirement Description</w:t>
            </w:r>
          </w:p>
        </w:tc>
        <w:tc>
          <w:tcPr>
            <w:tcW w:type="dxa" w:w="16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Priority (High/ Medium/ Low)</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1</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Authentication</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Users log in to the ServiceNow instance with their own credentials before they can open the Service Catalog. The logged-in user is automatically recorded as the requester ("Requested for" / "Opened by").</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Authorization levels</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Requester: any user with Service Catalog access can order the Standard Laptop. Hardware group: members receive and work on the catalog task. Administrator: builds and maintains the catalog item and the Flow Designer flow.</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3</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External interfaces</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No third-party system or external API is used. Everything runs on the built-in ServiceNow Service Catalog and Flow Designer (Workflow Studio).</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Low</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4</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Transactions processing</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Ordering the Standard Laptop creates a Request (REQ) and a Requested Item (RITM). The flow "Standard laptop tasks" is triggered from the Service Catalog and runs the Create Catalog Task action, which creates a catalog task (SCTASK) for the requested item.</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5</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Reporting</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requester sees an Order Status page with the request number after ordering. The request, requested item and catalog task records can be opened and listed in ServiceNow, and the flow run can be checked in Flow Designer.</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Medium</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6</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Business rules, etc.</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catalog item offers one standard laptop model (Lenovo Carbon x1) with optional software (Adobe Acrobat, Adobe Photoshop) and an additional software requirements field. Every order automatically creates a catalog task described as "Laptop need to Configured", assigned to the Hardware group, with Approval set to Approved.</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7</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Compliance to laws or regulations</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Request and user data stay inside the organization's ServiceNow instance and are protected by ServiceNow roles and access controls.</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Low</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8</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Other</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catalog item is linked to the flow through the Process Engine tab, and the flow must be activated for it to run.</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bl>
    <w:p>
      <w:pPr>
        <w:keepNext/>
        <w:spacing w:after="80" w:before="240"/>
      </w:pPr>
      <w:r>
        <w:rPr>
          <w:rFonts w:ascii="Times New Roman" w:cs="Times New Roman" w:eastAsia="Times New Roman" w:hAnsi="Times New Roman"/>
          <w:b/>
          <w:bCs/>
          <w:sz w:val="22"/>
          <w:szCs w:val="22"/>
        </w:rPr>
        <w:t xml:space="preserve">Step 2: Non-Functional Requirements (NFR)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3560"/>
        <w:gridCol w:w="3200"/>
      </w:tblGrid>
      <w:tr>
        <w:trPr>
          <w:tblHeader/>
        </w:trPr>
        <w:tc>
          <w:tcPr>
            <w:tcW w:type="dxa" w:w="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S.No</w:t>
            </w:r>
          </w:p>
        </w:tc>
        <w:tc>
          <w:tcPr>
            <w:tcW w:type="dxa" w:w="19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NFR Category</w:t>
            </w:r>
          </w:p>
        </w:tc>
        <w:tc>
          <w:tcPr>
            <w:tcW w:type="dxa" w:w="356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Requirement Description</w:t>
            </w:r>
          </w:p>
        </w:tc>
        <w:tc>
          <w:tcPr>
            <w:tcW w:type="dxa" w:w="32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Target Metric / Acceptance Criteria</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1</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Performance &amp; Speed</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After an order is placed, the flow should create the fulfillment task automatically without any manual step.</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Catalog task created within 2 minutes of the order</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Scalability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Each order runs its own flow instance, so several laptop requests can be placed at the same time without changing the flow.</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Multiple requests handled with one task each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3</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Security &amp; Data Privacy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Only logged-in users can order, and access to request and task records is controlled by ServiceNow roles.</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Login required; role-based access on all records</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4</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Reliability &amp; Availability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flow runs on the ServiceNow platform, and its executions can be reviewed in Flow Designer if a run fails.</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Every order produces a request, item and task</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5</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Usability &amp; Accessibility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order page is a simple form with clear labels, optional software checkboxes and a confirmation message with the request number.</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Order placed in a few clicks; confirmation shown</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6</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Other</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Maintainability: the flow is built visually in Flow Designer without custom code, so an administrator can change it easily.</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No custom scripting needed for the flow</w:t>
            </w:r>
          </w:p>
        </w:tc>
      </w:tr>
    </w:tbl>
    <w:sectPr>
      <w:headerReference w:type="default" r:id="rId7"/>
      <w:pgSz w:w="12240" w:h="15840" w:orient="portrait"/>
      <w:pgMar w:top="720" w:right="1440" w:bottom="5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0"/>
    </w:pPr>
    <w:r>
      <w:drawing>
        <wp:inline distT="0" distB="0" distL="0" distR="0">
          <wp:extent cx="1428750" cy="600075"/>
          <wp:effectExtent t="0" r="0" b="0" l="0"/>
          <wp:docPr id="1" name="sb" descr="SmartBridge 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952500" cy="438150"/>
          <wp:effectExtent t="0" r="0" b="0" l="0"/>
          <wp:docPr id="1" name="sw" descr="SkillWallet 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2026-10-01T03:57:57.838Z</dcterms:created>
  <dcterms:modified xsi:type="dcterms:W3CDTF">2026-10-01T03:57:57.838Z</dcterms:modified>
</cp:coreProperties>
</file>

<file path=docProps/custom.xml><?xml version="1.0" encoding="utf-8"?>
<Properties xmlns="http://schemas.openxmlformats.org/officeDocument/2006/custom-properties" xmlns:vt="http://schemas.openxmlformats.org/officeDocument/2006/docPropsVTypes"/>
</file>