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Demonstration of Proposed Features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906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Date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29 September 2026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Team ID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SWTID-2026-1410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Project Name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Streamlining IT Procurement: Automating Standard Laptop Orders With Flow Designer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Maximum Marks</w:t>
            </w:r>
          </w:p>
        </w:tc>
        <w:tc>
          <w:tcPr>
            <w:tcW w:type="dxa" w:w="7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</w:rPr>
              <w:t xml:space="preserve">1 Mark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Demonstration of Proposed Features:</w:t>
      </w:r>
    </w:p>
    <w:p>
      <w:pPr>
        <w:spacing w:after="80"/>
        <w:jc w:val="both"/>
      </w:pPr>
      <w:r>
        <w:rPr>
          <w:rFonts w:ascii="Arial" w:cs="Arial" w:eastAsia="Arial" w:hAnsi="Arial"/>
          <w:sz w:val="19"/>
          <w:szCs w:val="19"/>
        </w:rPr>
        <w:t xml:space="preserve">This document lists the eight features planned for the laptop ordering solution and shows whether each was implemented and shown in the demo video. Seven are implemented and demonstrated; task closure is partial.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650"/>
        <w:gridCol w:w="1500"/>
        <w:gridCol w:w="1350"/>
        <w:gridCol w:w="1906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 (Implemented / Partial / Pending)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Demonstrated (Yes / No)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Standard Laptop Catalog Item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Lenovo Carbon x1 laptop in the Service Catalog under Hardware ($1,100)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in the catalog and in Maintain Items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 Software Options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Adobe Acrobat and Adobe Photoshop check boxes and additional requirements field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on the item page and Variables tab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Placement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Now creates a request and shows the request number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order placed in the demo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Trigger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starts from the Service Catalog trigger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in Flow Designer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Automatic Catalog Task Creation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Catalog Task action for the Hardware group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created automatically after the order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Linked to Catalog Item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 set on the Process Engine tab and activated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Shown on the item and flow status Active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Tracking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Request, requested item and catalog task linked and viewable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Implemented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and catalog task opened in the demo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Fulfillment &amp; Closure</w:t>
            </w:r>
          </w:p>
        </w:tc>
        <w:tc>
          <w:tcPr>
            <w:tcW w:type="dxa" w:w="2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Hardware team works and closes the task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  <w:tc>
          <w:tcPr>
            <w:tcW w:type="dxa" w:w="1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  <w:tc>
          <w:tcPr>
            <w:tcW w:type="dxa" w:w="1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closure not shown; planned as next step</w:t>
            </w:r>
          </w:p>
        </w:tc>
      </w:tr>
    </w:tbl>
    <w:p>
      <w:pPr>
        <w:keepNext/>
        <w:spacing w:after="80" w:before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Feature Implementation Summary: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6"/>
      </w:tblGrid>
      <w:tr>
        <w:trPr>
          <w:tblHeader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Features Proposed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Features Implemented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 (feature 8 partial)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Features Demonstrated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Implementation Rate (%)</w:t>
            </w:r>
          </w:p>
        </w:tc>
        <w:tc>
          <w:tcPr>
            <w:tcW w:type="dxa" w:w="5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87.5% (7 of 8 features)</w:t>
            </w:r>
          </w:p>
        </w:tc>
      </w:tr>
    </w:tbl>
    <w:sectPr>
      <w:headerReference w:type="default" r:id="rId7"/>
      <w:pgSz w:w="11906" w:h="16838" w:orient="portrait"/>
      <w:pgMar w:top="800" w:right="1000" w:bottom="6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160"/>
    </w:pPr>
    <w:r>
      <w:drawing>
        <wp:inline distT="0" distB="0" distL="0" distR="0">
          <wp:extent cx="1428750" cy="600075"/>
          <wp:effectExtent t="0" r="0" b="0" l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</w:rPr>
      <w:t xml:space="preserve">	</w:t>
    </w:r>
    <w:r>
      <w:drawing>
        <wp:inline distT="0" distB="0" distL="0" distR="0">
          <wp:extent cx="952500" cy="438150"/>
          <wp:effectExtent t="0" r="0" b="0" l="0"/>
          <wp:docPr id="1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570757ec5aa961845f4b744d1610e1d6ea3f6e6.png"/><Relationship Id="rId1" Type="http://schemas.openxmlformats.org/officeDocument/2006/relationships/image" Target="media/be523efd22f1c7519b3e64eac979edd9e444709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2026-10-01T03:58:00.488Z</dcterms:created>
  <dcterms:modified xsi:type="dcterms:W3CDTF">2026-10-01T03:58:00.488Z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