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Data Flow Diagram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 September 2026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Team 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SWTID-2026-1410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Project Name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Streamlining IT Procurement: Automating Standard Laptop Orders With Flow Designer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Maximum Marks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Marks</w:t>
            </w:r>
          </w:p>
        </w:tc>
      </w:tr>
    </w:tbl>
    <w:p>
      <w:pPr>
        <w:keepNext/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Data Flow Diagram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Create a Data Flow Diagram (DFD) to show how data moves through your system - between external entities, processes, and data stores. Use the symbol legend below as a guide.</w:t>
      </w:r>
    </w:p>
    <w:p>
      <w:pPr>
        <w:keepNext/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DFD Symbol Legend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700"/>
        <w:gridCol w:w="5460"/>
      </w:tblGrid>
      <w:tr>
        <w:trPr>
          <w:tblHeader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6E6F2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Symbol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6E6F2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Name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6E6F2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Oval / Rounded shape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External Entity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 person, organization, or system outside the project that sends or receives data (e.g., Customer, Payment Gateway).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Rectangle with numbered header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Process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An activity that transforms incoming data into outgoing data (e.g., Validate Request, Process Order).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Rectangle (solid fill, no number)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Data Store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 place where data is held for later use (e.g., Customer Database, Inventory).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Labeled arrow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Data Flow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The movement of data between entities, processes, and data stores, labeled with what data is being passed.</w:t>
            </w:r>
          </w:p>
        </w:tc>
      </w:tr>
    </w:tbl>
    <w:p>
      <w:pPr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Data Flow Diagram: Automating Standard Laptop Orders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diagram below shows how data moves between the employee, the Hardware team, the three processes and the two data stores of the laptop ordering system.</w:t>
      </w:r>
    </w:p>
    <w:p>
      <w:pPr>
        <w:spacing w:after="160"/>
        <w:jc w:val="center"/>
      </w:pPr>
      <w:r>
        <w:drawing>
          <wp:inline distT="0" distB="0" distL="0" distR="0">
            <wp:extent cx="5943600" cy="2924175"/>
            <wp:effectExtent t="0" r="0" b="0" l="0"/>
            <wp:docPr id="1" name="dfd" descr="Data flow diagram of laptop ordering" title="DF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Process Description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00"/>
        <w:gridCol w:w="6460"/>
      </w:tblGrid>
      <w:tr>
        <w:trPr>
          <w:tblHeader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No.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Process</w:t>
            </w:r>
          </w:p>
        </w:tc>
        <w:tc>
          <w:tcPr>
            <w:tcW w:type="dxa" w:w="6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Request Submission</w:t>
            </w:r>
          </w:p>
        </w:tc>
        <w:tc>
          <w:tcPr>
            <w:tcW w:type="dxa" w:w="6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The employee opens the Service Catalog, selects Standard Laptop and clicks Order Now. A request (REQ) and requested item (RITM) are created and the request number is shown.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Flow Designer Flow</w:t>
            </w:r>
          </w:p>
        </w:tc>
        <w:tc>
          <w:tcPr>
            <w:tcW w:type="dxa" w:w="6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The flow "Standard laptop tasks" is triggered by the Service Catalog and runs the Create Catalog Task action for the requested item.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Task Fulfillment</w:t>
            </w:r>
          </w:p>
        </w:tc>
        <w:tc>
          <w:tcPr>
            <w:tcW w:type="dxa" w:w="6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The catalog task (SCTASK, assigned to the Hardware group) is worked by the Hardware team. When the laptop is configured the task is closed and the request status is updated.</w:t>
            </w:r>
          </w:p>
        </w:tc>
      </w:tr>
    </w:tbl>
    <w:sectPr>
      <w:headerReference w:type="default" r:id="rId7"/>
      <w:pgSz w:w="12240" w:h="15840" w:orient="portrait"/>
      <w:pgMar w:top="720" w:right="1440" w:bottom="5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  <w:spacing w:after="200"/>
    </w:pPr>
    <w:r>
      <w:drawing>
        <wp:inline distT="0" distB="0" distL="0" distR="0">
          <wp:extent cx="1428750" cy="600075"/>
          <wp:effectExtent t="0" r="0" b="0" l="0"/>
          <wp:docPr id="1" name="sb" descr="SmartBridge logo" title="SmartBrid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8750" cy="600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Times New Roman" w:cs="Times New Roman" w:eastAsia="Times New Roman" w:hAnsi="Times New Roman"/>
      </w:rPr>
      <w:t xml:space="preserve">	</w:t>
    </w:r>
    <w:r>
      <w:drawing>
        <wp:inline distT="0" distB="0" distL="0" distR="0">
          <wp:extent cx="952500" cy="438150"/>
          <wp:effectExtent t="0" r="0" b="0" l="0"/>
          <wp:docPr id="1" name="sw" descr="SkillWallet logo" title="SkillWalle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381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image" Target="media/975e8b9cf20352383abeb9501ec934ba2f46f15d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570757ec5aa961845f4b744d1610e1d6ea3f6e6.png"/><Relationship Id="rId1" Type="http://schemas.openxmlformats.org/officeDocument/2006/relationships/image" Target="media/be523efd22f1c7519b3e64eac979edd9e444709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2026-09-30T12:31:55.237Z</dcterms:created>
  <dcterms:modified xsi:type="dcterms:W3CDTF">2026-09-30T12:31:55.237Z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