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 September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[Enter Team ID]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Marks</w:t>
            </w:r>
          </w:p>
        </w:tc>
      </w:tr>
    </w:tbl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Flow Diagram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Create a Data Flow Diagram (DFD) to show how data moves through your system - between external entities, processes, and data stores. Use the symbol legend below as a guide.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Symbol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6E6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Oval / Rounded shape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External Entity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person, organization, or system outside the project that sends or receives data (e.g., Customer, Payment Gateway).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Rectangle with numbered header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Process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 activity that transforms incoming data into outgoing data (e.g., Validate Request, Process Order).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Rectangle (solid fill, no number)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Store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place where data is held for later use (e.g., Customer Database, Inventory).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Labeled arrow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Flow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movement of data between entities, processes, and data stores, labeled with what data is being passed.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Flow Diagram: Automating Standard Laptop Orders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diagram below shows how data moves between the employee, the Hardware team, the three processes and the two data stores of the laptop ordering system.</w:t>
      </w:r>
    </w:p>
    <w:p>
      <w:pPr>
        <w:spacing w:after="16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dfd" descr="Data flow diagram of laptop ordering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Process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Process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Request Submission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employee opens the Service Catalog, selects Standard Laptop and clicks Order Now. A request (REQ) and requested item (RITM) are created and the request number is shown.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Flow Designer Flow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flow "Standard laptop tasks" is triggered by the Service Catalog and runs the Create Catalog Task action for the requested item.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Task Fulfillment</w:t>
            </w:r>
          </w:p>
        </w:tc>
        <w:tc>
          <w:tcPr>
            <w:tcW w:type="dxa" w:w="6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 catalog task (SCTASK, assigned to the Hardware group) is worked by the Hardware team. When the laptop is configured the task is closed and the request status is updated.</w:t>
            </w:r>
          </w:p>
        </w:tc>
      </w:tr>
    </w:tbl>
    <w:sectPr>
      <w:headerReference w:type="default" r:id="rId7"/>
      <w:pgSz w:w="12240" w:h="15840" w:orient="portrait"/>
      <w:pgMar w:top="720" w:right="1440" w:bottom="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200"/>
    </w:pPr>
    <w:r>
      <w:drawing>
        <wp:inline distT="0" distB="0" distL="0" distR="0">
          <wp:extent cx="1428750" cy="600075"/>
          <wp:effectExtent t="0" r="0" b="0" l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975e8b9cf20352383abeb9501ec934ba2f46f15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2026-09-29T13:40:06.979Z</dcterms:created>
  <dcterms:modified xsi:type="dcterms:W3CDTF">2026-09-29T13:40:06.979Z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