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jc w:val="center"/>
      </w:pPr>
      <w:r>
        <w:rPr>
          <w:rFonts w:ascii="Times New Roman" w:cs="Times New Roman" w:eastAsia="Times New Roman" w:hAnsi="Times New Roman"/>
          <w:sz w:val="40"/>
          <w:szCs w:val="40"/>
        </w:rPr>
        <w:t xml:space="preserve">PS Laser: A Multi-Stack Web Platform for Instant Cost Estimation, Enquiry Handling and Order Tracking in a Laser-Cutting Job Shop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c>
          <w:tcPr>
            <w:tcW w:type="dxa" w:w="3360"/>
            <w:tcBorders>
              <w:top w:val="none" w:color="FFFFFF" w:sz="0"/>
              <w:left w:val="none" w:color="FFFFFF" w:sz="0"/>
              <w:bottom w:val="none" w:color="FFFFFF" w:sz="0"/>
              <w:right w:val="none" w:color="FFFFFF" w:sz="0"/>
            </w:tcBorders>
          </w:tcPr>
          <w:p>
            <w:pPr>
              <w:spacing w:after="0"/>
              <w:jc w:val="center"/>
            </w:pPr>
            <w:r>
              <w:rPr>
                <w:rFonts w:ascii="Times New Roman" w:cs="Times New Roman" w:eastAsia="Times New Roman" w:hAnsi="Times New Roman"/>
                <w:sz w:val="22"/>
                <w:szCs w:val="22"/>
              </w:rPr>
              <w:t xml:space="preserve">Rahul Diwate</w:t>
            </w:r>
          </w:p>
          <w:p>
            <w:pPr>
              <w:spacing w:after="0"/>
              <w:jc w:val="center"/>
            </w:pPr>
            <w:r>
              <w:rPr>
                <w:rFonts w:ascii="Times New Roman" w:cs="Times New Roman" w:eastAsia="Times New Roman" w:hAnsi="Times New Roman"/>
                <w:i/>
                <w:iCs/>
                <w:sz w:val="18"/>
                <w:szCs w:val="18"/>
              </w:rPr>
              <w:t xml:space="preserve">Dept. of Computer Engineering</w:t>
            </w:r>
          </w:p>
          <w:p>
            <w:pPr>
              <w:spacing w:after="0"/>
              <w:jc w:val="center"/>
            </w:pPr>
            <w:r>
              <w:rPr>
                <w:rFonts w:ascii="Times New Roman" w:cs="Times New Roman" w:eastAsia="Times New Roman" w:hAnsi="Times New Roman"/>
                <w:i/>
                <w:iCs/>
                <w:sz w:val="18"/>
                <w:szCs w:val="18"/>
              </w:rPr>
              <w:t xml:space="preserve">Vishwakarma Institute of Technology</w:t>
            </w:r>
          </w:p>
          <w:p>
            <w:pPr>
              <w:spacing w:after="0"/>
              <w:jc w:val="center"/>
            </w:pPr>
            <w:r>
              <w:rPr>
                <w:rFonts w:ascii="Times New Roman" w:cs="Times New Roman" w:eastAsia="Times New Roman" w:hAnsi="Times New Roman"/>
                <w:i/>
                <w:iCs/>
                <w:sz w:val="18"/>
                <w:szCs w:val="18"/>
              </w:rPr>
              <w:t xml:space="preserve">Pune-411037, Maharashtra, India</w:t>
            </w:r>
          </w:p>
          <w:p>
            <w:pPr>
              <w:spacing w:after="120"/>
              <w:jc w:val="center"/>
            </w:pPr>
            <w:r>
              <w:rPr>
                <w:rFonts w:ascii="Times New Roman" w:cs="Times New Roman" w:eastAsia="Times New Roman" w:hAnsi="Times New Roman"/>
                <w:sz w:val="18"/>
                <w:szCs w:val="18"/>
              </w:rPr>
              <w:t xml:space="preserve">rahul.diwate2@vit.edu</w:t>
            </w:r>
          </w:p>
        </w:tc>
        <w:tc>
          <w:tcPr>
            <w:tcW w:type="dxa" w:w="3360"/>
            <w:tcBorders>
              <w:top w:val="none" w:color="FFFFFF" w:sz="0"/>
              <w:left w:val="none" w:color="FFFFFF" w:sz="0"/>
              <w:bottom w:val="none" w:color="FFFFFF" w:sz="0"/>
              <w:right w:val="none" w:color="FFFFFF" w:sz="0"/>
            </w:tcBorders>
          </w:tcPr>
          <w:p>
            <w:pPr>
              <w:spacing w:after="0"/>
              <w:jc w:val="center"/>
            </w:pPr>
            <w:r>
              <w:rPr>
                <w:rFonts w:ascii="Times New Roman" w:cs="Times New Roman" w:eastAsia="Times New Roman" w:hAnsi="Times New Roman"/>
                <w:sz w:val="22"/>
                <w:szCs w:val="22"/>
              </w:rPr>
              <w:t xml:space="preserve">Rivan Shetty</w:t>
            </w:r>
          </w:p>
          <w:p>
            <w:pPr>
              <w:spacing w:after="0"/>
              <w:jc w:val="center"/>
            </w:pPr>
            <w:r>
              <w:rPr>
                <w:rFonts w:ascii="Times New Roman" w:cs="Times New Roman" w:eastAsia="Times New Roman" w:hAnsi="Times New Roman"/>
                <w:i/>
                <w:iCs/>
                <w:sz w:val="18"/>
                <w:szCs w:val="18"/>
              </w:rPr>
              <w:t xml:space="preserve">Dept. of Computer Engineering</w:t>
            </w:r>
          </w:p>
          <w:p>
            <w:pPr>
              <w:spacing w:after="0"/>
              <w:jc w:val="center"/>
            </w:pPr>
            <w:r>
              <w:rPr>
                <w:rFonts w:ascii="Times New Roman" w:cs="Times New Roman" w:eastAsia="Times New Roman" w:hAnsi="Times New Roman"/>
                <w:i/>
                <w:iCs/>
                <w:sz w:val="18"/>
                <w:szCs w:val="18"/>
              </w:rPr>
              <w:t xml:space="preserve">Vishwakarma Institute of Technology</w:t>
            </w:r>
          </w:p>
          <w:p>
            <w:pPr>
              <w:spacing w:after="0"/>
              <w:jc w:val="center"/>
            </w:pPr>
            <w:r>
              <w:rPr>
                <w:rFonts w:ascii="Times New Roman" w:cs="Times New Roman" w:eastAsia="Times New Roman" w:hAnsi="Times New Roman"/>
                <w:i/>
                <w:iCs/>
                <w:sz w:val="18"/>
                <w:szCs w:val="18"/>
              </w:rPr>
              <w:t xml:space="preserve">Pune-411037, Maharashtra, India</w:t>
            </w:r>
          </w:p>
          <w:p>
            <w:pPr>
              <w:spacing w:after="120"/>
              <w:jc w:val="center"/>
            </w:pPr>
            <w:r>
              <w:rPr>
                <w:rFonts w:ascii="Times New Roman" w:cs="Times New Roman" w:eastAsia="Times New Roman" w:hAnsi="Times New Roman"/>
                <w:sz w:val="18"/>
                <w:szCs w:val="18"/>
              </w:rPr>
              <w:t xml:space="preserve">rivan.shetty24@vit.edu</w:t>
            </w:r>
          </w:p>
        </w:tc>
        <w:tc>
          <w:tcPr>
            <w:tcW w:type="dxa" w:w="3360"/>
            <w:tcBorders>
              <w:top w:val="none" w:color="FFFFFF" w:sz="0"/>
              <w:left w:val="none" w:color="FFFFFF" w:sz="0"/>
              <w:bottom w:val="none" w:color="FFFFFF" w:sz="0"/>
              <w:right w:val="none" w:color="FFFFFF" w:sz="0"/>
            </w:tcBorders>
          </w:tcPr>
          <w:p>
            <w:pPr>
              <w:spacing w:after="0"/>
              <w:jc w:val="center"/>
            </w:pPr>
            <w:r>
              <w:rPr>
                <w:rFonts w:ascii="Times New Roman" w:cs="Times New Roman" w:eastAsia="Times New Roman" w:hAnsi="Times New Roman"/>
                <w:sz w:val="22"/>
                <w:szCs w:val="22"/>
              </w:rPr>
              <w:t xml:space="preserve">Gaurav Shende</w:t>
            </w:r>
          </w:p>
          <w:p>
            <w:pPr>
              <w:spacing w:after="0"/>
              <w:jc w:val="center"/>
            </w:pPr>
            <w:r>
              <w:rPr>
                <w:rFonts w:ascii="Times New Roman" w:cs="Times New Roman" w:eastAsia="Times New Roman" w:hAnsi="Times New Roman"/>
                <w:i/>
                <w:iCs/>
                <w:sz w:val="18"/>
                <w:szCs w:val="18"/>
              </w:rPr>
              <w:t xml:space="preserve">Dept. of Computer Engineering</w:t>
            </w:r>
          </w:p>
          <w:p>
            <w:pPr>
              <w:spacing w:after="0"/>
              <w:jc w:val="center"/>
            </w:pPr>
            <w:r>
              <w:rPr>
                <w:rFonts w:ascii="Times New Roman" w:cs="Times New Roman" w:eastAsia="Times New Roman" w:hAnsi="Times New Roman"/>
                <w:i/>
                <w:iCs/>
                <w:sz w:val="18"/>
                <w:szCs w:val="18"/>
              </w:rPr>
              <w:t xml:space="preserve">Vishwakarma Institute of Technology</w:t>
            </w:r>
          </w:p>
          <w:p>
            <w:pPr>
              <w:spacing w:after="0"/>
              <w:jc w:val="center"/>
            </w:pPr>
            <w:r>
              <w:rPr>
                <w:rFonts w:ascii="Times New Roman" w:cs="Times New Roman" w:eastAsia="Times New Roman" w:hAnsi="Times New Roman"/>
                <w:i/>
                <w:iCs/>
                <w:sz w:val="18"/>
                <w:szCs w:val="18"/>
              </w:rPr>
              <w:t xml:space="preserve">Pune-411037, Maharashtra, India</w:t>
            </w:r>
          </w:p>
          <w:p>
            <w:pPr>
              <w:spacing w:after="120"/>
              <w:jc w:val="center"/>
            </w:pPr>
            <w:r>
              <w:rPr>
                <w:rFonts w:ascii="Times New Roman" w:cs="Times New Roman" w:eastAsia="Times New Roman" w:hAnsi="Times New Roman"/>
                <w:sz w:val="18"/>
                <w:szCs w:val="18"/>
              </w:rPr>
              <w:t xml:space="preserve">gaurav.shende24@vit.edu</w:t>
            </w:r>
          </w:p>
        </w:tc>
      </w:tr>
      <w:tr>
        <w:tc>
          <w:tcPr>
            <w:tcW w:type="dxa" w:w="3360"/>
            <w:tcBorders>
              <w:top w:val="none" w:color="FFFFFF" w:sz="0"/>
              <w:left w:val="none" w:color="FFFFFF" w:sz="0"/>
              <w:bottom w:val="none" w:color="FFFFFF" w:sz="0"/>
              <w:right w:val="none" w:color="FFFFFF" w:sz="0"/>
            </w:tcBorders>
          </w:tcPr>
          <w:p>
            <w:pPr>
              <w:spacing w:after="0"/>
              <w:jc w:val="center"/>
            </w:pPr>
            <w:r>
              <w:rPr>
                <w:rFonts w:ascii="Times New Roman" w:cs="Times New Roman" w:eastAsia="Times New Roman" w:hAnsi="Times New Roman"/>
                <w:sz w:val="22"/>
                <w:szCs w:val="22"/>
              </w:rPr>
              <w:t xml:space="preserve">Vishal Sharma</w:t>
            </w:r>
          </w:p>
          <w:p>
            <w:pPr>
              <w:spacing w:after="0"/>
              <w:jc w:val="center"/>
            </w:pPr>
            <w:r>
              <w:rPr>
                <w:rFonts w:ascii="Times New Roman" w:cs="Times New Roman" w:eastAsia="Times New Roman" w:hAnsi="Times New Roman"/>
                <w:i/>
                <w:iCs/>
                <w:sz w:val="18"/>
                <w:szCs w:val="18"/>
              </w:rPr>
              <w:t xml:space="preserve">Dept. of Computer Engineering</w:t>
            </w:r>
          </w:p>
          <w:p>
            <w:pPr>
              <w:spacing w:after="0"/>
              <w:jc w:val="center"/>
            </w:pPr>
            <w:r>
              <w:rPr>
                <w:rFonts w:ascii="Times New Roman" w:cs="Times New Roman" w:eastAsia="Times New Roman" w:hAnsi="Times New Roman"/>
                <w:i/>
                <w:iCs/>
                <w:sz w:val="18"/>
                <w:szCs w:val="18"/>
              </w:rPr>
              <w:t xml:space="preserve">Vishwakarma Institute of Technology</w:t>
            </w:r>
          </w:p>
          <w:p>
            <w:pPr>
              <w:spacing w:after="0"/>
              <w:jc w:val="center"/>
            </w:pPr>
            <w:r>
              <w:rPr>
                <w:rFonts w:ascii="Times New Roman" w:cs="Times New Roman" w:eastAsia="Times New Roman" w:hAnsi="Times New Roman"/>
                <w:i/>
                <w:iCs/>
                <w:sz w:val="18"/>
                <w:szCs w:val="18"/>
              </w:rPr>
              <w:t xml:space="preserve">Pune-411037, Maharashtra, India</w:t>
            </w:r>
          </w:p>
          <w:p>
            <w:pPr>
              <w:spacing w:after="120"/>
              <w:jc w:val="center"/>
            </w:pPr>
            <w:r>
              <w:rPr>
                <w:rFonts w:ascii="Times New Roman" w:cs="Times New Roman" w:eastAsia="Times New Roman" w:hAnsi="Times New Roman"/>
                <w:sz w:val="18"/>
                <w:szCs w:val="18"/>
              </w:rPr>
              <w:t xml:space="preserve">vishal.sharma24@vit.edu</w:t>
            </w:r>
          </w:p>
        </w:tc>
        <w:tc>
          <w:tcPr>
            <w:tcW w:type="dxa" w:w="3360"/>
            <w:tcBorders>
              <w:top w:val="none" w:color="FFFFFF" w:sz="0"/>
              <w:left w:val="none" w:color="FFFFFF" w:sz="0"/>
              <w:bottom w:val="none" w:color="FFFFFF" w:sz="0"/>
              <w:right w:val="none" w:color="FFFFFF" w:sz="0"/>
            </w:tcBorders>
          </w:tcPr>
          <w:p>
            <w:pPr>
              <w:spacing w:after="0"/>
              <w:jc w:val="center"/>
            </w:pPr>
            <w:r>
              <w:rPr>
                <w:rFonts w:ascii="Times New Roman" w:cs="Times New Roman" w:eastAsia="Times New Roman" w:hAnsi="Times New Roman"/>
                <w:sz w:val="22"/>
                <w:szCs w:val="22"/>
              </w:rPr>
              <w:t xml:space="preserve">Gandharv Shinde</w:t>
            </w:r>
          </w:p>
          <w:p>
            <w:pPr>
              <w:spacing w:after="0"/>
              <w:jc w:val="center"/>
            </w:pPr>
            <w:r>
              <w:rPr>
                <w:rFonts w:ascii="Times New Roman" w:cs="Times New Roman" w:eastAsia="Times New Roman" w:hAnsi="Times New Roman"/>
                <w:i/>
                <w:iCs/>
                <w:sz w:val="18"/>
                <w:szCs w:val="18"/>
              </w:rPr>
              <w:t xml:space="preserve">Dept. of Computer Engineering</w:t>
            </w:r>
          </w:p>
          <w:p>
            <w:pPr>
              <w:spacing w:after="0"/>
              <w:jc w:val="center"/>
            </w:pPr>
            <w:r>
              <w:rPr>
                <w:rFonts w:ascii="Times New Roman" w:cs="Times New Roman" w:eastAsia="Times New Roman" w:hAnsi="Times New Roman"/>
                <w:i/>
                <w:iCs/>
                <w:sz w:val="18"/>
                <w:szCs w:val="18"/>
              </w:rPr>
              <w:t xml:space="preserve">Vishwakarma Institute of Technology</w:t>
            </w:r>
          </w:p>
          <w:p>
            <w:pPr>
              <w:spacing w:after="0"/>
              <w:jc w:val="center"/>
            </w:pPr>
            <w:r>
              <w:rPr>
                <w:rFonts w:ascii="Times New Roman" w:cs="Times New Roman" w:eastAsia="Times New Roman" w:hAnsi="Times New Roman"/>
                <w:i/>
                <w:iCs/>
                <w:sz w:val="18"/>
                <w:szCs w:val="18"/>
              </w:rPr>
              <w:t xml:space="preserve">Pune-411037, Maharashtra, India</w:t>
            </w:r>
          </w:p>
          <w:p>
            <w:pPr>
              <w:spacing w:after="120"/>
              <w:jc w:val="center"/>
            </w:pPr>
            <w:r>
              <w:rPr>
                <w:rFonts w:ascii="Times New Roman" w:cs="Times New Roman" w:eastAsia="Times New Roman" w:hAnsi="Times New Roman"/>
                <w:sz w:val="18"/>
                <w:szCs w:val="18"/>
              </w:rPr>
              <w:t xml:space="preserve">gandharv.shinde24@vit.edu</w:t>
            </w:r>
          </w:p>
        </w:tc>
        <w:tc>
          <w:tcPr>
            <w:tcW w:type="dxa" w:w="3360"/>
            <w:tcBorders>
              <w:top w:val="none" w:color="FFFFFF" w:sz="0"/>
              <w:left w:val="none" w:color="FFFFFF" w:sz="0"/>
              <w:bottom w:val="none" w:color="FFFFFF" w:sz="0"/>
              <w:right w:val="none" w:color="FFFFFF" w:sz="0"/>
            </w:tcBorders>
          </w:tcPr>
          <w:p/>
        </w:tc>
      </w:tr>
    </w:tbl>
    <w:p>
      <w:pPr>
        <w:spacing w:after="120"/>
        <w:sectPr>
          <w:type w:val="continuous"/>
          <w:pgSz w:w="12240" w:h="15840" w:orient="portrait"/>
          <w:pgMar w:top="1080" w:right="1080" w:bottom="1440" w:left="1080" w:header="708" w:footer="708" w:gutter="0"/>
          <w:pgNumType/>
          <w:docGrid w:linePitch="360"/>
        </w:sectPr>
      </w:pPr>
    </w:p>
    <w:p>
      <w:pPr>
        <w:spacing w:after="80"/>
        <w:jc w:val="both"/>
      </w:pPr>
      <w:r>
        <w:rPr>
          <w:rFonts w:ascii="Times New Roman" w:cs="Times New Roman" w:eastAsia="Times New Roman" w:hAnsi="Times New Roman"/>
          <w:b/>
          <w:bCs/>
          <w:i/>
          <w:iCs/>
          <w:sz w:val="18"/>
          <w:szCs w:val="18"/>
        </w:rPr>
        <w:t xml:space="preserve">Abstract—</w:t>
      </w:r>
      <w:r>
        <w:rPr>
          <w:rFonts w:ascii="Times New Roman" w:cs="Times New Roman" w:eastAsia="Times New Roman" w:hAnsi="Times New Roman"/>
          <w:b/>
          <w:bCs/>
          <w:sz w:val="18"/>
          <w:szCs w:val="18"/>
        </w:rPr>
        <w:t xml:space="preserve">In the sheet-metal job shop studied here, quotation requests arrive by telephone and WhatsApp, which delays pricing, scatters drawing files and gives customers no view of job progress. This paper presents PS Laser, a web platform built for a laser-cutting job shop at Velu, Bhor (Pune). It provides a public website, an instant indicative cost estimator, an enquiry and drawing-upload service, order tracking and a staff back office. The platform is implemented as seven cooperating services (PHP, Laravel, React with Redux, Servlet/JSP, Spring Boot, Next.js with TypeScript, and Node.js with Express) that share one MySQL schema and one written contract covering the price formula, JWT authentication and API shapes. The same estimate formula, with one rounding rule, is implemented in four languages and returned the same total (INR 2,933.83) for a reference part on all four stacks. We describe the architecture, the cost model, the security measures (JWT, bcrypt, CSRF tokens, prepared statements, upload validation, rate limiting) and a push channel for live work-order status. Verification consists of cross-stack equivalence checks, endpoint and validation tests, and automated suites (33 Node.js tests and 8 Laravel tests passing on 18 October 2026). The rate card is sample data and the system is neither deployed nor connected to shop-floor machines; these limits and future work are discussed.</w:t>
      </w:r>
    </w:p>
    <w:p>
      <w:pPr>
        <w:spacing w:after="100"/>
        <w:jc w:val="both"/>
      </w:pPr>
      <w:r>
        <w:rPr>
          <w:rFonts w:ascii="Times New Roman" w:cs="Times New Roman" w:eastAsia="Times New Roman" w:hAnsi="Times New Roman"/>
          <w:b/>
          <w:bCs/>
          <w:i/>
          <w:iCs/>
          <w:sz w:val="18"/>
          <w:szCs w:val="18"/>
        </w:rPr>
        <w:t xml:space="preserve">Index Terms—</w:t>
      </w:r>
      <w:r>
        <w:rPr>
          <w:rFonts w:ascii="Times New Roman" w:cs="Times New Roman" w:eastAsia="Times New Roman" w:hAnsi="Times New Roman"/>
          <w:b/>
          <w:bCs/>
          <w:sz w:val="18"/>
          <w:szCs w:val="18"/>
        </w:rPr>
        <w:t xml:space="preserve">web technologies, cost estimation, laser cutting, sheet-metal fabrication, REST API, JWT, Spring Boot, Next.js, React, Laravel, MySQL, order tracking</w:t>
      </w:r>
    </w:p>
    <w:p>
      <w:pPr>
        <w:keepNext/>
        <w:spacing w:after="80" w:before="160"/>
        <w:jc w:val="center"/>
        <w:outlineLvl w:val="0"/>
      </w:pPr>
      <w:r>
        <w:rPr>
          <w:rFonts w:ascii="Times New Roman" w:cs="Times New Roman" w:eastAsia="Times New Roman" w:hAnsi="Times New Roman"/>
          <w:b w:val="false"/>
          <w:bCs w:val="false"/>
          <w:smallCaps w:val="false"/>
          <w:sz w:val="18"/>
          <w:szCs w:val="18"/>
        </w:rPr>
        <w:t xml:space="preserve">I. INTRODUCTION</w:t>
      </w:r>
    </w:p>
    <w:p>
      <w:pPr>
        <w:spacing w:after="70"/>
        <w:jc w:val="both"/>
      </w:pPr>
      <w:r>
        <w:rPr>
          <w:rFonts w:ascii="Times New Roman" w:cs="Times New Roman" w:eastAsia="Times New Roman" w:hAnsi="Times New Roman"/>
          <w:sz w:val="20"/>
          <w:szCs w:val="20"/>
        </w:rPr>
        <w:t xml:space="preserve">PS Laser is a sheet-metal and CNC laser-cutting job shop at Velu, Tal. Bhor, Pune. Its equipment comprises two fiber lasers (3 kW and 1.5 kW, 3 m × 1.5 m beds), a 175 t CNC press brake, two Amada turret punches (32 t and 16 t), a 1.5 kW handheld laser welder and a PLC-controlled powder-coating plant. The shop's published customer channels are the telephone and WhatsApp: a customer describes a part, sends a drawing, and waits for a manual quotation.</w:t>
      </w:r>
    </w:p>
    <w:p>
      <w:pPr>
        <w:spacing w:after="70"/>
        <w:jc w:val="both"/>
      </w:pPr>
      <w:r>
        <w:rPr>
          <w:rFonts w:ascii="Times New Roman" w:cs="Times New Roman" w:eastAsia="Times New Roman" w:hAnsi="Times New Roman"/>
          <w:sz w:val="20"/>
          <w:szCs w:val="20"/>
        </w:rPr>
        <w:t xml:space="preserve">This channel has three practical weaknesses. First, a customer cannot get even an approximate price without waiting for a person. Second, drawings and requirements arrive as chat attachments that are hard to search, track or audit. Third, once a job is accepted the customer has no way to see whether it is being cut, bent, coated or ready for dispatch. These weaknesses are specific to the shop we studied; we do not claim they hold for every fabricator.</w:t>
      </w:r>
    </w:p>
    <w:p>
      <w:pPr>
        <w:spacing w:after="70"/>
        <w:jc w:val="both"/>
      </w:pPr>
      <w:r>
        <w:rPr>
          <w:rFonts w:ascii="Times New Roman" w:cs="Times New Roman" w:eastAsia="Times New Roman" w:hAnsi="Times New Roman"/>
          <w:sz w:val="20"/>
          <w:szCs w:val="20"/>
        </w:rPr>
        <w:t xml:space="preserve">The platform described here addresses them with a mobile-friendly website, an indicative estimator, an enquiry form with drawing upload, a phone-number-verified order-tracking page and staff screens for managing enquiries, the rate card and work orders. The work was also carried out as the course project of CS3111 </w:t>
      </w:r>
      <w:r>
        <w:rPr>
          <w:rFonts w:ascii="Times New Roman" w:cs="Times New Roman" w:eastAsia="Times New Roman" w:hAnsi="Times New Roman"/>
          <w:i/>
          <w:iCs/>
          <w:sz w:val="20"/>
          <w:szCs w:val="20"/>
        </w:rPr>
        <w:t xml:space="preserve">Web Technologies</w:t>
      </w:r>
      <w:r>
        <w:rPr>
          <w:rFonts w:ascii="Times New Roman" w:cs="Times New Roman" w:eastAsia="Times New Roman" w:hAnsi="Times New Roman"/>
          <w:sz w:val="20"/>
          <w:szCs w:val="20"/>
        </w:rPr>
        <w:t xml:space="preserve">, whose six units cover PHP/Laravel, React, Servlets/JSP, Spring Boot, advanced React and Node.js. We therefore implemented one real feature per technology instead of a single monolith, and spent most of the design effort on keeping those independent services consistent with each other.</w:t>
      </w:r>
    </w:p>
    <w:p>
      <w:pPr>
        <w:spacing w:after="70"/>
        <w:jc w:val="both"/>
      </w:pPr>
      <w:r>
        <w:rPr>
          <w:rFonts w:ascii="Times New Roman" w:cs="Times New Roman" w:eastAsia="Times New Roman" w:hAnsi="Times New Roman"/>
          <w:sz w:val="20"/>
          <w:szCs w:val="20"/>
        </w:rPr>
        <w:t xml:space="preserve">The contributions of this paper are: (i) a contract-first architecture in which seven services share one database schema, one JWT secret and one price formula; (ii) a rate-card cost model that gives identical results in PHP, Java, Spring Boot and TypeScript; (iii) a security and resilience design that includes a graceful offline fallback for the public site; and (iv) an honest account of what was verified, what was not, and which values are sample data.</w:t>
      </w:r>
    </w:p>
    <w:p>
      <w:pPr>
        <w:keepNext/>
        <w:spacing w:after="80" w:before="160"/>
        <w:jc w:val="center"/>
        <w:outlineLvl w:val="0"/>
      </w:pPr>
      <w:r>
        <w:rPr>
          <w:rFonts w:ascii="Times New Roman" w:cs="Times New Roman" w:eastAsia="Times New Roman" w:hAnsi="Times New Roman"/>
          <w:b w:val="false"/>
          <w:bCs w:val="false"/>
          <w:smallCaps w:val="false"/>
          <w:sz w:val="18"/>
          <w:szCs w:val="18"/>
        </w:rPr>
        <w:t xml:space="preserve">II. PROBLEM STATEMENT AND OBJECTIVES</w:t>
      </w:r>
    </w:p>
    <w:p>
      <w:pPr>
        <w:spacing w:after="70"/>
        <w:jc w:val="both"/>
      </w:pPr>
      <w:r>
        <w:rPr>
          <w:rFonts w:ascii="Times New Roman" w:cs="Times New Roman" w:eastAsia="Times New Roman" w:hAnsi="Times New Roman"/>
          <w:b/>
          <w:bCs/>
          <w:sz w:val="20"/>
          <w:szCs w:val="20"/>
        </w:rPr>
        <w:t xml:space="preserve">Problem statement.</w:t>
      </w:r>
      <w:r>
        <w:rPr>
          <w:rFonts w:ascii="Times New Roman" w:cs="Times New Roman" w:eastAsia="Times New Roman" w:hAnsi="Times New Roman"/>
          <w:sz w:val="20"/>
          <w:szCs w:val="20"/>
        </w:rPr>
        <w:t xml:space="preserve"> Design and build a web platform that lets a laser-cutting job shop (a) present its real machines and services, (b) give customers an instant, clearly labelled indicative price, (c) capture enquiries and drawings reliably, (d) let customers follow a job to dispatch, and (e) let staff maintain prices and job status without editing the database by hand.</w:t>
      </w:r>
    </w:p>
    <w:p>
      <w:pPr>
        <w:spacing w:after="70"/>
        <w:jc w:val="both"/>
      </w:pPr>
      <w:r>
        <w:rPr>
          <w:rFonts w:ascii="Times New Roman" w:cs="Times New Roman" w:eastAsia="Times New Roman" w:hAnsi="Times New Roman"/>
          <w:b/>
          <w:bCs/>
          <w:sz w:val="20"/>
          <w:szCs w:val="20"/>
        </w:rPr>
        <w:t xml:space="preserve">Objectives.</w:t>
      </w:r>
    </w:p>
    <w:p>
      <w:pPr>
        <w:pStyle w:val="ListParagraph"/>
        <w:numPr>
          <w:ilvl w:val="0"/>
          <w:numId w:val="2"/>
        </w:numPr>
        <w:spacing w:after="30"/>
        <w:jc w:val="both"/>
      </w:pPr>
      <w:r>
        <w:rPr>
          <w:rFonts w:ascii="Times New Roman" w:cs="Times New Roman" w:eastAsia="Times New Roman" w:hAnsi="Times New Roman"/>
          <w:sz w:val="20"/>
          <w:szCs w:val="20"/>
        </w:rPr>
        <w:t xml:space="preserve">Provide a public website with the shop's machines, services and contact channels, with every "Get Quote" action opening a pre-filled WhatsApp message.</w:t>
      </w:r>
    </w:p>
    <w:p>
      <w:pPr>
        <w:pStyle w:val="ListParagraph"/>
        <w:numPr>
          <w:ilvl w:val="0"/>
          <w:numId w:val="2"/>
        </w:numPr>
        <w:spacing w:after="30"/>
        <w:jc w:val="both"/>
      </w:pPr>
      <w:r>
        <w:rPr>
          <w:rFonts w:ascii="Times New Roman" w:cs="Times New Roman" w:eastAsia="Times New Roman" w:hAnsi="Times New Roman"/>
          <w:sz w:val="20"/>
          <w:szCs w:val="20"/>
        </w:rPr>
        <w:t xml:space="preserve">Compute an indicative estimate from material, thickness, size, cut length, pierces, bends, optional powder coating and quantity, using a rate card that the owner can change.</w:t>
      </w:r>
    </w:p>
    <w:p>
      <w:pPr>
        <w:pStyle w:val="ListParagraph"/>
        <w:numPr>
          <w:ilvl w:val="0"/>
          <w:numId w:val="2"/>
        </w:numPr>
        <w:spacing w:after="30"/>
        <w:jc w:val="both"/>
      </w:pPr>
      <w:r>
        <w:rPr>
          <w:rFonts w:ascii="Times New Roman" w:cs="Times New Roman" w:eastAsia="Times New Roman" w:hAnsi="Times New Roman"/>
          <w:sz w:val="20"/>
          <w:szCs w:val="20"/>
        </w:rPr>
        <w:t xml:space="preserve">Store enquiries and drawing files (DXF, DWG, PDF, PNG, JPG, up to 10 MB) with server-side validation.</w:t>
      </w:r>
    </w:p>
    <w:p>
      <w:pPr>
        <w:pStyle w:val="ListParagraph"/>
        <w:numPr>
          <w:ilvl w:val="0"/>
          <w:numId w:val="2"/>
        </w:numPr>
        <w:spacing w:after="30"/>
        <w:jc w:val="both"/>
      </w:pPr>
      <w:r>
        <w:rPr>
          <w:rFonts w:ascii="Times New Roman" w:cs="Times New Roman" w:eastAsia="Times New Roman" w:hAnsi="Times New Roman"/>
          <w:sz w:val="20"/>
          <w:szCs w:val="20"/>
        </w:rPr>
        <w:t xml:space="preserve">Expose order tracking that requires the order number and the customer's phone number, and a staff dashboard that updates live.</w:t>
      </w:r>
    </w:p>
    <w:p>
      <w:pPr>
        <w:pStyle w:val="ListParagraph"/>
        <w:numPr>
          <w:ilvl w:val="0"/>
          <w:numId w:val="2"/>
        </w:numPr>
        <w:spacing w:after="30"/>
        <w:jc w:val="both"/>
      </w:pPr>
      <w:r>
        <w:rPr>
          <w:rFonts w:ascii="Times New Roman" w:cs="Times New Roman" w:eastAsia="Times New Roman" w:hAnsi="Times New Roman"/>
          <w:sz w:val="20"/>
          <w:szCs w:val="20"/>
        </w:rPr>
        <w:t xml:space="preserve">Keep all services consistent through one database, one authentication token format and one documented API contract.</w:t>
      </w:r>
    </w:p>
    <w:p>
      <w:pPr>
        <w:pStyle w:val="ListParagraph"/>
        <w:numPr>
          <w:ilvl w:val="0"/>
          <w:numId w:val="2"/>
        </w:numPr>
        <w:spacing w:after="30"/>
        <w:jc w:val="both"/>
      </w:pPr>
      <w:r>
        <w:rPr>
          <w:rFonts w:ascii="Times New Roman" w:cs="Times New Roman" w:eastAsia="Times New Roman" w:hAnsi="Times New Roman"/>
          <w:sz w:val="20"/>
          <w:szCs w:val="20"/>
        </w:rPr>
        <w:t xml:space="preserve">Make the platform demonstrate every unit of the CS3111 syllabus with working code.</w:t>
      </w:r>
    </w:p>
    <w:p>
      <w:pPr>
        <w:keepNext/>
        <w:spacing w:after="80" w:before="160"/>
        <w:jc w:val="center"/>
        <w:outlineLvl w:val="0"/>
      </w:pPr>
      <w:r>
        <w:rPr>
          <w:rFonts w:ascii="Times New Roman" w:cs="Times New Roman" w:eastAsia="Times New Roman" w:hAnsi="Times New Roman"/>
          <w:b w:val="false"/>
          <w:bCs w:val="false"/>
          <w:smallCaps w:val="false"/>
          <w:sz w:val="18"/>
          <w:szCs w:val="18"/>
        </w:rPr>
        <w:t xml:space="preserve">III. BACKGROUND AND RELATED WORK</w:t>
      </w:r>
    </w:p>
    <w:p>
      <w:pPr>
        <w:spacing w:after="70"/>
        <w:jc w:val="both"/>
      </w:pPr>
      <w:r>
        <w:rPr>
          <w:rFonts w:ascii="Times New Roman" w:cs="Times New Roman" w:eastAsia="Times New Roman" w:hAnsi="Times New Roman"/>
          <w:sz w:val="20"/>
          <w:szCs w:val="20"/>
        </w:rPr>
        <w:t xml:space="preserve">The platform relies on well-established web-engineering ideas. The REST architectural style [1] guides the Spring Boot and Node.js APIs, and the model-view-controller separation [2] organises the Laravel, Servlet/JSP and Spring code. Stateless authentication uses JSON Web Tokens [3] signed with HMAC-SHA-256 (the HS256 algorithm defined in [4]); passwords are stored as adaptive bcrypt hashes [5]. Live status updates use the WebSocket protocol [6] with a STOMP broker in Spring. The web-application risks that shaped the validation and access-control design are those catalogued by OWASP [7], and the quality attributes used in the requirements document follow ISO/IEC 25010 [8].</w:t>
      </w:r>
    </w:p>
    <w:p>
      <w:pPr>
        <w:spacing w:after="70"/>
        <w:jc w:val="both"/>
      </w:pPr>
      <w:r>
        <w:rPr>
          <w:rFonts w:ascii="Times New Roman" w:cs="Times New Roman" w:eastAsia="Times New Roman" w:hAnsi="Times New Roman"/>
          <w:sz w:val="20"/>
          <w:szCs w:val="20"/>
        </w:rPr>
        <w:t xml:space="preserve">On the manufacturing side, laser-processing texts such as [9] describe the process parameters (laser power, material, thickness and cutting speed) that determine cut quality and throughput. Our estimator deliberately does not model that physics. It is a rate-card model, in which each cost component is a quantity multiplied by an owner-set rate, because a shop needs a quick, explainable and editable price indication rather than a process simulation.</w:t>
      </w:r>
    </w:p>
    <w:p>
      <w:pPr>
        <w:shd w:fill="FFF4E0" w:val="clear"/>
        <w:spacing w:after="70"/>
        <w:jc w:val="both"/>
      </w:pPr>
      <w:r>
        <w:rPr>
          <w:rFonts w:ascii="Times New Roman" w:cs="Times New Roman" w:eastAsia="Times New Roman" w:hAnsi="Times New Roman"/>
          <w:i/>
          <w:iCs/>
          <w:sz w:val="20"/>
          <w:szCs w:val="20"/>
        </w:rPr>
        <w:t xml:space="preserve">Scope of the literature review. We did not identify directly comparable, verifiable publications on small-shop quotation portals and therefore make no novelty claim about the estimator itself. The contribution lies in the integration and consistency of the multi-stack design. A systematic comparison with commercial online-quotation tools is left as future work.</w:t>
      </w:r>
    </w:p>
    <w:p>
      <w:pPr>
        <w:keepNext/>
        <w:spacing w:after="80" w:before="160"/>
        <w:jc w:val="center"/>
        <w:outlineLvl w:val="0"/>
      </w:pPr>
      <w:r>
        <w:rPr>
          <w:rFonts w:ascii="Times New Roman" w:cs="Times New Roman" w:eastAsia="Times New Roman" w:hAnsi="Times New Roman"/>
          <w:b w:val="false"/>
          <w:bCs w:val="false"/>
          <w:smallCaps w:val="false"/>
          <w:sz w:val="18"/>
          <w:szCs w:val="18"/>
        </w:rPr>
        <w:t xml:space="preserve">IV. PROPOSED METHODOLOGY AND SYSTEM DESIGN</w:t>
      </w:r>
    </w:p>
    <w:p>
      <w:pPr>
        <w:keepNext/>
        <w:spacing w:after="40" w:before="100"/>
        <w:outlineLvl w:val="1"/>
      </w:pPr>
      <w:r>
        <w:rPr>
          <w:rFonts w:ascii="Times New Roman" w:cs="Times New Roman" w:eastAsia="Times New Roman" w:hAnsi="Times New Roman"/>
          <w:b w:val="false"/>
          <w:bCs w:val="false"/>
          <w:i/>
          <w:iCs/>
          <w:sz w:val="20"/>
          <w:szCs w:val="20"/>
        </w:rPr>
        <w:t xml:space="preserve">A. Contract-first, shared-schema approach</w:t>
      </w:r>
    </w:p>
    <w:p>
      <w:pPr>
        <w:spacing w:after="70"/>
        <w:jc w:val="both"/>
      </w:pPr>
      <w:r>
        <w:rPr>
          <w:rFonts w:ascii="Times New Roman" w:cs="Times New Roman" w:eastAsia="Times New Roman" w:hAnsi="Times New Roman"/>
          <w:sz w:val="20"/>
          <w:szCs w:val="20"/>
        </w:rPr>
        <w:t xml:space="preserve">Before any service was written, a contract document (</w:t>
      </w:r>
      <w:r>
        <w:rPr>
          <w:rFonts w:ascii="Courier New" w:cs="Courier New" w:eastAsia="Courier New" w:hAnsi="Courier New"/>
          <w:sz w:val="18"/>
          <w:szCs w:val="18"/>
        </w:rPr>
        <w:t xml:space="preserve">services/CONTRACT.md</w:t>
      </w:r>
      <w:r>
        <w:rPr>
          <w:rFonts w:ascii="Times New Roman" w:cs="Times New Roman" w:eastAsia="Times New Roman" w:hAnsi="Times New Roman"/>
          <w:sz w:val="20"/>
          <w:szCs w:val="20"/>
        </w:rPr>
        <w:t xml:space="preserve">) fixed the database name and tables, the JWT claims and secret, the estimate formula and its JSON shape, the REST endpoints of the Spring and Node services, and the allowed CORS origins. Each service was then built against that document. The deliberate trade-off is that PHP, Laravel and the Java servlet application read and write MySQL directly instead of calling the Spring API. This reduces the number of network hops and lets each syllabus unit stand alone, but it duplicates some business rules, which is why the price formula is specified once and tested in every stack.</w:t>
      </w:r>
    </w:p>
    <w:p>
      <w:pPr>
        <w:keepNext/>
        <w:spacing w:after="40" w:before="100"/>
        <w:outlineLvl w:val="1"/>
      </w:pPr>
      <w:r>
        <w:rPr>
          <w:rFonts w:ascii="Times New Roman" w:cs="Times New Roman" w:eastAsia="Times New Roman" w:hAnsi="Times New Roman"/>
          <w:b w:val="false"/>
          <w:bCs w:val="false"/>
          <w:i/>
          <w:iCs/>
          <w:sz w:val="20"/>
          <w:szCs w:val="20"/>
        </w:rPr>
        <w:t xml:space="preserve">B. Architecture</w:t>
      </w:r>
    </w:p>
    <w:p>
      <w:pPr>
        <w:spacing w:after="70"/>
        <w:jc w:val="both"/>
        <w:sectPr>
          <w:type w:val="continuous"/>
          <w:pgSz w:w="12240" w:h="15840" w:orient="portrait"/>
          <w:pgMar w:top="1080" w:right="1080" w:bottom="1440" w:left="1080" w:header="708" w:footer="708" w:gutter="0"/>
          <w:pgNumType/>
          <w:cols w:space="360" w:num="2" w:equalWidth="true"/>
          <w:docGrid w:linePitch="360"/>
        </w:sectPr>
      </w:pPr>
      <w:r>
        <w:rPr>
          <w:rFonts w:ascii="Times New Roman" w:cs="Times New Roman" w:eastAsia="Times New Roman" w:hAnsi="Times New Roman"/>
          <w:sz w:val="20"/>
          <w:szCs w:val="20"/>
        </w:rPr>
        <w:t xml:space="preserve">Fig. 1 shows the architecture as built. The client tier is a browser used by customers and staff. The presentation tier has five front ends: the Next.js website (port 3001), the React portal (5173), the PHP estimator (8000), the Laravel admin panel (8001) and the Servlet/JSP desk on Tomcat (8080). The application tier consists of the Spring Boot REST API (8081) and the Node.js/Express API (4000). The data tier is MySQL/MariaDB (3306) with MongoDB (27017) used only for an audit activity log. The physical shop is shown for context only: no machine is connected to the software, and staff update job status by hand.</w:t>
      </w:r>
    </w:p>
    <w:p>
      <w:pPr>
        <w:keepNext/>
        <w:spacing w:after="40" w:before="60"/>
        <w:jc w:val="center"/>
      </w:pPr>
      <w:r>
        <w:drawing>
          <wp:inline distT="0" distB="0" distL="0" distR="0">
            <wp:extent cx="6191250" cy="3609975"/>
            <wp:effectExtent t="0" r="0" b="0" l="0"/>
            <wp:docPr id="1" name="fig-architecture-compact.png" descr="Fig. 1. PS Laser system architecture as built and run locally (ports as run in October 2026). Black arrows are HTTP/JSON calls; blue arrows are direct SQL access to the shared schema; the dashed green arrow is the WhatsApp deep link." title="Fig. 1. PS Laser system architecture a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191250" cy="3609975"/>
                    </a:xfrm>
                    <a:prstGeom prst="rect">
                      <a:avLst/>
                    </a:prstGeom>
                  </pic:spPr>
                </pic:pic>
              </a:graphicData>
            </a:graphic>
          </wp:inline>
        </w:drawing>
      </w:r>
    </w:p>
    <w:p>
      <w:pPr>
        <w:spacing w:after="100"/>
        <w:jc w:val="center"/>
        <w:sectPr>
          <w:type w:val="continuous"/>
          <w:pgSz w:w="12240" w:h="15840" w:orient="portrait"/>
          <w:pgMar w:top="1080" w:right="1080" w:bottom="1440" w:left="1080" w:header="708" w:footer="708" w:gutter="0"/>
          <w:pgNumType/>
          <w:docGrid w:linePitch="360"/>
        </w:sectPr>
      </w:pPr>
      <w:r>
        <w:rPr>
          <w:rFonts w:ascii="Times New Roman" w:cs="Times New Roman" w:eastAsia="Times New Roman" w:hAnsi="Times New Roman"/>
          <w:sz w:val="18"/>
          <w:szCs w:val="18"/>
        </w:rPr>
        <w:t xml:space="preserve">Fig. 1. PS Laser system architecture as built and run locally (ports as run in October 2026). Black arrows are HTTP/JSON calls; blue arrows are direct SQL access to the shared schema; the dashed green arrow is the WhatsApp deep link.</w:t>
      </w:r>
    </w:p>
    <w:p>
      <w:pPr>
        <w:keepNext/>
        <w:spacing w:after="40" w:before="100"/>
        <w:outlineLvl w:val="1"/>
      </w:pPr>
      <w:r>
        <w:rPr>
          <w:rFonts w:ascii="Times New Roman" w:cs="Times New Roman" w:eastAsia="Times New Roman" w:hAnsi="Times New Roman"/>
          <w:b w:val="false"/>
          <w:bCs w:val="false"/>
          <w:i/>
          <w:iCs/>
          <w:sz w:val="20"/>
          <w:szCs w:val="20"/>
        </w:rPr>
        <w:t xml:space="preserve">C. Data model</w:t>
      </w:r>
    </w:p>
    <w:p>
      <w:pPr>
        <w:spacing w:after="70"/>
        <w:jc w:val="both"/>
      </w:pPr>
      <w:r>
        <w:rPr>
          <w:rFonts w:ascii="Times New Roman" w:cs="Times New Roman" w:eastAsia="Times New Roman" w:hAnsi="Times New Roman"/>
          <w:sz w:val="20"/>
          <w:szCs w:val="20"/>
        </w:rPr>
        <w:t xml:space="preserve">One MySQL database, </w:t>
      </w:r>
      <w:r>
        <w:rPr>
          <w:rFonts w:ascii="Courier New" w:cs="Courier New" w:eastAsia="Courier New" w:hAnsi="Courier New"/>
          <w:sz w:val="18"/>
          <w:szCs w:val="18"/>
        </w:rPr>
        <w:t xml:space="preserve">pslaser</w:t>
      </w:r>
      <w:r>
        <w:rPr>
          <w:rFonts w:ascii="Times New Roman" w:cs="Times New Roman" w:eastAsia="Times New Roman" w:hAnsi="Times New Roman"/>
          <w:sz w:val="20"/>
          <w:szCs w:val="20"/>
        </w:rPr>
        <w:t xml:space="preserve">, holds eleven shared tables: </w:t>
      </w:r>
      <w:r>
        <w:rPr>
          <w:rFonts w:ascii="Courier New" w:cs="Courier New" w:eastAsia="Courier New" w:hAnsi="Courier New"/>
          <w:sz w:val="18"/>
          <w:szCs w:val="18"/>
        </w:rPr>
        <w:t xml:space="preserve">users</w:t>
      </w:r>
      <w:r>
        <w:rPr>
          <w:rFonts w:ascii="Times New Roman" w:cs="Times New Roman" w:eastAsia="Times New Roman" w:hAnsi="Times New Roman"/>
          <w:sz w:val="20"/>
          <w:szCs w:val="20"/>
        </w:rPr>
        <w:t xml:space="preserve">, </w:t>
      </w:r>
      <w:r>
        <w:rPr>
          <w:rFonts w:ascii="Courier New" w:cs="Courier New" w:eastAsia="Courier New" w:hAnsi="Courier New"/>
          <w:sz w:val="18"/>
          <w:szCs w:val="18"/>
        </w:rPr>
        <w:t xml:space="preserve">machines</w:t>
      </w:r>
      <w:r>
        <w:rPr>
          <w:rFonts w:ascii="Times New Roman" w:cs="Times New Roman" w:eastAsia="Times New Roman" w:hAnsi="Times New Roman"/>
          <w:sz w:val="20"/>
          <w:szCs w:val="20"/>
        </w:rPr>
        <w:t xml:space="preserve">, </w:t>
      </w:r>
      <w:r>
        <w:rPr>
          <w:rFonts w:ascii="Courier New" w:cs="Courier New" w:eastAsia="Courier New" w:hAnsi="Courier New"/>
          <w:sz w:val="18"/>
          <w:szCs w:val="18"/>
        </w:rPr>
        <w:t xml:space="preserve">services</w:t>
      </w:r>
      <w:r>
        <w:rPr>
          <w:rFonts w:ascii="Times New Roman" w:cs="Times New Roman" w:eastAsia="Times New Roman" w:hAnsi="Times New Roman"/>
          <w:sz w:val="20"/>
          <w:szCs w:val="20"/>
        </w:rPr>
        <w:t xml:space="preserve">, </w:t>
      </w:r>
      <w:r>
        <w:rPr>
          <w:rFonts w:ascii="Courier New" w:cs="Courier New" w:eastAsia="Courier New" w:hAnsi="Courier New"/>
          <w:sz w:val="18"/>
          <w:szCs w:val="18"/>
        </w:rPr>
        <w:t xml:space="preserve">materials</w:t>
      </w:r>
      <w:r>
        <w:rPr>
          <w:rFonts w:ascii="Times New Roman" w:cs="Times New Roman" w:eastAsia="Times New Roman" w:hAnsi="Times New Roman"/>
          <w:sz w:val="20"/>
          <w:szCs w:val="20"/>
        </w:rPr>
        <w:t xml:space="preserve">, </w:t>
      </w:r>
      <w:r>
        <w:rPr>
          <w:rFonts w:ascii="Courier New" w:cs="Courier New" w:eastAsia="Courier New" w:hAnsi="Courier New"/>
          <w:sz w:val="18"/>
          <w:szCs w:val="18"/>
        </w:rPr>
        <w:t xml:space="preserve">rates</w:t>
      </w:r>
      <w:r>
        <w:rPr>
          <w:rFonts w:ascii="Times New Roman" w:cs="Times New Roman" w:eastAsia="Times New Roman" w:hAnsi="Times New Roman"/>
          <w:sz w:val="20"/>
          <w:szCs w:val="20"/>
        </w:rPr>
        <w:t xml:space="preserve">, </w:t>
      </w:r>
      <w:r>
        <w:rPr>
          <w:rFonts w:ascii="Courier New" w:cs="Courier New" w:eastAsia="Courier New" w:hAnsi="Courier New"/>
          <w:sz w:val="18"/>
          <w:szCs w:val="18"/>
        </w:rPr>
        <w:t xml:space="preserve">settings</w:t>
      </w:r>
      <w:r>
        <w:rPr>
          <w:rFonts w:ascii="Times New Roman" w:cs="Times New Roman" w:eastAsia="Times New Roman" w:hAnsi="Times New Roman"/>
          <w:sz w:val="20"/>
          <w:szCs w:val="20"/>
        </w:rPr>
        <w:t xml:space="preserve">, </w:t>
      </w:r>
      <w:r>
        <w:rPr>
          <w:rFonts w:ascii="Courier New" w:cs="Courier New" w:eastAsia="Courier New" w:hAnsi="Courier New"/>
          <w:sz w:val="18"/>
          <w:szCs w:val="18"/>
        </w:rPr>
        <w:t xml:space="preserve">enquiries</w:t>
      </w:r>
      <w:r>
        <w:rPr>
          <w:rFonts w:ascii="Times New Roman" w:cs="Times New Roman" w:eastAsia="Times New Roman" w:hAnsi="Times New Roman"/>
          <w:sz w:val="20"/>
          <w:szCs w:val="20"/>
        </w:rPr>
        <w:t xml:space="preserve">, </w:t>
      </w:r>
      <w:r>
        <w:rPr>
          <w:rFonts w:ascii="Courier New" w:cs="Courier New" w:eastAsia="Courier New" w:hAnsi="Courier New"/>
          <w:sz w:val="18"/>
          <w:szCs w:val="18"/>
        </w:rPr>
        <w:t xml:space="preserve">uploads</w:t>
      </w:r>
      <w:r>
        <w:rPr>
          <w:rFonts w:ascii="Times New Roman" w:cs="Times New Roman" w:eastAsia="Times New Roman" w:hAnsi="Times New Roman"/>
          <w:sz w:val="20"/>
          <w:szCs w:val="20"/>
        </w:rPr>
        <w:t xml:space="preserve">, </w:t>
      </w:r>
      <w:r>
        <w:rPr>
          <w:rFonts w:ascii="Courier New" w:cs="Courier New" w:eastAsia="Courier New" w:hAnsi="Courier New"/>
          <w:sz w:val="18"/>
          <w:szCs w:val="18"/>
        </w:rPr>
        <w:t xml:space="preserve">quotes</w:t>
      </w:r>
      <w:r>
        <w:rPr>
          <w:rFonts w:ascii="Times New Roman" w:cs="Times New Roman" w:eastAsia="Times New Roman" w:hAnsi="Times New Roman"/>
          <w:sz w:val="20"/>
          <w:szCs w:val="20"/>
        </w:rPr>
        <w:t xml:space="preserve">, </w:t>
      </w:r>
      <w:r>
        <w:rPr>
          <w:rFonts w:ascii="Courier New" w:cs="Courier New" w:eastAsia="Courier New" w:hAnsi="Courier New"/>
          <w:sz w:val="18"/>
          <w:szCs w:val="18"/>
        </w:rPr>
        <w:t xml:space="preserve">work_orders</w:t>
      </w:r>
      <w:r>
        <w:rPr>
          <w:rFonts w:ascii="Times New Roman" w:cs="Times New Roman" w:eastAsia="Times New Roman" w:hAnsi="Times New Roman"/>
          <w:sz w:val="20"/>
          <w:szCs w:val="20"/>
        </w:rPr>
        <w:t xml:space="preserve"> and </w:t>
      </w:r>
      <w:r>
        <w:rPr>
          <w:rFonts w:ascii="Courier New" w:cs="Courier New" w:eastAsia="Courier New" w:hAnsi="Courier New"/>
          <w:sz w:val="18"/>
          <w:szCs w:val="18"/>
        </w:rPr>
        <w:t xml:space="preserve">work_order_events</w:t>
      </w:r>
      <w:r>
        <w:rPr>
          <w:rFonts w:ascii="Times New Roman" w:cs="Times New Roman" w:eastAsia="Times New Roman" w:hAnsi="Times New Roman"/>
          <w:sz w:val="20"/>
          <w:szCs w:val="20"/>
        </w:rPr>
        <w:t xml:space="preserve">, plus framework-owned tables created by Laravel. Rates are stored per material and thickness band, and a </w:t>
      </w:r>
      <w:r>
        <w:rPr>
          <w:rFonts w:ascii="Courier New" w:cs="Courier New" w:eastAsia="Courier New" w:hAnsi="Courier New"/>
          <w:sz w:val="18"/>
          <w:szCs w:val="18"/>
        </w:rPr>
        <w:t xml:space="preserve">settings</w:t>
      </w:r>
      <w:r>
        <w:rPr>
          <w:rFonts w:ascii="Times New Roman" w:cs="Times New Roman" w:eastAsia="Times New Roman" w:hAnsi="Times New Roman"/>
          <w:sz w:val="20"/>
          <w:szCs w:val="20"/>
        </w:rPr>
        <w:t xml:space="preserve"> row marks the rate card as sample data. A work order moves through seven stages: received, cutting, bending, welding, coating, inspection and dispatched. Every change appends a row to </w:t>
      </w:r>
      <w:r>
        <w:rPr>
          <w:rFonts w:ascii="Courier New" w:cs="Courier New" w:eastAsia="Courier New" w:hAnsi="Courier New"/>
          <w:sz w:val="18"/>
          <w:szCs w:val="18"/>
        </w:rPr>
        <w:t xml:space="preserve">work_order_events</w:t>
      </w:r>
      <w:r>
        <w:rPr>
          <w:rFonts w:ascii="Times New Roman" w:cs="Times New Roman" w:eastAsia="Times New Roman" w:hAnsi="Times New Roman"/>
          <w:sz w:val="20"/>
          <w:szCs w:val="20"/>
        </w:rPr>
        <w:t xml:space="preserve">, which is what the customer sees as a timeline.</w:t>
      </w:r>
    </w:p>
    <w:p>
      <w:pPr>
        <w:keepNext/>
        <w:spacing w:after="40" w:before="100"/>
        <w:outlineLvl w:val="1"/>
      </w:pPr>
      <w:r>
        <w:rPr>
          <w:rFonts w:ascii="Times New Roman" w:cs="Times New Roman" w:eastAsia="Times New Roman" w:hAnsi="Times New Roman"/>
          <w:b w:val="false"/>
          <w:bCs w:val="false"/>
          <w:i/>
          <w:iCs/>
          <w:sz w:val="20"/>
          <w:szCs w:val="20"/>
        </w:rPr>
        <w:t xml:space="preserve">D. Cost model</w:t>
      </w:r>
    </w:p>
    <w:p>
      <w:pPr>
        <w:spacing w:after="70"/>
        <w:jc w:val="both"/>
      </w:pPr>
      <w:r>
        <w:rPr>
          <w:rFonts w:ascii="Times New Roman" w:cs="Times New Roman" w:eastAsia="Times New Roman" w:hAnsi="Times New Roman"/>
          <w:sz w:val="20"/>
          <w:szCs w:val="20"/>
        </w:rPr>
        <w:t xml:space="preserve">Inputs are the material code, thickness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rPr>
        <w:t xml:space="preserve"> (mm), part length </w:t>
      </w:r>
      <w:r>
        <w:rPr>
          <w:rFonts w:ascii="Times New Roman" w:cs="Times New Roman" w:eastAsia="Times New Roman" w:hAnsi="Times New Roman"/>
          <w:i/>
          <w:iCs/>
          <w:sz w:val="20"/>
          <w:szCs w:val="20"/>
        </w:rPr>
        <w:t xml:space="preserve">L</w:t>
      </w:r>
      <w:r>
        <w:rPr>
          <w:rFonts w:ascii="Times New Roman" w:cs="Times New Roman" w:eastAsia="Times New Roman" w:hAnsi="Times New Roman"/>
          <w:sz w:val="20"/>
          <w:szCs w:val="20"/>
        </w:rPr>
        <w:t xml:space="preserve"> and width </w:t>
      </w:r>
      <w:r>
        <w:rPr>
          <w:rFonts w:ascii="Times New Roman" w:cs="Times New Roman" w:eastAsia="Times New Roman" w:hAnsi="Times New Roman"/>
          <w:i/>
          <w:iCs/>
          <w:sz w:val="20"/>
          <w:szCs w:val="20"/>
        </w:rPr>
        <w:t xml:space="preserve">W</w:t>
      </w:r>
      <w:r>
        <w:rPr>
          <w:rFonts w:ascii="Times New Roman" w:cs="Times New Roman" w:eastAsia="Times New Roman" w:hAnsi="Times New Roman"/>
          <w:sz w:val="20"/>
          <w:szCs w:val="20"/>
        </w:rPr>
        <w:t xml:space="preserve"> (mm), cut length </w:t>
      </w:r>
      <w:r>
        <w:rPr>
          <w:rFonts w:ascii="Times New Roman" w:cs="Times New Roman" w:eastAsia="Times New Roman" w:hAnsi="Times New Roman"/>
          <w:i/>
          <w:iCs/>
          <w:sz w:val="20"/>
          <w:szCs w:val="20"/>
        </w:rPr>
        <w:t xml:space="preserve">ℓ</w:t>
      </w:r>
      <w:r>
        <w:rPr>
          <w:rFonts w:ascii="Times New Roman" w:cs="Times New Roman" w:eastAsia="Times New Roman" w:hAnsi="Times New Roman"/>
          <w:sz w:val="20"/>
          <w:szCs w:val="20"/>
        </w:rPr>
        <w:t xml:space="preserve"> (mm), pierces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vertAlign w:val="subscript"/>
        </w:rPr>
        <w:t xml:space="preserve">p</w:t>
      </w:r>
      <w:r>
        <w:rPr>
          <w:rFonts w:ascii="Times New Roman" w:cs="Times New Roman" w:eastAsia="Times New Roman" w:hAnsi="Times New Roman"/>
          <w:sz w:val="20"/>
          <w:szCs w:val="20"/>
        </w:rPr>
        <w:t xml:space="preserve">, bends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vertAlign w:val="subscript"/>
        </w:rPr>
        <w:t xml:space="preserve">b</w:t>
      </w:r>
      <w:r>
        <w:rPr>
          <w:rFonts w:ascii="Times New Roman" w:cs="Times New Roman" w:eastAsia="Times New Roman" w:hAnsi="Times New Roman"/>
          <w:sz w:val="20"/>
          <w:szCs w:val="20"/>
        </w:rPr>
        <w:t xml:space="preserve">, a powder-coat flag and quantity </w:t>
      </w:r>
      <w:r>
        <w:rPr>
          <w:rFonts w:ascii="Times New Roman" w:cs="Times New Roman" w:eastAsia="Times New Roman" w:hAnsi="Times New Roman"/>
          <w:i/>
          <w:iCs/>
          <w:sz w:val="20"/>
          <w:szCs w:val="20"/>
        </w:rPr>
        <w:t xml:space="preserve">q</w:t>
      </w:r>
      <w:r>
        <w:rPr>
          <w:rFonts w:ascii="Times New Roman" w:cs="Times New Roman" w:eastAsia="Times New Roman" w:hAnsi="Times New Roman"/>
          <w:sz w:val="20"/>
          <w:szCs w:val="20"/>
        </w:rPr>
        <w:t xml:space="preserve">. After validation (the material exists, 0 &lt;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rPr>
        <w:t xml:space="preserve"> ≤ its maximum, quantity ≥ 1, and the part fits the 3000 × 1500 mm bed), the rate row whose thickness band contains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rPr>
        <w:t xml:space="preserve"> is selected. The estimate is:</w:t>
      </w:r>
    </w:p>
    <w:p>
      <w:pPr>
        <w:tabs>
          <w:tab w:val="center" w:pos="2430"/>
          <w:tab w:val="right" w:pos="4860"/>
        </w:tabs>
        <w:spacing w:after="60" w:before="40"/>
      </w:pP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A = L·W / 10</w:t>
      </w:r>
      <w:r>
        <w:rPr>
          <w:rFonts w:ascii="Times New Roman" w:cs="Times New Roman" w:eastAsia="Times New Roman" w:hAnsi="Times New Roman"/>
          <w:i/>
          <w:iCs/>
          <w:sz w:val="20"/>
          <w:szCs w:val="20"/>
          <w:vertAlign w:val="superscript"/>
        </w:rPr>
        <w:t xml:space="preserve">6</w:t>
      </w:r>
      <w:r>
        <w:rPr>
          <w:rFonts w:ascii="Times New Roman" w:cs="Times New Roman" w:eastAsia="Times New Roman" w:hAnsi="Times New Roman"/>
          <w:i/>
          <w:iCs/>
          <w:sz w:val="20"/>
          <w:szCs w:val="20"/>
        </w:rPr>
        <w:t xml:space="preserve">  [m²],   m = A·t·ρ  [kg]</w:t>
      </w:r>
      <w:r>
        <w:rPr>
          <w:rFonts w:ascii="Times New Roman" w:cs="Times New Roman" w:eastAsia="Times New Roman" w:hAnsi="Times New Roman"/>
          <w:sz w:val="20"/>
          <w:szCs w:val="20"/>
        </w:rPr>
        <w:t xml:space="preserve">	(1)</w:t>
      </w:r>
    </w:p>
    <w:p>
      <w:pPr>
        <w:tabs>
          <w:tab w:val="center" w:pos="2430"/>
          <w:tab w:val="right" w:pos="4860"/>
        </w:tabs>
        <w:spacing w:after="60" w:before="40"/>
      </w:pP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C</w:t>
      </w:r>
      <w:r>
        <w:rPr>
          <w:rFonts w:ascii="Times New Roman" w:cs="Times New Roman" w:eastAsia="Times New Roman" w:hAnsi="Times New Roman"/>
          <w:i/>
          <w:iCs/>
          <w:sz w:val="20"/>
          <w:szCs w:val="20"/>
          <w:vertAlign w:val="subscript"/>
        </w:rPr>
        <w:t xml:space="preserve">mat</w:t>
      </w:r>
      <w:r>
        <w:rPr>
          <w:rFonts w:ascii="Times New Roman" w:cs="Times New Roman" w:eastAsia="Times New Roman" w:hAnsi="Times New Roman"/>
          <w:i/>
          <w:iCs/>
          <w:sz w:val="20"/>
          <w:szCs w:val="20"/>
        </w:rPr>
        <w:t xml:space="preserve"> = m·r</w:t>
      </w:r>
      <w:r>
        <w:rPr>
          <w:rFonts w:ascii="Times New Roman" w:cs="Times New Roman" w:eastAsia="Times New Roman" w:hAnsi="Times New Roman"/>
          <w:i/>
          <w:iCs/>
          <w:sz w:val="20"/>
          <w:szCs w:val="20"/>
          <w:vertAlign w:val="subscript"/>
        </w:rPr>
        <w:t xml:space="preserve">kg</w:t>
      </w:r>
      <w:r>
        <w:rPr>
          <w:rFonts w:ascii="Times New Roman" w:cs="Times New Roman" w:eastAsia="Times New Roman" w:hAnsi="Times New Roman"/>
          <w:i/>
          <w:iCs/>
          <w:sz w:val="20"/>
          <w:szCs w:val="20"/>
        </w:rPr>
        <w:t xml:space="preserve">,   C</w:t>
      </w:r>
      <w:r>
        <w:rPr>
          <w:rFonts w:ascii="Times New Roman" w:cs="Times New Roman" w:eastAsia="Times New Roman" w:hAnsi="Times New Roman"/>
          <w:i/>
          <w:iCs/>
          <w:sz w:val="20"/>
          <w:szCs w:val="20"/>
          <w:vertAlign w:val="subscript"/>
        </w:rPr>
        <w:t xml:space="preserve">cut</w:t>
      </w:r>
      <w:r>
        <w:rPr>
          <w:rFonts w:ascii="Times New Roman" w:cs="Times New Roman" w:eastAsia="Times New Roman" w:hAnsi="Times New Roman"/>
          <w:i/>
          <w:iCs/>
          <w:sz w:val="20"/>
          <w:szCs w:val="20"/>
        </w:rPr>
        <w:t xml:space="preserve"> = (ℓ/1000)·r</w:t>
      </w:r>
      <w:r>
        <w:rPr>
          <w:rFonts w:ascii="Times New Roman" w:cs="Times New Roman" w:eastAsia="Times New Roman" w:hAnsi="Times New Roman"/>
          <w:i/>
          <w:iCs/>
          <w:sz w:val="20"/>
          <w:szCs w:val="20"/>
          <w:vertAlign w:val="subscript"/>
        </w:rPr>
        <w:t xml:space="preserve">cut</w:t>
      </w:r>
      <w:r>
        <w:rPr>
          <w:rFonts w:ascii="Times New Roman" w:cs="Times New Roman" w:eastAsia="Times New Roman" w:hAnsi="Times New Roman"/>
          <w:i/>
          <w:iCs/>
          <w:sz w:val="20"/>
          <w:szCs w:val="20"/>
        </w:rPr>
        <w:t xml:space="preserve">,   C</w:t>
      </w:r>
      <w:r>
        <w:rPr>
          <w:rFonts w:ascii="Times New Roman" w:cs="Times New Roman" w:eastAsia="Times New Roman" w:hAnsi="Times New Roman"/>
          <w:i/>
          <w:iCs/>
          <w:sz w:val="20"/>
          <w:szCs w:val="20"/>
          <w:vertAlign w:val="subscript"/>
        </w:rPr>
        <w:t xml:space="preserve">prc</w:t>
      </w:r>
      <w:r>
        <w:rPr>
          <w:rFonts w:ascii="Times New Roman" w:cs="Times New Roman" w:eastAsia="Times New Roman" w:hAnsi="Times New Roman"/>
          <w:i/>
          <w:iCs/>
          <w:sz w:val="20"/>
          <w:szCs w:val="20"/>
        </w:rPr>
        <w:t xml:space="preserve"> = n</w:t>
      </w:r>
      <w:r>
        <w:rPr>
          <w:rFonts w:ascii="Times New Roman" w:cs="Times New Roman" w:eastAsia="Times New Roman" w:hAnsi="Times New Roman"/>
          <w:i/>
          <w:iCs/>
          <w:sz w:val="20"/>
          <w:szCs w:val="20"/>
          <w:vertAlign w:val="subscript"/>
        </w:rPr>
        <w:t xml:space="preserve">p</w:t>
      </w:r>
      <w:r>
        <w:rPr>
          <w:rFonts w:ascii="Times New Roman" w:cs="Times New Roman" w:eastAsia="Times New Roman" w:hAnsi="Times New Roman"/>
          <w:i/>
          <w:iCs/>
          <w:sz w:val="20"/>
          <w:szCs w:val="20"/>
        </w:rPr>
        <w:t xml:space="preserve">·r</w:t>
      </w:r>
      <w:r>
        <w:rPr>
          <w:rFonts w:ascii="Times New Roman" w:cs="Times New Roman" w:eastAsia="Times New Roman" w:hAnsi="Times New Roman"/>
          <w:i/>
          <w:iCs/>
          <w:sz w:val="20"/>
          <w:szCs w:val="20"/>
          <w:vertAlign w:val="subscript"/>
        </w:rPr>
        <w:t xml:space="preserve">p</w:t>
      </w:r>
      <w:r>
        <w:rPr>
          <w:rFonts w:ascii="Times New Roman" w:cs="Times New Roman" w:eastAsia="Times New Roman" w:hAnsi="Times New Roman"/>
          <w:i/>
          <w:iCs/>
          <w:sz w:val="20"/>
          <w:szCs w:val="20"/>
        </w:rPr>
        <w:t xml:space="preserve">,   C</w:t>
      </w:r>
      <w:r>
        <w:rPr>
          <w:rFonts w:ascii="Times New Roman" w:cs="Times New Roman" w:eastAsia="Times New Roman" w:hAnsi="Times New Roman"/>
          <w:i/>
          <w:iCs/>
          <w:sz w:val="20"/>
          <w:szCs w:val="20"/>
          <w:vertAlign w:val="subscript"/>
        </w:rPr>
        <w:t xml:space="preserve">bnd</w:t>
      </w:r>
      <w:r>
        <w:rPr>
          <w:rFonts w:ascii="Times New Roman" w:cs="Times New Roman" w:eastAsia="Times New Roman" w:hAnsi="Times New Roman"/>
          <w:i/>
          <w:iCs/>
          <w:sz w:val="20"/>
          <w:szCs w:val="20"/>
        </w:rPr>
        <w:t xml:space="preserve"> = n</w:t>
      </w:r>
      <w:r>
        <w:rPr>
          <w:rFonts w:ascii="Times New Roman" w:cs="Times New Roman" w:eastAsia="Times New Roman" w:hAnsi="Times New Roman"/>
          <w:i/>
          <w:iCs/>
          <w:sz w:val="20"/>
          <w:szCs w:val="20"/>
          <w:vertAlign w:val="subscript"/>
        </w:rPr>
        <w:t xml:space="preserve">b</w:t>
      </w:r>
      <w:r>
        <w:rPr>
          <w:rFonts w:ascii="Times New Roman" w:cs="Times New Roman" w:eastAsia="Times New Roman" w:hAnsi="Times New Roman"/>
          <w:i/>
          <w:iCs/>
          <w:sz w:val="20"/>
          <w:szCs w:val="20"/>
        </w:rPr>
        <w:t xml:space="preserve">·r</w:t>
      </w:r>
      <w:r>
        <w:rPr>
          <w:rFonts w:ascii="Times New Roman" w:cs="Times New Roman" w:eastAsia="Times New Roman" w:hAnsi="Times New Roman"/>
          <w:i/>
          <w:iCs/>
          <w:sz w:val="20"/>
          <w:szCs w:val="20"/>
          <w:vertAlign w:val="subscript"/>
        </w:rPr>
        <w:t xml:space="preserve">b</w:t>
      </w:r>
      <w:r>
        <w:rPr>
          <w:rFonts w:ascii="Times New Roman" w:cs="Times New Roman" w:eastAsia="Times New Roman" w:hAnsi="Times New Roman"/>
          <w:sz w:val="20"/>
          <w:szCs w:val="20"/>
        </w:rPr>
        <w:t xml:space="preserve">	(2)</w:t>
      </w:r>
    </w:p>
    <w:p>
      <w:pPr>
        <w:tabs>
          <w:tab w:val="center" w:pos="2430"/>
          <w:tab w:val="right" w:pos="4860"/>
        </w:tabs>
        <w:spacing w:after="60" w:before="40"/>
      </w:pP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C</w:t>
      </w:r>
      <w:r>
        <w:rPr>
          <w:rFonts w:ascii="Times New Roman" w:cs="Times New Roman" w:eastAsia="Times New Roman" w:hAnsi="Times New Roman"/>
          <w:i/>
          <w:iCs/>
          <w:sz w:val="20"/>
          <w:szCs w:val="20"/>
          <w:vertAlign w:val="subscript"/>
        </w:rPr>
        <w:t xml:space="preserve">coat</w:t>
      </w:r>
      <w:r>
        <w:rPr>
          <w:rFonts w:ascii="Times New Roman" w:cs="Times New Roman" w:eastAsia="Times New Roman" w:hAnsi="Times New Roman"/>
          <w:i/>
          <w:iCs/>
          <w:sz w:val="20"/>
          <w:szCs w:val="20"/>
        </w:rPr>
        <w:t xml:space="preserve"> = 2·A·r</w:t>
      </w:r>
      <w:r>
        <w:rPr>
          <w:rFonts w:ascii="Times New Roman" w:cs="Times New Roman" w:eastAsia="Times New Roman" w:hAnsi="Times New Roman"/>
          <w:i/>
          <w:iCs/>
          <w:sz w:val="20"/>
          <w:szCs w:val="20"/>
          <w:vertAlign w:val="subscript"/>
        </w:rPr>
        <w:t xml:space="preserve">c</w:t>
      </w:r>
      <w:r>
        <w:rPr>
          <w:rFonts w:ascii="Times New Roman" w:cs="Times New Roman" w:eastAsia="Times New Roman" w:hAnsi="Times New Roman"/>
          <w:i/>
          <w:iCs/>
          <w:sz w:val="20"/>
          <w:szCs w:val="20"/>
        </w:rPr>
        <w:t xml:space="preserve">  (powder coat only, otherwise 0)</w:t>
      </w:r>
      <w:r>
        <w:rPr>
          <w:rFonts w:ascii="Times New Roman" w:cs="Times New Roman" w:eastAsia="Times New Roman" w:hAnsi="Times New Roman"/>
          <w:sz w:val="20"/>
          <w:szCs w:val="20"/>
        </w:rPr>
        <w:t xml:space="preserve">	(3)</w:t>
      </w:r>
    </w:p>
    <w:p>
      <w:pPr>
        <w:tabs>
          <w:tab w:val="center" w:pos="2430"/>
          <w:tab w:val="right" w:pos="4860"/>
        </w:tabs>
        <w:spacing w:after="60" w:before="40"/>
      </w:pP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P = Σ round</w:t>
      </w:r>
      <w:r>
        <w:rPr>
          <w:rFonts w:ascii="Times New Roman" w:cs="Times New Roman" w:eastAsia="Times New Roman" w:hAnsi="Times New Roman"/>
          <w:i/>
          <w:iCs/>
          <w:sz w:val="20"/>
          <w:szCs w:val="20"/>
          <w:vertAlign w:val="subscript"/>
        </w:rPr>
        <w:t xml:space="preserve">2</w:t>
      </w:r>
      <w:r>
        <w:rPr>
          <w:rFonts w:ascii="Times New Roman" w:cs="Times New Roman" w:eastAsia="Times New Roman" w:hAnsi="Times New Roman"/>
          <w:i/>
          <w:iCs/>
          <w:sz w:val="20"/>
          <w:szCs w:val="20"/>
        </w:rPr>
        <w:t xml:space="preserve">(C</w:t>
      </w:r>
      <w:r>
        <w:rPr>
          <w:rFonts w:ascii="Times New Roman" w:cs="Times New Roman" w:eastAsia="Times New Roman" w:hAnsi="Times New Roman"/>
          <w:i/>
          <w:iCs/>
          <w:sz w:val="20"/>
          <w:szCs w:val="20"/>
          <w:vertAlign w:val="subscript"/>
        </w:rPr>
        <w:t xml:space="preserve">i</w:t>
      </w:r>
      <w:r>
        <w:rPr>
          <w:rFonts w:ascii="Times New Roman" w:cs="Times New Roman" w:eastAsia="Times New Roman" w:hAnsi="Times New Roman"/>
          <w:i/>
          <w:iCs/>
          <w:sz w:val="20"/>
          <w:szCs w:val="20"/>
        </w:rPr>
        <w:t xml:space="preserve">),   S = round</w:t>
      </w:r>
      <w:r>
        <w:rPr>
          <w:rFonts w:ascii="Times New Roman" w:cs="Times New Roman" w:eastAsia="Times New Roman" w:hAnsi="Times New Roman"/>
          <w:i/>
          <w:iCs/>
          <w:sz w:val="20"/>
          <w:szCs w:val="20"/>
          <w:vertAlign w:val="subscript"/>
        </w:rPr>
        <w:t xml:space="preserve">2</w:t>
      </w:r>
      <w:r>
        <w:rPr>
          <w:rFonts w:ascii="Times New Roman" w:cs="Times New Roman" w:eastAsia="Times New Roman" w:hAnsi="Times New Roman"/>
          <w:i/>
          <w:iCs/>
          <w:sz w:val="20"/>
          <w:szCs w:val="20"/>
        </w:rPr>
        <w:t xml:space="preserve">(P·q),   G = round</w:t>
      </w:r>
      <w:r>
        <w:rPr>
          <w:rFonts w:ascii="Times New Roman" w:cs="Times New Roman" w:eastAsia="Times New Roman" w:hAnsi="Times New Roman"/>
          <w:i/>
          <w:iCs/>
          <w:sz w:val="20"/>
          <w:szCs w:val="20"/>
          <w:vertAlign w:val="subscript"/>
        </w:rPr>
        <w:t xml:space="preserve">2</w:t>
      </w:r>
      <w:r>
        <w:rPr>
          <w:rFonts w:ascii="Times New Roman" w:cs="Times New Roman" w:eastAsia="Times New Roman" w:hAnsi="Times New Roman"/>
          <w:i/>
          <w:iCs/>
          <w:sz w:val="20"/>
          <w:szCs w:val="20"/>
        </w:rPr>
        <w:t xml:space="preserve">(S·g/100),   T = S + G</w:t>
      </w:r>
      <w:r>
        <w:rPr>
          <w:rFonts w:ascii="Times New Roman" w:cs="Times New Roman" w:eastAsia="Times New Roman" w:hAnsi="Times New Roman"/>
          <w:sz w:val="20"/>
          <w:szCs w:val="20"/>
        </w:rPr>
        <w:t xml:space="preserve">	(4)</w:t>
      </w:r>
    </w:p>
    <w:p>
      <w:pPr>
        <w:spacing w:after="70"/>
        <w:jc w:val="both"/>
      </w:pPr>
      <w:r>
        <w:rPr>
          <w:rFonts w:ascii="Times New Roman" w:cs="Times New Roman" w:eastAsia="Times New Roman" w:hAnsi="Times New Roman"/>
          <w:sz w:val="20"/>
          <w:szCs w:val="20"/>
        </w:rPr>
        <w:t xml:space="preserve">Here ρ is the material density in g/cm³ (so </w:t>
      </w:r>
      <w:r>
        <w:rPr>
          <w:rFonts w:ascii="Times New Roman" w:cs="Times New Roman" w:eastAsia="Times New Roman" w:hAnsi="Times New Roman"/>
          <w:i/>
          <w:iCs/>
          <w:sz w:val="20"/>
          <w:szCs w:val="20"/>
        </w:rPr>
        <w:t xml:space="preserve">A·t·ρ</w:t>
      </w:r>
      <w:r>
        <w:rPr>
          <w:rFonts w:ascii="Times New Roman" w:cs="Times New Roman" w:eastAsia="Times New Roman" w:hAnsi="Times New Roman"/>
          <w:sz w:val="20"/>
          <w:szCs w:val="20"/>
        </w:rPr>
        <w:t xml:space="preserve"> is in kg), </w:t>
      </w:r>
      <w:r>
        <w:rPr>
          <w:rFonts w:ascii="Times New Roman" w:cs="Times New Roman" w:eastAsia="Times New Roman" w:hAnsi="Times New Roman"/>
          <w:i/>
          <w:iCs/>
          <w:sz w:val="20"/>
          <w:szCs w:val="20"/>
        </w:rPr>
        <w:t xml:space="preserve">r</w:t>
      </w:r>
      <w:r>
        <w:rPr>
          <w:rFonts w:ascii="Times New Roman" w:cs="Times New Roman" w:eastAsia="Times New Roman" w:hAnsi="Times New Roman"/>
          <w:sz w:val="20"/>
          <w:szCs w:val="20"/>
          <w:vertAlign w:val="subscript"/>
        </w:rPr>
        <w:t xml:space="preserve">kg</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r</w:t>
      </w:r>
      <w:r>
        <w:rPr>
          <w:rFonts w:ascii="Times New Roman" w:cs="Times New Roman" w:eastAsia="Times New Roman" w:hAnsi="Times New Roman"/>
          <w:sz w:val="20"/>
          <w:szCs w:val="20"/>
          <w:vertAlign w:val="subscript"/>
        </w:rPr>
        <w:t xml:space="preserve">cut</w:t>
      </w:r>
      <w:r>
        <w:rPr>
          <w:rFonts w:ascii="Times New Roman" w:cs="Times New Roman" w:eastAsia="Times New Roman" w:hAnsi="Times New Roman"/>
          <w:sz w:val="20"/>
          <w:szCs w:val="20"/>
        </w:rPr>
        <w:t xml:space="preserve"> and </w:t>
      </w:r>
      <w:r>
        <w:rPr>
          <w:rFonts w:ascii="Times New Roman" w:cs="Times New Roman" w:eastAsia="Times New Roman" w:hAnsi="Times New Roman"/>
          <w:i/>
          <w:iCs/>
          <w:sz w:val="20"/>
          <w:szCs w:val="20"/>
        </w:rPr>
        <w:t xml:space="preserve">r</w:t>
      </w:r>
      <w:r>
        <w:rPr>
          <w:rFonts w:ascii="Times New Roman" w:cs="Times New Roman" w:eastAsia="Times New Roman" w:hAnsi="Times New Roman"/>
          <w:sz w:val="20"/>
          <w:szCs w:val="20"/>
          <w:vertAlign w:val="subscript"/>
        </w:rPr>
        <w:t xml:space="preserve">p</w:t>
      </w:r>
      <w:r>
        <w:rPr>
          <w:rFonts w:ascii="Times New Roman" w:cs="Times New Roman" w:eastAsia="Times New Roman" w:hAnsi="Times New Roman"/>
          <w:sz w:val="20"/>
          <w:szCs w:val="20"/>
        </w:rPr>
        <w:t xml:space="preserve"> come from the selected rate row, </w:t>
      </w:r>
      <w:r>
        <w:rPr>
          <w:rFonts w:ascii="Times New Roman" w:cs="Times New Roman" w:eastAsia="Times New Roman" w:hAnsi="Times New Roman"/>
          <w:i/>
          <w:iCs/>
          <w:sz w:val="20"/>
          <w:szCs w:val="20"/>
        </w:rPr>
        <w:t xml:space="preserve">r</w:t>
      </w:r>
      <w:r>
        <w:rPr>
          <w:rFonts w:ascii="Times New Roman" w:cs="Times New Roman" w:eastAsia="Times New Roman" w:hAnsi="Times New Roman"/>
          <w:sz w:val="20"/>
          <w:szCs w:val="20"/>
          <w:vertAlign w:val="subscript"/>
        </w:rPr>
        <w:t xml:space="preserve">b</w:t>
      </w:r>
      <w:r>
        <w:rPr>
          <w:rFonts w:ascii="Times New Roman" w:cs="Times New Roman" w:eastAsia="Times New Roman" w:hAnsi="Times New Roman"/>
          <w:sz w:val="20"/>
          <w:szCs w:val="20"/>
        </w:rPr>
        <w:t xml:space="preserve"> and </w:t>
      </w:r>
      <w:r>
        <w:rPr>
          <w:rFonts w:ascii="Times New Roman" w:cs="Times New Roman" w:eastAsia="Times New Roman" w:hAnsi="Times New Roman"/>
          <w:i/>
          <w:iCs/>
          <w:sz w:val="20"/>
          <w:szCs w:val="20"/>
        </w:rPr>
        <w:t xml:space="preserve">r</w:t>
      </w:r>
      <w:r>
        <w:rPr>
          <w:rFonts w:ascii="Times New Roman" w:cs="Times New Roman" w:eastAsia="Times New Roman" w:hAnsi="Times New Roman"/>
          <w:sz w:val="20"/>
          <w:szCs w:val="20"/>
          <w:vertAlign w:val="subscript"/>
        </w:rPr>
        <w:t xml:space="preserve">c</w:t>
      </w:r>
      <w:r>
        <w:rPr>
          <w:rFonts w:ascii="Times New Roman" w:cs="Times New Roman" w:eastAsia="Times New Roman" w:hAnsi="Times New Roman"/>
          <w:sz w:val="20"/>
          <w:szCs w:val="20"/>
        </w:rPr>
        <w:t xml:space="preserve"> are the bend and powder-coat rates, </w:t>
      </w:r>
      <w:r>
        <w:rPr>
          <w:rFonts w:ascii="Times New Roman" w:cs="Times New Roman" w:eastAsia="Times New Roman" w:hAnsi="Times New Roman"/>
          <w:i/>
          <w:iCs/>
          <w:sz w:val="20"/>
          <w:szCs w:val="20"/>
        </w:rPr>
        <w:t xml:space="preserve">g</w:t>
      </w:r>
      <w:r>
        <w:rPr>
          <w:rFonts w:ascii="Times New Roman" w:cs="Times New Roman" w:eastAsia="Times New Roman" w:hAnsi="Times New Roman"/>
          <w:sz w:val="20"/>
          <w:szCs w:val="20"/>
        </w:rPr>
        <w:t xml:space="preserve"> is the GST percentage (18 % in the seed data), and round</w:t>
      </w:r>
      <w:r>
        <w:rPr>
          <w:rFonts w:ascii="Times New Roman" w:cs="Times New Roman" w:eastAsia="Times New Roman" w:hAnsi="Times New Roman"/>
          <w:sz w:val="20"/>
          <w:szCs w:val="20"/>
          <w:vertAlign w:val="subscript"/>
        </w:rPr>
        <w:t xml:space="preserve">2</w:t>
      </w:r>
      <w:r>
        <w:rPr>
          <w:rFonts w:ascii="Times New Roman" w:cs="Times New Roman" w:eastAsia="Times New Roman" w:hAnsi="Times New Roman"/>
          <w:sz w:val="20"/>
          <w:szCs w:val="20"/>
        </w:rPr>
        <w:t xml:space="preserve"> rounds half-up to two decimals. The rule "round each line, then add" is the single rule that keeps the four implementations identical to the paisa. The seed rate card is </w:t>
      </w:r>
      <w:r>
        <w:rPr>
          <w:rFonts w:ascii="Times New Roman" w:cs="Times New Roman" w:eastAsia="Times New Roman" w:hAnsi="Times New Roman"/>
          <w:b/>
          <w:bCs/>
          <w:sz w:val="20"/>
          <w:szCs w:val="20"/>
        </w:rPr>
        <w:t xml:space="preserve">sample data</w:t>
      </w:r>
      <w:r>
        <w:rPr>
          <w:rFonts w:ascii="Times New Roman" w:cs="Times New Roman" w:eastAsia="Times New Roman" w:hAnsi="Times New Roman"/>
          <w:sz w:val="20"/>
          <w:szCs w:val="20"/>
        </w:rPr>
        <w:t xml:space="preserve"> (flag </w:t>
      </w:r>
      <w:r>
        <w:rPr>
          <w:rFonts w:ascii="Courier New" w:cs="Courier New" w:eastAsia="Courier New" w:hAnsi="Courier New"/>
          <w:sz w:val="18"/>
          <w:szCs w:val="18"/>
        </w:rPr>
        <w:t xml:space="preserve">is_sample = 1</w:t>
      </w:r>
      <w:r>
        <w:rPr>
          <w:rFonts w:ascii="Times New Roman" w:cs="Times New Roman" w:eastAsia="Times New Roman" w:hAnsi="Times New Roman"/>
          <w:sz w:val="20"/>
          <w:szCs w:val="20"/>
        </w:rPr>
        <w:t xml:space="preserve">), so every estimate is labelled "Indicative estimate; final quote on WhatsApp".</w:t>
      </w:r>
    </w:p>
    <w:p>
      <w:pPr>
        <w:keepNext/>
        <w:spacing w:after="40" w:before="100"/>
        <w:outlineLvl w:val="1"/>
      </w:pPr>
      <w:r>
        <w:rPr>
          <w:rFonts w:ascii="Times New Roman" w:cs="Times New Roman" w:eastAsia="Times New Roman" w:hAnsi="Times New Roman"/>
          <w:b w:val="false"/>
          <w:bCs w:val="false"/>
          <w:i/>
          <w:iCs/>
          <w:sz w:val="20"/>
          <w:szCs w:val="20"/>
        </w:rPr>
        <w:t xml:space="preserve">E. Security design</w:t>
      </w:r>
    </w:p>
    <w:p>
      <w:pPr>
        <w:pStyle w:val="ListParagraph"/>
        <w:numPr>
          <w:ilvl w:val="0"/>
          <w:numId w:val="3"/>
        </w:numPr>
        <w:spacing w:after="30"/>
        <w:jc w:val="both"/>
      </w:pPr>
      <w:r>
        <w:rPr>
          <w:rFonts w:ascii="Times New Roman" w:cs="Times New Roman" w:eastAsia="Times New Roman" w:hAnsi="Times New Roman"/>
          <w:b/>
          <w:bCs/>
          <w:sz w:val="20"/>
          <w:szCs w:val="20"/>
        </w:rPr>
        <w:t xml:space="preserve">Authentication.</w:t>
      </w:r>
      <w:r>
        <w:rPr>
          <w:rFonts w:ascii="Times New Roman" w:cs="Times New Roman" w:eastAsia="Times New Roman" w:hAnsi="Times New Roman"/>
          <w:sz w:val="20"/>
          <w:szCs w:val="20"/>
        </w:rPr>
        <w:t xml:space="preserve"> Spring Boot issues an HS256 JWT (8 h) that Node.js also accepts because both services share one secret. Roles are admin, staff and customer. The Next.js site keeps the token in an httpOnly, SameSite=Lax cookie that browser JavaScript cannot read.</w:t>
      </w:r>
    </w:p>
    <w:p>
      <w:pPr>
        <w:pStyle w:val="ListParagraph"/>
        <w:numPr>
          <w:ilvl w:val="0"/>
          <w:numId w:val="3"/>
        </w:numPr>
        <w:spacing w:after="30"/>
        <w:jc w:val="both"/>
      </w:pPr>
      <w:r>
        <w:rPr>
          <w:rFonts w:ascii="Times New Roman" w:cs="Times New Roman" w:eastAsia="Times New Roman" w:hAnsi="Times New Roman"/>
          <w:b/>
          <w:bCs/>
          <w:sz w:val="20"/>
          <w:szCs w:val="20"/>
        </w:rPr>
        <w:t xml:space="preserve">Passwords.</w:t>
      </w:r>
      <w:r>
        <w:rPr>
          <w:rFonts w:ascii="Times New Roman" w:cs="Times New Roman" w:eastAsia="Times New Roman" w:hAnsi="Times New Roman"/>
          <w:sz w:val="20"/>
          <w:szCs w:val="20"/>
        </w:rPr>
        <w:t xml:space="preserve"> Stored as bcrypt (</w:t>
      </w:r>
      <w:r>
        <w:rPr>
          <w:rFonts w:ascii="Courier New" w:cs="Courier New" w:eastAsia="Courier New" w:hAnsi="Courier New"/>
          <w:sz w:val="18"/>
          <w:szCs w:val="18"/>
        </w:rPr>
        <w:t xml:space="preserve">$2y$</w:t>
      </w:r>
      <w:r>
        <w:rPr>
          <w:rFonts w:ascii="Times New Roman" w:cs="Times New Roman" w:eastAsia="Times New Roman" w:hAnsi="Times New Roman"/>
          <w:sz w:val="20"/>
          <w:szCs w:val="20"/>
        </w:rPr>
        <w:t xml:space="preserve">) hashes in the shared </w:t>
      </w:r>
      <w:r>
        <w:rPr>
          <w:rFonts w:ascii="Courier New" w:cs="Courier New" w:eastAsia="Courier New" w:hAnsi="Courier New"/>
          <w:sz w:val="18"/>
          <w:szCs w:val="18"/>
        </w:rPr>
        <w:t xml:space="preserve">users</w:t>
      </w:r>
      <w:r>
        <w:rPr>
          <w:rFonts w:ascii="Times New Roman" w:cs="Times New Roman" w:eastAsia="Times New Roman" w:hAnsi="Times New Roman"/>
          <w:sz w:val="20"/>
          <w:szCs w:val="20"/>
        </w:rPr>
        <w:t xml:space="preserve"> table.</w:t>
      </w:r>
    </w:p>
    <w:p>
      <w:pPr>
        <w:pStyle w:val="ListParagraph"/>
        <w:numPr>
          <w:ilvl w:val="0"/>
          <w:numId w:val="3"/>
        </w:numPr>
        <w:spacing w:after="30"/>
        <w:jc w:val="both"/>
      </w:pPr>
      <w:r>
        <w:rPr>
          <w:rFonts w:ascii="Times New Roman" w:cs="Times New Roman" w:eastAsia="Times New Roman" w:hAnsi="Times New Roman"/>
          <w:b/>
          <w:bCs/>
          <w:sz w:val="20"/>
          <w:szCs w:val="20"/>
        </w:rPr>
        <w:t xml:space="preserve">Input handling.</w:t>
      </w:r>
      <w:r>
        <w:rPr>
          <w:rFonts w:ascii="Times New Roman" w:cs="Times New Roman" w:eastAsia="Times New Roman" w:hAnsi="Times New Roman"/>
          <w:sz w:val="20"/>
          <w:szCs w:val="20"/>
        </w:rPr>
        <w:t xml:space="preserve"> Node.js validates bodies with zod and uses prepared statements; PHP and Laravel use CSRF tokens (a missing token yields HTTP 303 or 419); the estimate API rejects out-of-range inputs with HTTP 400 and a field-level error body.</w:t>
      </w:r>
    </w:p>
    <w:p>
      <w:pPr>
        <w:pStyle w:val="ListParagraph"/>
        <w:numPr>
          <w:ilvl w:val="0"/>
          <w:numId w:val="3"/>
        </w:numPr>
        <w:spacing w:after="30"/>
        <w:jc w:val="both"/>
      </w:pPr>
      <w:r>
        <w:rPr>
          <w:rFonts w:ascii="Times New Roman" w:cs="Times New Roman" w:eastAsia="Times New Roman" w:hAnsi="Times New Roman"/>
          <w:b/>
          <w:bCs/>
          <w:sz w:val="20"/>
          <w:szCs w:val="20"/>
        </w:rPr>
        <w:t xml:space="preserve">Uploads.</w:t>
      </w:r>
      <w:r>
        <w:rPr>
          <w:rFonts w:ascii="Times New Roman" w:cs="Times New Roman" w:eastAsia="Times New Roman" w:hAnsi="Times New Roman"/>
          <w:sz w:val="20"/>
          <w:szCs w:val="20"/>
        </w:rPr>
        <w:t xml:space="preserve"> Allowed types are DXF, DWG, PDF, PNG and JPG up to 10 MB; files are stored privately and served only to authenticated staff.</w:t>
      </w:r>
    </w:p>
    <w:p>
      <w:pPr>
        <w:pStyle w:val="ListParagraph"/>
        <w:numPr>
          <w:ilvl w:val="0"/>
          <w:numId w:val="3"/>
        </w:numPr>
        <w:spacing w:after="30"/>
        <w:jc w:val="both"/>
      </w:pPr>
      <w:r>
        <w:rPr>
          <w:rFonts w:ascii="Times New Roman" w:cs="Times New Roman" w:eastAsia="Times New Roman" w:hAnsi="Times New Roman"/>
          <w:b/>
          <w:bCs/>
          <w:sz w:val="20"/>
          <w:szCs w:val="20"/>
        </w:rPr>
        <w:t xml:space="preserve">Abuse control.</w:t>
      </w:r>
      <w:r>
        <w:rPr>
          <w:rFonts w:ascii="Times New Roman" w:cs="Times New Roman" w:eastAsia="Times New Roman" w:hAnsi="Times New Roman"/>
          <w:sz w:val="20"/>
          <w:szCs w:val="20"/>
        </w:rPr>
        <w:t xml:space="preserve"> The enquiry endpoint is rate-limited (HTTP 429), Node.js uses the helmet header set, and all APIs accept only an allow-list of origins.</w:t>
      </w:r>
    </w:p>
    <w:p>
      <w:pPr>
        <w:pStyle w:val="ListParagraph"/>
        <w:numPr>
          <w:ilvl w:val="0"/>
          <w:numId w:val="3"/>
        </w:numPr>
        <w:spacing w:after="30"/>
        <w:jc w:val="both"/>
      </w:pPr>
      <w:r>
        <w:rPr>
          <w:rFonts w:ascii="Times New Roman" w:cs="Times New Roman" w:eastAsia="Times New Roman" w:hAnsi="Times New Roman"/>
          <w:b/>
          <w:bCs/>
          <w:sz w:val="20"/>
          <w:szCs w:val="20"/>
        </w:rPr>
        <w:t xml:space="preserve">Privacy in tracking.</w:t>
      </w:r>
      <w:r>
        <w:rPr>
          <w:rFonts w:ascii="Times New Roman" w:cs="Times New Roman" w:eastAsia="Times New Roman" w:hAnsi="Times New Roman"/>
          <w:sz w:val="20"/>
          <w:szCs w:val="20"/>
        </w:rPr>
        <w:t xml:space="preserve"> An order is shown only if the order number and phone number both match, and the phone number is displayed masked.</w:t>
      </w:r>
    </w:p>
    <w:p>
      <w:pPr>
        <w:keepNext/>
        <w:spacing w:after="40" w:before="100"/>
        <w:outlineLvl w:val="1"/>
      </w:pPr>
      <w:r>
        <w:rPr>
          <w:rFonts w:ascii="Times New Roman" w:cs="Times New Roman" w:eastAsia="Times New Roman" w:hAnsi="Times New Roman"/>
          <w:b w:val="false"/>
          <w:bCs w:val="false"/>
          <w:i/>
          <w:iCs/>
          <w:sz w:val="20"/>
          <w:szCs w:val="20"/>
        </w:rPr>
        <w:t xml:space="preserve">F. Live updates and offline resilience</w:t>
      </w:r>
    </w:p>
    <w:p>
      <w:pPr>
        <w:spacing w:after="70"/>
        <w:jc w:val="both"/>
      </w:pPr>
      <w:r>
        <w:rPr>
          <w:rFonts w:ascii="Times New Roman" w:cs="Times New Roman" w:eastAsia="Times New Roman" w:hAnsi="Times New Roman"/>
          <w:sz w:val="20"/>
          <w:szCs w:val="20"/>
        </w:rPr>
        <w:t xml:space="preserve">When staff change a job status, Spring Boot saves the change and an event row, then publishes a message on the STOMP topic </w:t>
      </w:r>
      <w:r>
        <w:rPr>
          <w:rFonts w:ascii="Courier New" w:cs="Courier New" w:eastAsia="Courier New" w:hAnsi="Courier New"/>
          <w:sz w:val="18"/>
          <w:szCs w:val="18"/>
        </w:rPr>
        <w:t xml:space="preserve">/topic/work-orders</w:t>
      </w:r>
      <w:r>
        <w:rPr>
          <w:rFonts w:ascii="Times New Roman" w:cs="Times New Roman" w:eastAsia="Times New Roman" w:hAnsi="Times New Roman"/>
          <w:sz w:val="20"/>
          <w:szCs w:val="20"/>
        </w:rPr>
        <w:t xml:space="preserve"> that the Next.js staff dashboard subscribes to. The public Next.js estimator calls Spring through its own route handler; if Spring is unreachable, the same formula is computed in TypeScript and the page shows "Offline estimate (sample)". The React portal similarly falls back to demo data and says so.</w:t>
      </w:r>
    </w:p>
    <w:p>
      <w:pPr>
        <w:keepNext/>
        <w:spacing w:after="80" w:before="160"/>
        <w:jc w:val="center"/>
        <w:outlineLvl w:val="0"/>
      </w:pPr>
      <w:r>
        <w:rPr>
          <w:rFonts w:ascii="Times New Roman" w:cs="Times New Roman" w:eastAsia="Times New Roman" w:hAnsi="Times New Roman"/>
          <w:b w:val="false"/>
          <w:bCs w:val="false"/>
          <w:smallCaps w:val="false"/>
          <w:sz w:val="18"/>
          <w:szCs w:val="18"/>
        </w:rPr>
        <w:t xml:space="preserve">V. IMPLEMENTATION</w:t>
      </w:r>
    </w:p>
    <w:p>
      <w:pPr>
        <w:spacing w:after="70"/>
        <w:jc w:val="both"/>
      </w:pPr>
      <w:r>
        <w:rPr>
          <w:rFonts w:ascii="Times New Roman" w:cs="Times New Roman" w:eastAsia="Times New Roman" w:hAnsi="Times New Roman"/>
          <w:sz w:val="20"/>
          <w:szCs w:val="20"/>
        </w:rPr>
        <w:t xml:space="preserve">Table I lists the implemented services, which follow the vendors' documentation [10]–[12]. Version numbers are those declared in the project files or recorded on the development machine (Windows 11, Intel Core i5-12450H, 15.6 GB RAM).</w:t>
      </w:r>
    </w:p>
    <w:p>
      <w:pPr>
        <w:keepNext/>
        <w:spacing w:after="50" w:before="100"/>
        <w:jc w:val="center"/>
      </w:pPr>
      <w:r>
        <w:rPr>
          <w:rFonts w:ascii="Times New Roman" w:cs="Times New Roman" w:eastAsia="Times New Roman" w:hAnsi="Times New Roman"/>
          <w:smallCaps/>
          <w:sz w:val="18"/>
          <w:szCs w:val="18"/>
        </w:rPr>
        <w:t xml:space="preserve">TABLE I. Implemented services and technology</w:t>
      </w:r>
    </w:p>
    <w:tbl>
      <w:tblPr>
        <w:tblW w:type="dxa" w:w="4860"/>
        <w:tblBorders>
          <w:top w:val="single" w:color="auto" w:sz="4"/>
          <w:left w:val="single" w:color="auto" w:sz="4"/>
          <w:bottom w:val="single" w:color="auto" w:sz="4"/>
          <w:right w:val="single" w:color="auto" w:sz="4"/>
          <w:insideH w:val="single" w:color="auto" w:sz="4"/>
          <w:insideV w:val="single" w:color="auto" w:sz="4"/>
        </w:tblBorders>
      </w:tblPr>
      <w:tblGrid>
        <w:gridCol w:w="1312"/>
        <w:gridCol w:w="1846"/>
        <w:gridCol w:w="1702"/>
      </w:tblGrid>
      <w:tr>
        <w:trPr>
          <w:tblHeader/>
        </w:trPr>
        <w:tc>
          <w:tcPr>
            <w:tcW w:type="dxa" w:w="1312"/>
            <w:tcBorders>
              <w:top w:val="single" w:color="808080" w:sz="4"/>
              <w:left w:val="single" w:color="808080" w:sz="4"/>
              <w:bottom w:val="single" w:color="808080" w:sz="4"/>
              <w:right w:val="single" w:color="808080" w:sz="4"/>
            </w:tcBorders>
            <w:shd w:fill="E7E7E7" w:val="clear"/>
            <w:tcMar>
              <w:top w:type="dxa" w:w="30"/>
              <w:left w:type="dxa" w:w="60"/>
              <w:bottom w:type="dxa" w:w="30"/>
              <w:right w:type="dxa" w:w="60"/>
            </w:tcMar>
            <w:vAlign w:val="top"/>
          </w:tcPr>
          <w:p>
            <w:pPr>
              <w:spacing w:after="0"/>
            </w:pPr>
            <w:r>
              <w:rPr>
                <w:rFonts w:ascii="Times New Roman" w:cs="Times New Roman" w:eastAsia="Times New Roman" w:hAnsi="Times New Roman"/>
                <w:b/>
                <w:bCs/>
                <w:sz w:val="16"/>
                <w:szCs w:val="16"/>
              </w:rPr>
              <w:t xml:space="preserve">Service (port)</w:t>
            </w:r>
          </w:p>
        </w:tc>
        <w:tc>
          <w:tcPr>
            <w:tcW w:type="dxa" w:w="1846"/>
            <w:tcBorders>
              <w:top w:val="single" w:color="808080" w:sz="4"/>
              <w:left w:val="single" w:color="808080" w:sz="4"/>
              <w:bottom w:val="single" w:color="808080" w:sz="4"/>
              <w:right w:val="single" w:color="808080" w:sz="4"/>
            </w:tcBorders>
            <w:shd w:fill="E7E7E7" w:val="clear"/>
            <w:tcMar>
              <w:top w:type="dxa" w:w="30"/>
              <w:left w:type="dxa" w:w="60"/>
              <w:bottom w:type="dxa" w:w="30"/>
              <w:right w:type="dxa" w:w="60"/>
            </w:tcMar>
            <w:vAlign w:val="top"/>
          </w:tcPr>
          <w:p>
            <w:pPr>
              <w:spacing w:after="0"/>
            </w:pPr>
            <w:r>
              <w:rPr>
                <w:rFonts w:ascii="Times New Roman" w:cs="Times New Roman" w:eastAsia="Times New Roman" w:hAnsi="Times New Roman"/>
                <w:b/>
                <w:bCs/>
                <w:sz w:val="16"/>
                <w:szCs w:val="16"/>
              </w:rPr>
              <w:t xml:space="preserve">Technology</w:t>
            </w:r>
          </w:p>
        </w:tc>
        <w:tc>
          <w:tcPr>
            <w:tcW w:type="dxa" w:w="1702"/>
            <w:tcBorders>
              <w:top w:val="single" w:color="808080" w:sz="4"/>
              <w:left w:val="single" w:color="808080" w:sz="4"/>
              <w:bottom w:val="single" w:color="808080" w:sz="4"/>
              <w:right w:val="single" w:color="808080" w:sz="4"/>
            </w:tcBorders>
            <w:shd w:fill="E7E7E7" w:val="clear"/>
            <w:tcMar>
              <w:top w:type="dxa" w:w="30"/>
              <w:left w:type="dxa" w:w="60"/>
              <w:bottom w:type="dxa" w:w="30"/>
              <w:right w:type="dxa" w:w="60"/>
            </w:tcMar>
            <w:vAlign w:val="top"/>
          </w:tcPr>
          <w:p>
            <w:pPr>
              <w:spacing w:after="0"/>
            </w:pPr>
            <w:r>
              <w:rPr>
                <w:rFonts w:ascii="Times New Roman" w:cs="Times New Roman" w:eastAsia="Times New Roman" w:hAnsi="Times New Roman"/>
                <w:b/>
                <w:bCs/>
                <w:sz w:val="16"/>
                <w:szCs w:val="16"/>
              </w:rPr>
              <w:t xml:space="preserve">Role</w:t>
            </w:r>
          </w:p>
        </w:tc>
      </w:tr>
      <w:tr>
        <w:trPr>
          <w:cantSplit/>
        </w:trPr>
        <w:tc>
          <w:tcPr>
            <w:tcW w:type="dxa" w:w="1312"/>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6"/>
                <w:szCs w:val="16"/>
              </w:rPr>
              <w:t xml:space="preserve">Next.js site (3001)</w:t>
            </w:r>
          </w:p>
        </w:tc>
        <w:tc>
          <w:tcPr>
            <w:tcW w:type="dxa" w:w="1846"/>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6"/>
                <w:szCs w:val="16"/>
              </w:rPr>
              <w:t xml:space="preserve">Next.js 16.3, React 19, TypeScript, Tailwind 4, Zustand</w:t>
            </w:r>
          </w:p>
        </w:tc>
        <w:tc>
          <w:tcPr>
            <w:tcW w:type="dxa" w:w="1702"/>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6"/>
                <w:szCs w:val="16"/>
              </w:rPr>
              <w:t xml:space="preserve">Public site, /quote, /track, /dashboard</w:t>
            </w:r>
          </w:p>
        </w:tc>
      </w:tr>
      <w:tr>
        <w:trPr>
          <w:cantSplit/>
        </w:trPr>
        <w:tc>
          <w:tcPr>
            <w:tcW w:type="dxa" w:w="1312"/>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6"/>
                <w:szCs w:val="16"/>
              </w:rPr>
              <w:t xml:space="preserve">React portal (5173)</w:t>
            </w:r>
          </w:p>
        </w:tc>
        <w:tc>
          <w:tcPr>
            <w:tcW w:type="dxa" w:w="1846"/>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6"/>
                <w:szCs w:val="16"/>
              </w:rPr>
              <w:t xml:space="preserve">Vite, React 19, Redux Toolkit, React Router</w:t>
            </w:r>
          </w:p>
        </w:tc>
        <w:tc>
          <w:tcPr>
            <w:tcW w:type="dxa" w:w="1702"/>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6"/>
                <w:szCs w:val="16"/>
              </w:rPr>
              <w:t xml:space="preserve">Customer portal</w:t>
            </w:r>
          </w:p>
        </w:tc>
      </w:tr>
      <w:tr>
        <w:trPr>
          <w:cantSplit/>
        </w:trPr>
        <w:tc>
          <w:tcPr>
            <w:tcW w:type="dxa" w:w="1312"/>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6"/>
                <w:szCs w:val="16"/>
              </w:rPr>
              <w:t xml:space="preserve">PHP estimator (8000)</w:t>
            </w:r>
          </w:p>
        </w:tc>
        <w:tc>
          <w:tcPr>
            <w:tcW w:type="dxa" w:w="1846"/>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6"/>
                <w:szCs w:val="16"/>
              </w:rPr>
              <w:t xml:space="preserve">PHP 8.2, PDO, Bootstrap/jQuery</w:t>
            </w:r>
          </w:p>
        </w:tc>
        <w:tc>
          <w:tcPr>
            <w:tcW w:type="dxa" w:w="1702"/>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6"/>
                <w:szCs w:val="16"/>
              </w:rPr>
              <w:t xml:space="preserve">Estimate, upload, enquiry</w:t>
            </w:r>
          </w:p>
        </w:tc>
      </w:tr>
      <w:tr>
        <w:trPr>
          <w:cantSplit/>
        </w:trPr>
        <w:tc>
          <w:tcPr>
            <w:tcW w:type="dxa" w:w="1312"/>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6"/>
                <w:szCs w:val="16"/>
              </w:rPr>
              <w:t xml:space="preserve">Laravel admin (8001)</w:t>
            </w:r>
          </w:p>
        </w:tc>
        <w:tc>
          <w:tcPr>
            <w:tcW w:type="dxa" w:w="1846"/>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6"/>
                <w:szCs w:val="16"/>
              </w:rPr>
              <w:t xml:space="preserve">Laravel 12, Eloquent</w:t>
            </w:r>
          </w:p>
        </w:tc>
        <w:tc>
          <w:tcPr>
            <w:tcW w:type="dxa" w:w="1702"/>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6"/>
                <w:szCs w:val="16"/>
              </w:rPr>
              <w:t xml:space="preserve">Back office</w:t>
            </w:r>
          </w:p>
        </w:tc>
      </w:tr>
      <w:tr>
        <w:trPr>
          <w:cantSplit/>
        </w:trPr>
        <w:tc>
          <w:tcPr>
            <w:tcW w:type="dxa" w:w="1312"/>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6"/>
                <w:szCs w:val="16"/>
              </w:rPr>
              <w:t xml:space="preserve">Servlet/JSP (8080)</w:t>
            </w:r>
          </w:p>
        </w:tc>
        <w:tc>
          <w:tcPr>
            <w:tcW w:type="dxa" w:w="1846"/>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6"/>
                <w:szCs w:val="16"/>
              </w:rPr>
              <w:t xml:space="preserve">Tomcat 8.5, Java 21, JSTL, JDBC</w:t>
            </w:r>
          </w:p>
        </w:tc>
        <w:tc>
          <w:tcPr>
            <w:tcW w:type="dxa" w:w="1702"/>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6"/>
                <w:szCs w:val="16"/>
              </w:rPr>
              <w:t xml:space="preserve">Tracking, status desk</w:t>
            </w:r>
          </w:p>
        </w:tc>
      </w:tr>
      <w:tr>
        <w:trPr>
          <w:cantSplit/>
        </w:trPr>
        <w:tc>
          <w:tcPr>
            <w:tcW w:type="dxa" w:w="1312"/>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6"/>
                <w:szCs w:val="16"/>
              </w:rPr>
              <w:t xml:space="preserve">Spring API (8081)</w:t>
            </w:r>
          </w:p>
        </w:tc>
        <w:tc>
          <w:tcPr>
            <w:tcW w:type="dxa" w:w="1846"/>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6"/>
                <w:szCs w:val="16"/>
              </w:rPr>
              <w:t xml:space="preserve">Spring Boot 3.5, Java 21, JPA, JWT, STOMP</w:t>
            </w:r>
          </w:p>
        </w:tc>
        <w:tc>
          <w:tcPr>
            <w:tcW w:type="dxa" w:w="1702"/>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6"/>
                <w:szCs w:val="16"/>
              </w:rPr>
              <w:t xml:space="preserve">Main REST API</w:t>
            </w:r>
          </w:p>
        </w:tc>
      </w:tr>
      <w:tr>
        <w:trPr>
          <w:cantSplit/>
        </w:trPr>
        <w:tc>
          <w:tcPr>
            <w:tcW w:type="dxa" w:w="1312"/>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6"/>
                <w:szCs w:val="16"/>
              </w:rPr>
              <w:t xml:space="preserve">Node API (4000)</w:t>
            </w:r>
          </w:p>
        </w:tc>
        <w:tc>
          <w:tcPr>
            <w:tcW w:type="dxa" w:w="1846"/>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6"/>
                <w:szCs w:val="16"/>
              </w:rPr>
              <w:t xml:space="preserve">Node 24, Express 5, zod, multer, helmet</w:t>
            </w:r>
          </w:p>
        </w:tc>
        <w:tc>
          <w:tcPr>
            <w:tcW w:type="dxa" w:w="1702"/>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6"/>
                <w:szCs w:val="16"/>
              </w:rPr>
              <w:t xml:space="preserve">Enquiry + upload</w:t>
            </w:r>
          </w:p>
        </w:tc>
      </w:tr>
      <w:tr>
        <w:trPr>
          <w:cantSplit/>
        </w:trPr>
        <w:tc>
          <w:tcPr>
            <w:tcW w:type="dxa" w:w="1312"/>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6"/>
                <w:szCs w:val="16"/>
              </w:rPr>
              <w:t xml:space="preserve">Data</w:t>
            </w:r>
          </w:p>
        </w:tc>
        <w:tc>
          <w:tcPr>
            <w:tcW w:type="dxa" w:w="1846"/>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6"/>
                <w:szCs w:val="16"/>
              </w:rPr>
              <w:t xml:space="preserve">MySQL/MariaDB 10.4; MongoDB (embedded)</w:t>
            </w:r>
          </w:p>
        </w:tc>
        <w:tc>
          <w:tcPr>
            <w:tcW w:type="dxa" w:w="1702"/>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6"/>
                <w:szCs w:val="16"/>
              </w:rPr>
              <w:t xml:space="preserve">Shared schema; audit log</w:t>
            </w:r>
          </w:p>
        </w:tc>
      </w:tr>
    </w:tbl>
    <w:p>
      <w:pPr>
        <w:spacing w:after="80"/>
      </w:pPr>
    </w:p>
    <w:p>
      <w:pPr>
        <w:spacing w:after="70"/>
        <w:jc w:val="both"/>
      </w:pPr>
      <w:r>
        <w:rPr>
          <w:rFonts w:ascii="Times New Roman" w:cs="Times New Roman" w:eastAsia="Times New Roman" w:hAnsi="Times New Roman"/>
          <w:sz w:val="20"/>
          <w:szCs w:val="20"/>
        </w:rPr>
        <w:t xml:space="preserve">The Spring service is layered as controller → service → repository, uses constructor injection, and publishes domain events that a listener turns into MongoDB activity records. Its health endpoint includes a custom rate-card indicator. The Next.js site mixes server components, a server action that posts enquiries to Node.js, a route handler that proxies estimates to Spring, and client components for the calculator and dashboard; a debounce hook (350 ms) limits estimate requests while the user types. Table II maps each syllabus unit to the feature that demonstrates it.</w:t>
      </w:r>
    </w:p>
    <w:p>
      <w:pPr>
        <w:keepNext/>
        <w:spacing w:after="50" w:before="100"/>
        <w:jc w:val="center"/>
      </w:pPr>
      <w:r>
        <w:rPr>
          <w:rFonts w:ascii="Times New Roman" w:cs="Times New Roman" w:eastAsia="Times New Roman" w:hAnsi="Times New Roman"/>
          <w:smallCaps/>
          <w:sz w:val="18"/>
          <w:szCs w:val="18"/>
        </w:rPr>
        <w:t xml:space="preserve">TABLE II. CS3111 units and the PS Laser feature that covers them</w:t>
      </w:r>
    </w:p>
    <w:tbl>
      <w:tblPr>
        <w:tblW w:type="dxa" w:w="4860"/>
        <w:tblBorders>
          <w:top w:val="single" w:color="auto" w:sz="4"/>
          <w:left w:val="single" w:color="auto" w:sz="4"/>
          <w:bottom w:val="single" w:color="auto" w:sz="4"/>
          <w:right w:val="single" w:color="auto" w:sz="4"/>
          <w:insideH w:val="single" w:color="auto" w:sz="4"/>
          <w:insideV w:val="single" w:color="auto" w:sz="4"/>
        </w:tblBorders>
      </w:tblPr>
      <w:tblGrid>
        <w:gridCol w:w="486"/>
        <w:gridCol w:w="1749"/>
        <w:gridCol w:w="2625"/>
      </w:tblGrid>
      <w:tr>
        <w:trPr>
          <w:tblHeader/>
        </w:trPr>
        <w:tc>
          <w:tcPr>
            <w:tcW w:type="dxa" w:w="486"/>
            <w:tcBorders>
              <w:top w:val="single" w:color="808080" w:sz="4"/>
              <w:left w:val="single" w:color="808080" w:sz="4"/>
              <w:bottom w:val="single" w:color="808080" w:sz="4"/>
              <w:right w:val="single" w:color="808080" w:sz="4"/>
            </w:tcBorders>
            <w:shd w:fill="E7E7E7" w:val="clear"/>
            <w:tcMar>
              <w:top w:type="dxa" w:w="30"/>
              <w:left w:type="dxa" w:w="60"/>
              <w:bottom w:type="dxa" w:w="30"/>
              <w:right w:type="dxa" w:w="60"/>
            </w:tcMar>
            <w:vAlign w:val="top"/>
          </w:tcPr>
          <w:p>
            <w:pPr>
              <w:spacing w:after="0"/>
            </w:pPr>
            <w:r>
              <w:rPr>
                <w:rFonts w:ascii="Times New Roman" w:cs="Times New Roman" w:eastAsia="Times New Roman" w:hAnsi="Times New Roman"/>
                <w:b/>
                <w:bCs/>
                <w:sz w:val="16"/>
                <w:szCs w:val="16"/>
              </w:rPr>
              <w:t xml:space="preserve">Unit</w:t>
            </w:r>
          </w:p>
        </w:tc>
        <w:tc>
          <w:tcPr>
            <w:tcW w:type="dxa" w:w="1749"/>
            <w:tcBorders>
              <w:top w:val="single" w:color="808080" w:sz="4"/>
              <w:left w:val="single" w:color="808080" w:sz="4"/>
              <w:bottom w:val="single" w:color="808080" w:sz="4"/>
              <w:right w:val="single" w:color="808080" w:sz="4"/>
            </w:tcBorders>
            <w:shd w:fill="E7E7E7" w:val="clear"/>
            <w:tcMar>
              <w:top w:type="dxa" w:w="30"/>
              <w:left w:type="dxa" w:w="60"/>
              <w:bottom w:type="dxa" w:w="30"/>
              <w:right w:type="dxa" w:w="60"/>
            </w:tcMar>
            <w:vAlign w:val="top"/>
          </w:tcPr>
          <w:p>
            <w:pPr>
              <w:spacing w:after="0"/>
            </w:pPr>
            <w:r>
              <w:rPr>
                <w:rFonts w:ascii="Times New Roman" w:cs="Times New Roman" w:eastAsia="Times New Roman" w:hAnsi="Times New Roman"/>
                <w:b/>
                <w:bCs/>
                <w:sz w:val="16"/>
                <w:szCs w:val="16"/>
              </w:rPr>
              <w:t xml:space="preserve">Technology</w:t>
            </w:r>
          </w:p>
        </w:tc>
        <w:tc>
          <w:tcPr>
            <w:tcW w:type="dxa" w:w="2625"/>
            <w:tcBorders>
              <w:top w:val="single" w:color="808080" w:sz="4"/>
              <w:left w:val="single" w:color="808080" w:sz="4"/>
              <w:bottom w:val="single" w:color="808080" w:sz="4"/>
              <w:right w:val="single" w:color="808080" w:sz="4"/>
            </w:tcBorders>
            <w:shd w:fill="E7E7E7" w:val="clear"/>
            <w:tcMar>
              <w:top w:type="dxa" w:w="30"/>
              <w:left w:type="dxa" w:w="60"/>
              <w:bottom w:type="dxa" w:w="30"/>
              <w:right w:type="dxa" w:w="60"/>
            </w:tcMar>
            <w:vAlign w:val="top"/>
          </w:tcPr>
          <w:p>
            <w:pPr>
              <w:spacing w:after="0"/>
            </w:pPr>
            <w:r>
              <w:rPr>
                <w:rFonts w:ascii="Times New Roman" w:cs="Times New Roman" w:eastAsia="Times New Roman" w:hAnsi="Times New Roman"/>
                <w:b/>
                <w:bCs/>
                <w:sz w:val="16"/>
                <w:szCs w:val="16"/>
              </w:rPr>
              <w:t xml:space="preserve">Feature in PS Laser</w:t>
            </w:r>
          </w:p>
        </w:tc>
      </w:tr>
      <w:tr>
        <w:trPr>
          <w:cantSplit/>
        </w:trPr>
        <w:tc>
          <w:tcPr>
            <w:tcW w:type="dxa" w:w="486"/>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6"/>
                <w:szCs w:val="16"/>
              </w:rPr>
              <w:t xml:space="preserve">I</w:t>
            </w:r>
          </w:p>
        </w:tc>
        <w:tc>
          <w:tcPr>
            <w:tcW w:type="dxa" w:w="1749"/>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6"/>
                <w:szCs w:val="16"/>
              </w:rPr>
              <w:t xml:space="preserve">PHP, Laravel</w:t>
            </w:r>
          </w:p>
        </w:tc>
        <w:tc>
          <w:tcPr>
            <w:tcW w:type="dxa" w:w="2625"/>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6"/>
                <w:szCs w:val="16"/>
              </w:rPr>
              <w:t xml:space="preserve">Estimator, drawing upload, enquiry; admin back office</w:t>
            </w:r>
          </w:p>
        </w:tc>
      </w:tr>
      <w:tr>
        <w:trPr>
          <w:cantSplit/>
        </w:trPr>
        <w:tc>
          <w:tcPr>
            <w:tcW w:type="dxa" w:w="486"/>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6"/>
                <w:szCs w:val="16"/>
              </w:rPr>
              <w:t xml:space="preserve">II</w:t>
            </w:r>
          </w:p>
        </w:tc>
        <w:tc>
          <w:tcPr>
            <w:tcW w:type="dxa" w:w="1749"/>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6"/>
                <w:szCs w:val="16"/>
              </w:rPr>
              <w:t xml:space="preserve">React, Router, Flux, Redux</w:t>
            </w:r>
          </w:p>
        </w:tc>
        <w:tc>
          <w:tcPr>
            <w:tcW w:type="dxa" w:w="2625"/>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6"/>
                <w:szCs w:val="16"/>
              </w:rPr>
              <w:t xml:space="preserve">Customer portal: catalogue, quote cart, login</w:t>
            </w:r>
          </w:p>
        </w:tc>
      </w:tr>
      <w:tr>
        <w:trPr>
          <w:cantSplit/>
        </w:trPr>
        <w:tc>
          <w:tcPr>
            <w:tcW w:type="dxa" w:w="486"/>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6"/>
                <w:szCs w:val="16"/>
              </w:rPr>
              <w:t xml:space="preserve">III</w:t>
            </w:r>
          </w:p>
        </w:tc>
        <w:tc>
          <w:tcPr>
            <w:tcW w:type="dxa" w:w="1749"/>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6"/>
                <w:szCs w:val="16"/>
              </w:rPr>
              <w:t xml:space="preserve">Servlet, JSP</w:t>
            </w:r>
          </w:p>
        </w:tc>
        <w:tc>
          <w:tcPr>
            <w:tcW w:type="dxa" w:w="2625"/>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6"/>
                <w:szCs w:val="16"/>
              </w:rPr>
              <w:t xml:space="preserve">Order tracking and staff status desk</w:t>
            </w:r>
          </w:p>
        </w:tc>
      </w:tr>
      <w:tr>
        <w:trPr>
          <w:cantSplit/>
        </w:trPr>
        <w:tc>
          <w:tcPr>
            <w:tcW w:type="dxa" w:w="486"/>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6"/>
                <w:szCs w:val="16"/>
              </w:rPr>
              <w:t xml:space="preserve">IV</w:t>
            </w:r>
          </w:p>
        </w:tc>
        <w:tc>
          <w:tcPr>
            <w:tcW w:type="dxa" w:w="1749"/>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6"/>
                <w:szCs w:val="16"/>
              </w:rPr>
              <w:t xml:space="preserve">Spring Boot</w:t>
            </w:r>
          </w:p>
        </w:tc>
        <w:tc>
          <w:tcPr>
            <w:tcW w:type="dxa" w:w="2625"/>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6"/>
                <w:szCs w:val="16"/>
              </w:rPr>
              <w:t xml:space="preserve">REST API: JWT, JPA, MongoDB, events</w:t>
            </w:r>
          </w:p>
        </w:tc>
      </w:tr>
      <w:tr>
        <w:trPr>
          <w:cantSplit/>
        </w:trPr>
        <w:tc>
          <w:tcPr>
            <w:tcW w:type="dxa" w:w="486"/>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6"/>
                <w:szCs w:val="16"/>
              </w:rPr>
              <w:t xml:space="preserve">V</w:t>
            </w:r>
          </w:p>
        </w:tc>
        <w:tc>
          <w:tcPr>
            <w:tcW w:type="dxa" w:w="1749"/>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6"/>
                <w:szCs w:val="16"/>
              </w:rPr>
              <w:t xml:space="preserve">Advanced React</w:t>
            </w:r>
          </w:p>
        </w:tc>
        <w:tc>
          <w:tcPr>
            <w:tcW w:type="dxa" w:w="2625"/>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6"/>
                <w:szCs w:val="16"/>
              </w:rPr>
              <w:t xml:space="preserve">TypeScript site: /quote, /track, /dashboard</w:t>
            </w:r>
          </w:p>
        </w:tc>
      </w:tr>
      <w:tr>
        <w:trPr>
          <w:cantSplit/>
        </w:trPr>
        <w:tc>
          <w:tcPr>
            <w:tcW w:type="dxa" w:w="486"/>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6"/>
                <w:szCs w:val="16"/>
              </w:rPr>
              <w:t xml:space="preserve">VI</w:t>
            </w:r>
          </w:p>
        </w:tc>
        <w:tc>
          <w:tcPr>
            <w:tcW w:type="dxa" w:w="1749"/>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6"/>
                <w:szCs w:val="16"/>
              </w:rPr>
              <w:t xml:space="preserve">Node.js, Express</w:t>
            </w:r>
          </w:p>
        </w:tc>
        <w:tc>
          <w:tcPr>
            <w:tcW w:type="dxa" w:w="2625"/>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6"/>
                <w:szCs w:val="16"/>
              </w:rPr>
              <w:t xml:space="preserve">Enquiry + upload API, logging, static docs</w:t>
            </w:r>
          </w:p>
        </w:tc>
      </w:tr>
    </w:tbl>
    <w:p>
      <w:pPr>
        <w:spacing w:after="80"/>
      </w:pPr>
    </w:p>
    <w:p>
      <w:pPr>
        <w:keepNext/>
        <w:spacing w:after="80" w:before="160"/>
        <w:jc w:val="center"/>
        <w:outlineLvl w:val="0"/>
      </w:pPr>
      <w:r>
        <w:rPr>
          <w:rFonts w:ascii="Times New Roman" w:cs="Times New Roman" w:eastAsia="Times New Roman" w:hAnsi="Times New Roman"/>
          <w:b w:val="false"/>
          <w:bCs w:val="false"/>
          <w:smallCaps w:val="false"/>
          <w:sz w:val="18"/>
          <w:szCs w:val="18"/>
        </w:rPr>
        <w:t xml:space="preserve">VI. RESULTS AND VERIFICATION</w:t>
      </w:r>
    </w:p>
    <w:p>
      <w:pPr>
        <w:spacing w:after="70"/>
        <w:jc w:val="both"/>
      </w:pPr>
      <w:r>
        <w:rPr>
          <w:rFonts w:ascii="Times New Roman" w:cs="Times New Roman" w:eastAsia="Times New Roman" w:hAnsi="Times New Roman"/>
          <w:sz w:val="20"/>
          <w:szCs w:val="20"/>
        </w:rPr>
        <w:t xml:space="preserve">We report only checks that were actually executed. Dates are those on which a check was run; the longer QA run was on 14 October 2026 and the re-runs below on 16 and 18 October 2026.</w:t>
      </w:r>
    </w:p>
    <w:p>
      <w:pPr>
        <w:keepNext/>
        <w:spacing w:after="40" w:before="100"/>
        <w:outlineLvl w:val="1"/>
      </w:pPr>
      <w:r>
        <w:rPr>
          <w:rFonts w:ascii="Times New Roman" w:cs="Times New Roman" w:eastAsia="Times New Roman" w:hAnsi="Times New Roman"/>
          <w:b w:val="false"/>
          <w:bCs w:val="false"/>
          <w:i/>
          <w:iCs/>
          <w:sz w:val="20"/>
          <w:szCs w:val="20"/>
        </w:rPr>
        <w:t xml:space="preserve">A. Reference estimate</w:t>
      </w:r>
    </w:p>
    <w:p>
      <w:pPr>
        <w:spacing w:after="70"/>
        <w:jc w:val="both"/>
      </w:pPr>
      <w:r>
        <w:rPr>
          <w:rFonts w:ascii="Times New Roman" w:cs="Times New Roman" w:eastAsia="Times New Roman" w:hAnsi="Times New Roman"/>
          <w:sz w:val="20"/>
          <w:szCs w:val="20"/>
        </w:rPr>
        <w:t xml:space="preserve">The reference part is mild steel, 2 mm, 500 × 300 mm, cut length 1600 mm, 4 pierces, 2 bends, powder-coated, quantity 10. With the sample rates stored in the database (75.00 INR/kg, 10.00 INR/m, 1.00 INR per pierce, 8 INR per bend, 120 INR/m² coating, 18 % GST) the Spring API returned the breakdown in Table III, which agrees with a hand calculation: </w:t>
      </w:r>
      <w:r>
        <w:rPr>
          <w:rFonts w:ascii="Times New Roman" w:cs="Times New Roman" w:eastAsia="Times New Roman" w:hAnsi="Times New Roman"/>
          <w:i/>
          <w:iCs/>
          <w:sz w:val="20"/>
          <w:szCs w:val="20"/>
        </w:rPr>
        <w:t xml:space="preserve">A</w:t>
      </w:r>
      <w:r>
        <w:rPr>
          <w:rFonts w:ascii="Times New Roman" w:cs="Times New Roman" w:eastAsia="Times New Roman" w:hAnsi="Times New Roman"/>
          <w:sz w:val="20"/>
          <w:szCs w:val="20"/>
        </w:rPr>
        <w:t xml:space="preserve"> = 0.15 m², </w:t>
      </w:r>
      <w:r>
        <w:rPr>
          <w:rFonts w:ascii="Times New Roman" w:cs="Times New Roman" w:eastAsia="Times New Roman" w:hAnsi="Times New Roman"/>
          <w:i/>
          <w:iCs/>
          <w:sz w:val="20"/>
          <w:szCs w:val="20"/>
        </w:rPr>
        <w:t xml:space="preserve">m</w:t>
      </w:r>
      <w:r>
        <w:rPr>
          <w:rFonts w:ascii="Times New Roman" w:cs="Times New Roman" w:eastAsia="Times New Roman" w:hAnsi="Times New Roman"/>
          <w:sz w:val="20"/>
          <w:szCs w:val="20"/>
        </w:rPr>
        <w:t xml:space="preserve"> = 2.355 kg, material 176.625 → 176.63.</w:t>
      </w:r>
    </w:p>
    <w:p>
      <w:pPr>
        <w:keepNext/>
        <w:spacing w:after="50" w:before="100"/>
        <w:jc w:val="center"/>
      </w:pPr>
      <w:r>
        <w:rPr>
          <w:rFonts w:ascii="Times New Roman" w:cs="Times New Roman" w:eastAsia="Times New Roman" w:hAnsi="Times New Roman"/>
          <w:smallCaps/>
          <w:sz w:val="18"/>
          <w:szCs w:val="18"/>
        </w:rPr>
        <w:t xml:space="preserve">TABLE III. Reference estimate returned by the Spring API (16 Oct 2026, sample rates)</w:t>
      </w:r>
    </w:p>
    <w:tbl>
      <w:tblPr>
        <w:tblW w:type="dxa" w:w="4860"/>
        <w:tblBorders>
          <w:top w:val="single" w:color="auto" w:sz="4"/>
          <w:left w:val="single" w:color="auto" w:sz="4"/>
          <w:bottom w:val="single" w:color="auto" w:sz="4"/>
          <w:right w:val="single" w:color="auto" w:sz="4"/>
          <w:insideH w:val="single" w:color="auto" w:sz="4"/>
          <w:insideV w:val="single" w:color="auto" w:sz="4"/>
        </w:tblBorders>
      </w:tblPr>
      <w:tblGrid>
        <w:gridCol w:w="1360"/>
        <w:gridCol w:w="1069"/>
        <w:gridCol w:w="1360"/>
        <w:gridCol w:w="1071"/>
      </w:tblGrid>
      <w:tr>
        <w:trPr>
          <w:tblHeader/>
        </w:trPr>
        <w:tc>
          <w:tcPr>
            <w:tcW w:type="dxa" w:w="1360"/>
            <w:tcBorders>
              <w:top w:val="single" w:color="808080" w:sz="4"/>
              <w:left w:val="single" w:color="808080" w:sz="4"/>
              <w:bottom w:val="single" w:color="808080" w:sz="4"/>
              <w:right w:val="single" w:color="808080" w:sz="4"/>
            </w:tcBorders>
            <w:shd w:fill="E7E7E7" w:val="clear"/>
            <w:tcMar>
              <w:top w:type="dxa" w:w="30"/>
              <w:left w:type="dxa" w:w="60"/>
              <w:bottom w:type="dxa" w:w="30"/>
              <w:right w:type="dxa" w:w="60"/>
            </w:tcMar>
            <w:vAlign w:val="top"/>
          </w:tcPr>
          <w:p>
            <w:pPr>
              <w:spacing w:after="0"/>
            </w:pPr>
            <w:r>
              <w:rPr>
                <w:rFonts w:ascii="Times New Roman" w:cs="Times New Roman" w:eastAsia="Times New Roman" w:hAnsi="Times New Roman"/>
                <w:b/>
                <w:bCs/>
                <w:sz w:val="16"/>
                <w:szCs w:val="16"/>
              </w:rPr>
              <w:t xml:space="preserve">Component</w:t>
            </w:r>
          </w:p>
        </w:tc>
        <w:tc>
          <w:tcPr>
            <w:tcW w:type="dxa" w:w="1069"/>
            <w:tcBorders>
              <w:top w:val="single" w:color="808080" w:sz="4"/>
              <w:left w:val="single" w:color="808080" w:sz="4"/>
              <w:bottom w:val="single" w:color="808080" w:sz="4"/>
              <w:right w:val="single" w:color="808080" w:sz="4"/>
            </w:tcBorders>
            <w:shd w:fill="E7E7E7" w:val="clear"/>
            <w:tcMar>
              <w:top w:type="dxa" w:w="30"/>
              <w:left w:type="dxa" w:w="60"/>
              <w:bottom w:type="dxa" w:w="30"/>
              <w:right w:type="dxa" w:w="60"/>
            </w:tcMar>
            <w:vAlign w:val="top"/>
          </w:tcPr>
          <w:p>
            <w:pPr>
              <w:spacing w:after="0"/>
            </w:pPr>
            <w:r>
              <w:rPr>
                <w:rFonts w:ascii="Times New Roman" w:cs="Times New Roman" w:eastAsia="Times New Roman" w:hAnsi="Times New Roman"/>
                <w:b/>
                <w:bCs/>
                <w:sz w:val="16"/>
                <w:szCs w:val="16"/>
              </w:rPr>
              <w:t xml:space="preserve">INR</w:t>
            </w:r>
          </w:p>
        </w:tc>
        <w:tc>
          <w:tcPr>
            <w:tcW w:type="dxa" w:w="1360"/>
            <w:tcBorders>
              <w:top w:val="single" w:color="808080" w:sz="4"/>
              <w:left w:val="single" w:color="808080" w:sz="4"/>
              <w:bottom w:val="single" w:color="808080" w:sz="4"/>
              <w:right w:val="single" w:color="808080" w:sz="4"/>
            </w:tcBorders>
            <w:shd w:fill="E7E7E7" w:val="clear"/>
            <w:tcMar>
              <w:top w:type="dxa" w:w="30"/>
              <w:left w:type="dxa" w:w="60"/>
              <w:bottom w:type="dxa" w:w="30"/>
              <w:right w:type="dxa" w:w="60"/>
            </w:tcMar>
            <w:vAlign w:val="top"/>
          </w:tcPr>
          <w:p>
            <w:pPr>
              <w:spacing w:after="0"/>
            </w:pPr>
            <w:r>
              <w:rPr>
                <w:rFonts w:ascii="Times New Roman" w:cs="Times New Roman" w:eastAsia="Times New Roman" w:hAnsi="Times New Roman"/>
                <w:b/>
                <w:bCs/>
                <w:sz w:val="16"/>
                <w:szCs w:val="16"/>
              </w:rPr>
              <w:t xml:space="preserve">Component</w:t>
            </w:r>
          </w:p>
        </w:tc>
        <w:tc>
          <w:tcPr>
            <w:tcW w:type="dxa" w:w="1071"/>
            <w:tcBorders>
              <w:top w:val="single" w:color="808080" w:sz="4"/>
              <w:left w:val="single" w:color="808080" w:sz="4"/>
              <w:bottom w:val="single" w:color="808080" w:sz="4"/>
              <w:right w:val="single" w:color="808080" w:sz="4"/>
            </w:tcBorders>
            <w:shd w:fill="E7E7E7" w:val="clear"/>
            <w:tcMar>
              <w:top w:type="dxa" w:w="30"/>
              <w:left w:type="dxa" w:w="60"/>
              <w:bottom w:type="dxa" w:w="30"/>
              <w:right w:type="dxa" w:w="60"/>
            </w:tcMar>
            <w:vAlign w:val="top"/>
          </w:tcPr>
          <w:p>
            <w:pPr>
              <w:spacing w:after="0"/>
            </w:pPr>
            <w:r>
              <w:rPr>
                <w:rFonts w:ascii="Times New Roman" w:cs="Times New Roman" w:eastAsia="Times New Roman" w:hAnsi="Times New Roman"/>
                <w:b/>
                <w:bCs/>
                <w:sz w:val="16"/>
                <w:szCs w:val="16"/>
              </w:rPr>
              <w:t xml:space="preserve">INR</w:t>
            </w:r>
          </w:p>
        </w:tc>
      </w:tr>
      <w:tr>
        <w:trPr>
          <w:cantSplit/>
        </w:trPr>
        <w:tc>
          <w:tcPr>
            <w:tcW w:type="dxa" w:w="1360"/>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6"/>
                <w:szCs w:val="16"/>
              </w:rPr>
              <w:t xml:space="preserve">Material</w:t>
            </w:r>
          </w:p>
        </w:tc>
        <w:tc>
          <w:tcPr>
            <w:tcW w:type="dxa" w:w="1069"/>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6"/>
                <w:szCs w:val="16"/>
              </w:rPr>
              <w:t xml:space="preserve">176.63</w:t>
            </w:r>
          </w:p>
        </w:tc>
        <w:tc>
          <w:tcPr>
            <w:tcW w:type="dxa" w:w="1360"/>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6"/>
                <w:szCs w:val="16"/>
              </w:rPr>
              <w:t xml:space="preserve">Per part</w:t>
            </w:r>
          </w:p>
        </w:tc>
        <w:tc>
          <w:tcPr>
            <w:tcW w:type="dxa" w:w="1071"/>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6"/>
                <w:szCs w:val="16"/>
              </w:rPr>
              <w:t xml:space="preserve">248.63</w:t>
            </w:r>
          </w:p>
        </w:tc>
      </w:tr>
      <w:tr>
        <w:trPr>
          <w:cantSplit/>
        </w:trPr>
        <w:tc>
          <w:tcPr>
            <w:tcW w:type="dxa" w:w="1360"/>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6"/>
                <w:szCs w:val="16"/>
              </w:rPr>
              <w:t xml:space="preserve">Cutting</w:t>
            </w:r>
          </w:p>
        </w:tc>
        <w:tc>
          <w:tcPr>
            <w:tcW w:type="dxa" w:w="1069"/>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6"/>
                <w:szCs w:val="16"/>
              </w:rPr>
              <w:t xml:space="preserve">16.00</w:t>
            </w:r>
          </w:p>
        </w:tc>
        <w:tc>
          <w:tcPr>
            <w:tcW w:type="dxa" w:w="1360"/>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6"/>
                <w:szCs w:val="16"/>
              </w:rPr>
              <w:t xml:space="preserve">Subtotal (×10)</w:t>
            </w:r>
          </w:p>
        </w:tc>
        <w:tc>
          <w:tcPr>
            <w:tcW w:type="dxa" w:w="1071"/>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6"/>
                <w:szCs w:val="16"/>
              </w:rPr>
              <w:t xml:space="preserve">2,486.30</w:t>
            </w:r>
          </w:p>
        </w:tc>
      </w:tr>
      <w:tr>
        <w:trPr>
          <w:cantSplit/>
        </w:trPr>
        <w:tc>
          <w:tcPr>
            <w:tcW w:type="dxa" w:w="1360"/>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6"/>
                <w:szCs w:val="16"/>
              </w:rPr>
              <w:t xml:space="preserve">Piercing</w:t>
            </w:r>
          </w:p>
        </w:tc>
        <w:tc>
          <w:tcPr>
            <w:tcW w:type="dxa" w:w="1069"/>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6"/>
                <w:szCs w:val="16"/>
              </w:rPr>
              <w:t xml:space="preserve">4.00</w:t>
            </w:r>
          </w:p>
        </w:tc>
        <w:tc>
          <w:tcPr>
            <w:tcW w:type="dxa" w:w="1360"/>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6"/>
                <w:szCs w:val="16"/>
              </w:rPr>
              <w:t xml:space="preserve">GST 18 %</w:t>
            </w:r>
          </w:p>
        </w:tc>
        <w:tc>
          <w:tcPr>
            <w:tcW w:type="dxa" w:w="1071"/>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6"/>
                <w:szCs w:val="16"/>
              </w:rPr>
              <w:t xml:space="preserve">447.53</w:t>
            </w:r>
          </w:p>
        </w:tc>
      </w:tr>
      <w:tr>
        <w:trPr>
          <w:cantSplit/>
        </w:trPr>
        <w:tc>
          <w:tcPr>
            <w:tcW w:type="dxa" w:w="1360"/>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6"/>
                <w:szCs w:val="16"/>
              </w:rPr>
              <w:t xml:space="preserve">Bending</w:t>
            </w:r>
          </w:p>
        </w:tc>
        <w:tc>
          <w:tcPr>
            <w:tcW w:type="dxa" w:w="1069"/>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6"/>
                <w:szCs w:val="16"/>
              </w:rPr>
              <w:t xml:space="preserve">16.00</w:t>
            </w:r>
          </w:p>
        </w:tc>
        <w:tc>
          <w:tcPr>
            <w:tcW w:type="dxa" w:w="1360"/>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bCs/>
                <w:sz w:val="16"/>
                <w:szCs w:val="16"/>
              </w:rPr>
              <w:t xml:space="preserve">Total</w:t>
            </w:r>
          </w:p>
        </w:tc>
        <w:tc>
          <w:tcPr>
            <w:tcW w:type="dxa" w:w="1071"/>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bCs/>
                <w:sz w:val="16"/>
                <w:szCs w:val="16"/>
              </w:rPr>
              <w:t xml:space="preserve">2,933.83</w:t>
            </w:r>
          </w:p>
        </w:tc>
      </w:tr>
      <w:tr>
        <w:trPr>
          <w:cantSplit/>
        </w:trPr>
        <w:tc>
          <w:tcPr>
            <w:tcW w:type="dxa" w:w="1360"/>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6"/>
                <w:szCs w:val="16"/>
              </w:rPr>
              <w:t xml:space="preserve">Powder coat</w:t>
            </w:r>
          </w:p>
        </w:tc>
        <w:tc>
          <w:tcPr>
            <w:tcW w:type="dxa" w:w="1069"/>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6"/>
                <w:szCs w:val="16"/>
              </w:rPr>
              <w:t xml:space="preserve">36.00</w:t>
            </w:r>
          </w:p>
        </w:tc>
        <w:tc>
          <w:tcPr>
            <w:tcW w:type="dxa" w:w="1360"/>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6"/>
                <w:szCs w:val="16"/>
              </w:rPr>
              <w:t xml:space="preserve">isSample</w:t>
            </w:r>
          </w:p>
        </w:tc>
        <w:tc>
          <w:tcPr>
            <w:tcW w:type="dxa" w:w="1071"/>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6"/>
                <w:szCs w:val="16"/>
              </w:rPr>
              <w:t xml:space="preserve">true</w:t>
            </w:r>
          </w:p>
        </w:tc>
      </w:tr>
    </w:tbl>
    <w:p>
      <w:pPr>
        <w:spacing w:after="80"/>
      </w:pPr>
    </w:p>
    <w:p>
      <w:pPr>
        <w:keepNext/>
        <w:spacing w:after="40" w:before="100"/>
        <w:outlineLvl w:val="1"/>
      </w:pPr>
      <w:r>
        <w:rPr>
          <w:rFonts w:ascii="Times New Roman" w:cs="Times New Roman" w:eastAsia="Times New Roman" w:hAnsi="Times New Roman"/>
          <w:b w:val="false"/>
          <w:bCs w:val="false"/>
          <w:i/>
          <w:iCs/>
          <w:sz w:val="20"/>
          <w:szCs w:val="20"/>
        </w:rPr>
        <w:t xml:space="preserve">B. Cross-stack equivalence and functional checks</w:t>
      </w:r>
    </w:p>
    <w:p>
      <w:pPr>
        <w:spacing w:after="70"/>
        <w:jc w:val="both"/>
      </w:pPr>
      <w:r>
        <w:rPr>
          <w:rFonts w:ascii="Times New Roman" w:cs="Times New Roman" w:eastAsia="Times New Roman" w:hAnsi="Times New Roman"/>
          <w:sz w:val="20"/>
          <w:szCs w:val="20"/>
        </w:rPr>
        <w:t xml:space="preserve">On 14 October 2026 the same reference input gave the same total of 2,933.83 INR on the Spring API, the Next.js route handler, the PHP estimator and the Java servlet application. Further checks are listed in Table IV.</w:t>
      </w:r>
    </w:p>
    <w:p>
      <w:pPr>
        <w:keepNext/>
        <w:spacing w:after="50" w:before="100"/>
        <w:jc w:val="center"/>
      </w:pPr>
      <w:r>
        <w:rPr>
          <w:rFonts w:ascii="Times New Roman" w:cs="Times New Roman" w:eastAsia="Times New Roman" w:hAnsi="Times New Roman"/>
          <w:smallCaps/>
          <w:sz w:val="18"/>
          <w:szCs w:val="18"/>
        </w:rPr>
        <w:t xml:space="preserve">TABLE IV. Executed checks and outcomes</w:t>
      </w:r>
    </w:p>
    <w:tbl>
      <w:tblPr>
        <w:tblW w:type="dxa" w:w="4860"/>
        <w:tblBorders>
          <w:top w:val="single" w:color="auto" w:sz="4"/>
          <w:left w:val="single" w:color="auto" w:sz="4"/>
          <w:bottom w:val="single" w:color="auto" w:sz="4"/>
          <w:right w:val="single" w:color="auto" w:sz="4"/>
          <w:insideH w:val="single" w:color="auto" w:sz="4"/>
          <w:insideV w:val="single" w:color="auto" w:sz="4"/>
        </w:tblBorders>
      </w:tblPr>
      <w:tblGrid>
        <w:gridCol w:w="2818"/>
        <w:gridCol w:w="1360"/>
        <w:gridCol w:w="682"/>
      </w:tblGrid>
      <w:tr>
        <w:trPr>
          <w:tblHeader/>
        </w:trPr>
        <w:tc>
          <w:tcPr>
            <w:tcW w:type="dxa" w:w="2818"/>
            <w:tcBorders>
              <w:top w:val="single" w:color="808080" w:sz="4"/>
              <w:left w:val="single" w:color="808080" w:sz="4"/>
              <w:bottom w:val="single" w:color="808080" w:sz="4"/>
              <w:right w:val="single" w:color="808080" w:sz="4"/>
            </w:tcBorders>
            <w:shd w:fill="E7E7E7" w:val="clear"/>
            <w:tcMar>
              <w:top w:type="dxa" w:w="30"/>
              <w:left w:type="dxa" w:w="60"/>
              <w:bottom w:type="dxa" w:w="30"/>
              <w:right w:type="dxa" w:w="60"/>
            </w:tcMar>
            <w:vAlign w:val="top"/>
          </w:tcPr>
          <w:p>
            <w:pPr>
              <w:spacing w:after="0"/>
            </w:pPr>
            <w:r>
              <w:rPr>
                <w:rFonts w:ascii="Times New Roman" w:cs="Times New Roman" w:eastAsia="Times New Roman" w:hAnsi="Times New Roman"/>
                <w:b/>
                <w:bCs/>
                <w:sz w:val="16"/>
                <w:szCs w:val="16"/>
              </w:rPr>
              <w:t xml:space="preserve">Check</w:t>
            </w:r>
          </w:p>
        </w:tc>
        <w:tc>
          <w:tcPr>
            <w:tcW w:type="dxa" w:w="1360"/>
            <w:tcBorders>
              <w:top w:val="single" w:color="808080" w:sz="4"/>
              <w:left w:val="single" w:color="808080" w:sz="4"/>
              <w:bottom w:val="single" w:color="808080" w:sz="4"/>
              <w:right w:val="single" w:color="808080" w:sz="4"/>
            </w:tcBorders>
            <w:shd w:fill="E7E7E7" w:val="clear"/>
            <w:tcMar>
              <w:top w:type="dxa" w:w="30"/>
              <w:left w:type="dxa" w:w="60"/>
              <w:bottom w:type="dxa" w:w="30"/>
              <w:right w:type="dxa" w:w="60"/>
            </w:tcMar>
            <w:vAlign w:val="top"/>
          </w:tcPr>
          <w:p>
            <w:pPr>
              <w:spacing w:after="0"/>
            </w:pPr>
            <w:r>
              <w:rPr>
                <w:rFonts w:ascii="Times New Roman" w:cs="Times New Roman" w:eastAsia="Times New Roman" w:hAnsi="Times New Roman"/>
                <w:b/>
                <w:bCs/>
                <w:sz w:val="16"/>
                <w:szCs w:val="16"/>
              </w:rPr>
              <w:t xml:space="preserve">Outcome</w:t>
            </w:r>
          </w:p>
        </w:tc>
        <w:tc>
          <w:tcPr>
            <w:tcW w:type="dxa" w:w="682"/>
            <w:tcBorders>
              <w:top w:val="single" w:color="808080" w:sz="4"/>
              <w:left w:val="single" w:color="808080" w:sz="4"/>
              <w:bottom w:val="single" w:color="808080" w:sz="4"/>
              <w:right w:val="single" w:color="808080" w:sz="4"/>
            </w:tcBorders>
            <w:shd w:fill="E7E7E7" w:val="clear"/>
            <w:tcMar>
              <w:top w:type="dxa" w:w="30"/>
              <w:left w:type="dxa" w:w="60"/>
              <w:bottom w:type="dxa" w:w="30"/>
              <w:right w:type="dxa" w:w="60"/>
            </w:tcMar>
            <w:vAlign w:val="top"/>
          </w:tcPr>
          <w:p>
            <w:pPr>
              <w:spacing w:after="0"/>
            </w:pPr>
            <w:r>
              <w:rPr>
                <w:rFonts w:ascii="Times New Roman" w:cs="Times New Roman" w:eastAsia="Times New Roman" w:hAnsi="Times New Roman"/>
                <w:b/>
                <w:bCs/>
                <w:sz w:val="16"/>
                <w:szCs w:val="16"/>
              </w:rPr>
              <w:t xml:space="preserve">Date</w:t>
            </w:r>
          </w:p>
        </w:tc>
      </w:tr>
      <w:tr>
        <w:trPr>
          <w:cantSplit/>
        </w:trPr>
        <w:tc>
          <w:tcPr>
            <w:tcW w:type="dxa" w:w="2818"/>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6"/>
                <w:szCs w:val="16"/>
              </w:rPr>
              <w:t xml:space="preserve">All services answer HTTP 200 (3001, 4000, 5173, 8000, 8001, 8080, 8081)</w:t>
            </w:r>
          </w:p>
        </w:tc>
        <w:tc>
          <w:tcPr>
            <w:tcW w:type="dxa" w:w="1360"/>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6"/>
                <w:szCs w:val="16"/>
              </w:rPr>
              <w:t xml:space="preserve">Pass</w:t>
            </w:r>
          </w:p>
        </w:tc>
        <w:tc>
          <w:tcPr>
            <w:tcW w:type="dxa" w:w="682"/>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6"/>
                <w:szCs w:val="16"/>
              </w:rPr>
              <w:t xml:space="preserve">14, 16 Oct</w:t>
            </w:r>
          </w:p>
        </w:tc>
      </w:tr>
      <w:tr>
        <w:trPr>
          <w:cantSplit/>
        </w:trPr>
        <w:tc>
          <w:tcPr>
            <w:tcW w:type="dxa" w:w="2818"/>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6"/>
                <w:szCs w:val="16"/>
              </w:rPr>
              <w:t xml:space="preserve">14 site URLs return 200; unknown URL returns 404</w:t>
            </w:r>
          </w:p>
        </w:tc>
        <w:tc>
          <w:tcPr>
            <w:tcW w:type="dxa" w:w="1360"/>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6"/>
                <w:szCs w:val="16"/>
              </w:rPr>
              <w:t xml:space="preserve">Pass</w:t>
            </w:r>
          </w:p>
        </w:tc>
        <w:tc>
          <w:tcPr>
            <w:tcW w:type="dxa" w:w="682"/>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6"/>
                <w:szCs w:val="16"/>
              </w:rPr>
              <w:t xml:space="preserve">14 Oct</w:t>
            </w:r>
          </w:p>
        </w:tc>
      </w:tr>
      <w:tr>
        <w:trPr>
          <w:cantSplit/>
        </w:trPr>
        <w:tc>
          <w:tcPr>
            <w:tcW w:type="dxa" w:w="2818"/>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6"/>
                <w:szCs w:val="16"/>
              </w:rPr>
              <w:t xml:space="preserve">Thickness above material limit (MS 20 mm)</w:t>
            </w:r>
          </w:p>
        </w:tc>
        <w:tc>
          <w:tcPr>
            <w:tcW w:type="dxa" w:w="1360"/>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6"/>
                <w:szCs w:val="16"/>
              </w:rPr>
              <w:t xml:space="preserve">HTTP 400</w:t>
            </w:r>
          </w:p>
        </w:tc>
        <w:tc>
          <w:tcPr>
            <w:tcW w:type="dxa" w:w="682"/>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6"/>
                <w:szCs w:val="16"/>
              </w:rPr>
              <w:t xml:space="preserve">14 Oct</w:t>
            </w:r>
          </w:p>
        </w:tc>
      </w:tr>
      <w:tr>
        <w:trPr>
          <w:cantSplit/>
        </w:trPr>
        <w:tc>
          <w:tcPr>
            <w:tcW w:type="dxa" w:w="2818"/>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6"/>
                <w:szCs w:val="16"/>
              </w:rPr>
              <w:t xml:space="preserve">Tracking with correct / wrong phone number</w:t>
            </w:r>
          </w:p>
        </w:tc>
        <w:tc>
          <w:tcPr>
            <w:tcW w:type="dxa" w:w="1360"/>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6"/>
                <w:szCs w:val="16"/>
              </w:rPr>
              <w:t xml:space="preserve">200 / 404</w:t>
            </w:r>
          </w:p>
        </w:tc>
        <w:tc>
          <w:tcPr>
            <w:tcW w:type="dxa" w:w="682"/>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6"/>
                <w:szCs w:val="16"/>
              </w:rPr>
              <w:t xml:space="preserve">14 Oct</w:t>
            </w:r>
          </w:p>
        </w:tc>
      </w:tr>
      <w:tr>
        <w:trPr>
          <w:cantSplit/>
        </w:trPr>
        <w:tc>
          <w:tcPr>
            <w:tcW w:type="dxa" w:w="2818"/>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6"/>
                <w:szCs w:val="16"/>
              </w:rPr>
              <w:t xml:space="preserve">Admin endpoints without token (Spring, Node)</w:t>
            </w:r>
          </w:p>
        </w:tc>
        <w:tc>
          <w:tcPr>
            <w:tcW w:type="dxa" w:w="1360"/>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6"/>
                <w:szCs w:val="16"/>
              </w:rPr>
              <w:t xml:space="preserve">HTTP 401</w:t>
            </w:r>
          </w:p>
        </w:tc>
        <w:tc>
          <w:tcPr>
            <w:tcW w:type="dxa" w:w="682"/>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6"/>
                <w:szCs w:val="16"/>
              </w:rPr>
              <w:t xml:space="preserve">14 Oct</w:t>
            </w:r>
          </w:p>
        </w:tc>
      </w:tr>
      <w:tr>
        <w:trPr>
          <w:cantSplit/>
        </w:trPr>
        <w:tc>
          <w:tcPr>
            <w:tcW w:type="dxa" w:w="2818"/>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6"/>
                <w:szCs w:val="16"/>
              </w:rPr>
              <w:t xml:space="preserve">Token issued by Spring accepted by Node</w:t>
            </w:r>
          </w:p>
        </w:tc>
        <w:tc>
          <w:tcPr>
            <w:tcW w:type="dxa" w:w="1360"/>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6"/>
                <w:szCs w:val="16"/>
              </w:rPr>
              <w:t xml:space="preserve">Pass (200)</w:t>
            </w:r>
          </w:p>
        </w:tc>
        <w:tc>
          <w:tcPr>
            <w:tcW w:type="dxa" w:w="682"/>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6"/>
                <w:szCs w:val="16"/>
              </w:rPr>
              <w:t xml:space="preserve">14 Oct</w:t>
            </w:r>
          </w:p>
        </w:tc>
      </w:tr>
      <w:tr>
        <w:trPr>
          <w:cantSplit/>
        </w:trPr>
        <w:tc>
          <w:tcPr>
            <w:tcW w:type="dxa" w:w="2818"/>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6"/>
                <w:szCs w:val="16"/>
              </w:rPr>
              <w:t xml:space="preserve">PHP bad CSRF token / Laravel POST without CSRF</w:t>
            </w:r>
          </w:p>
        </w:tc>
        <w:tc>
          <w:tcPr>
            <w:tcW w:type="dxa" w:w="1360"/>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6"/>
                <w:szCs w:val="16"/>
              </w:rPr>
              <w:t xml:space="preserve">303 / 419</w:t>
            </w:r>
          </w:p>
        </w:tc>
        <w:tc>
          <w:tcPr>
            <w:tcW w:type="dxa" w:w="682"/>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6"/>
                <w:szCs w:val="16"/>
              </w:rPr>
              <w:t xml:space="preserve">14 Oct</w:t>
            </w:r>
          </w:p>
        </w:tc>
      </w:tr>
      <w:tr>
        <w:trPr>
          <w:cantSplit/>
        </w:trPr>
        <w:tc>
          <w:tcPr>
            <w:tcW w:type="dxa" w:w="2818"/>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6"/>
                <w:szCs w:val="16"/>
              </w:rPr>
              <w:t xml:space="preserve">Laravel login and 7 admin screens</w:t>
            </w:r>
          </w:p>
        </w:tc>
        <w:tc>
          <w:tcPr>
            <w:tcW w:type="dxa" w:w="1360"/>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6"/>
                <w:szCs w:val="16"/>
              </w:rPr>
              <w:t xml:space="preserve">Pass</w:t>
            </w:r>
          </w:p>
        </w:tc>
        <w:tc>
          <w:tcPr>
            <w:tcW w:type="dxa" w:w="682"/>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6"/>
                <w:szCs w:val="16"/>
              </w:rPr>
              <w:t xml:space="preserve">14 Oct</w:t>
            </w:r>
          </w:p>
        </w:tc>
      </w:tr>
      <w:tr>
        <w:trPr>
          <w:cantSplit/>
        </w:trPr>
        <w:tc>
          <w:tcPr>
            <w:tcW w:type="dxa" w:w="2818"/>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6"/>
                <w:szCs w:val="16"/>
              </w:rPr>
              <w:t xml:space="preserve">Spring health with embedded MongoDB</w:t>
            </w:r>
          </w:p>
        </w:tc>
        <w:tc>
          <w:tcPr>
            <w:tcW w:type="dxa" w:w="1360"/>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6"/>
                <w:szCs w:val="16"/>
              </w:rPr>
              <w:t xml:space="preserve">UP</w:t>
            </w:r>
          </w:p>
        </w:tc>
        <w:tc>
          <w:tcPr>
            <w:tcW w:type="dxa" w:w="682"/>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6"/>
                <w:szCs w:val="16"/>
              </w:rPr>
              <w:t xml:space="preserve">16 Oct</w:t>
            </w:r>
          </w:p>
        </w:tc>
      </w:tr>
      <w:tr>
        <w:trPr>
          <w:cantSplit/>
        </w:trPr>
        <w:tc>
          <w:tcPr>
            <w:tcW w:type="dxa" w:w="2818"/>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6"/>
                <w:szCs w:val="16"/>
              </w:rPr>
              <w:t xml:space="preserve">Node.js automated suite (33 tests, live MySQL)</w:t>
            </w:r>
          </w:p>
        </w:tc>
        <w:tc>
          <w:tcPr>
            <w:tcW w:type="dxa" w:w="1360"/>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6"/>
                <w:szCs w:val="16"/>
              </w:rPr>
              <w:t xml:space="preserve">33 passed</w:t>
            </w:r>
          </w:p>
        </w:tc>
        <w:tc>
          <w:tcPr>
            <w:tcW w:type="dxa" w:w="682"/>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6"/>
                <w:szCs w:val="16"/>
              </w:rPr>
              <w:t xml:space="preserve">18 Oct</w:t>
            </w:r>
          </w:p>
        </w:tc>
      </w:tr>
      <w:tr>
        <w:trPr>
          <w:cantSplit/>
        </w:trPr>
        <w:tc>
          <w:tcPr>
            <w:tcW w:type="dxa" w:w="2818"/>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6"/>
                <w:szCs w:val="16"/>
              </w:rPr>
              <w:t xml:space="preserve">Laravel automated suite (in-memory SQLite)</w:t>
            </w:r>
          </w:p>
        </w:tc>
        <w:tc>
          <w:tcPr>
            <w:tcW w:type="dxa" w:w="1360"/>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6"/>
                <w:szCs w:val="16"/>
              </w:rPr>
              <w:t xml:space="preserve">8 passed (47 assertions)</w:t>
            </w:r>
          </w:p>
        </w:tc>
        <w:tc>
          <w:tcPr>
            <w:tcW w:type="dxa" w:w="682"/>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6"/>
                <w:szCs w:val="16"/>
              </w:rPr>
              <w:t xml:space="preserve">18 Oct</w:t>
            </w:r>
          </w:p>
        </w:tc>
      </w:tr>
      <w:tr>
        <w:trPr>
          <w:cantSplit/>
        </w:trPr>
        <w:tc>
          <w:tcPr>
            <w:tcW w:type="dxa" w:w="2818"/>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6"/>
                <w:szCs w:val="16"/>
              </w:rPr>
              <w:t xml:space="preserve">Production build, lint and type check of the Next.js app</w:t>
            </w:r>
          </w:p>
        </w:tc>
        <w:tc>
          <w:tcPr>
            <w:tcW w:type="dxa" w:w="1360"/>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6"/>
                <w:szCs w:val="16"/>
              </w:rPr>
              <w:t xml:space="preserve">Pass</w:t>
            </w:r>
          </w:p>
        </w:tc>
        <w:tc>
          <w:tcPr>
            <w:tcW w:type="dxa" w:w="682"/>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6"/>
                <w:szCs w:val="16"/>
              </w:rPr>
              <w:t xml:space="preserve">14 Oct</w:t>
            </w:r>
          </w:p>
        </w:tc>
      </w:tr>
    </w:tbl>
    <w:p>
      <w:pPr>
        <w:spacing w:after="80"/>
      </w:pPr>
    </w:p>
    <w:p>
      <w:pPr>
        <w:spacing w:after="70"/>
        <w:jc w:val="both"/>
      </w:pPr>
      <w:r>
        <w:rPr>
          <w:rFonts w:ascii="Times New Roman" w:cs="Times New Roman" w:eastAsia="Times New Roman" w:hAnsi="Times New Roman"/>
          <w:sz w:val="20"/>
          <w:szCs w:val="20"/>
        </w:rPr>
        <w:t xml:space="preserve">The Spring project contains 15 automated test methods (unit tests with mocked repositories, a web-layer test and an integration test on an in-memory H2 database). They were counted from source and reported as passing by the build agents, but we did </w:t>
      </w:r>
      <w:r>
        <w:rPr>
          <w:rFonts w:ascii="Times New Roman" w:cs="Times New Roman" w:eastAsia="Times New Roman" w:hAnsi="Times New Roman"/>
          <w:b/>
          <w:bCs/>
          <w:sz w:val="20"/>
          <w:szCs w:val="20"/>
        </w:rPr>
        <w:t xml:space="preserve">not</w:t>
      </w:r>
      <w:r>
        <w:rPr>
          <w:rFonts w:ascii="Times New Roman" w:cs="Times New Roman" w:eastAsia="Times New Roman" w:hAnsi="Times New Roman"/>
          <w:sz w:val="20"/>
          <w:szCs w:val="20"/>
        </w:rPr>
        <w:t xml:space="preserve"> re-run them for this paper.</w:t>
      </w:r>
    </w:p>
    <w:p>
      <w:pPr>
        <w:keepNext/>
        <w:spacing w:after="40" w:before="100"/>
        <w:outlineLvl w:val="1"/>
      </w:pPr>
      <w:r>
        <w:rPr>
          <w:rFonts w:ascii="Times New Roman" w:cs="Times New Roman" w:eastAsia="Times New Roman" w:hAnsi="Times New Roman"/>
          <w:b w:val="false"/>
          <w:bCs w:val="false"/>
          <w:i/>
          <w:iCs/>
          <w:sz w:val="20"/>
          <w:szCs w:val="20"/>
        </w:rPr>
        <w:t xml:space="preserve">C. Not verified</w:t>
      </w:r>
    </w:p>
    <w:p>
      <w:pPr>
        <w:spacing w:after="70"/>
        <w:jc w:val="both"/>
      </w:pPr>
      <w:r>
        <w:rPr>
          <w:rFonts w:ascii="Times New Roman" w:cs="Times New Roman" w:eastAsia="Times New Roman" w:hAnsi="Times New Roman"/>
          <w:sz w:val="20"/>
          <w:szCs w:val="20"/>
        </w:rPr>
        <w:t xml:space="preserve">The following were not tested, and we make no claim about them: responsive layout at 375, 768 and 1440 px by visual inspection; every image on every page; the end-to-end path from the React portal through Node.js to the database; delivery of a live STOMP push to the dashboard; re-testing of upload rejection with real files; any load or performance measurement; and any deployment outside a single Windows PC. In particular, no latency or throughput figures are reported because none were measured.</w:t>
      </w:r>
    </w:p>
    <w:p>
      <w:pPr>
        <w:keepNext/>
        <w:spacing w:after="80" w:before="160"/>
        <w:jc w:val="center"/>
        <w:outlineLvl w:val="0"/>
      </w:pPr>
      <w:r>
        <w:rPr>
          <w:rFonts w:ascii="Times New Roman" w:cs="Times New Roman" w:eastAsia="Times New Roman" w:hAnsi="Times New Roman"/>
          <w:b w:val="false"/>
          <w:bCs w:val="false"/>
          <w:smallCaps w:val="false"/>
          <w:sz w:val="18"/>
          <w:szCs w:val="18"/>
        </w:rPr>
        <w:t xml:space="preserve">VII. DISCUSSION AND LIMITATIONS</w:t>
      </w:r>
    </w:p>
    <w:p>
      <w:pPr>
        <w:pStyle w:val="ListParagraph"/>
        <w:numPr>
          <w:ilvl w:val="0"/>
          <w:numId w:val="3"/>
        </w:numPr>
        <w:spacing w:after="30"/>
        <w:jc w:val="both"/>
      </w:pPr>
      <w:r>
        <w:rPr>
          <w:rFonts w:ascii="Times New Roman" w:cs="Times New Roman" w:eastAsia="Times New Roman" w:hAnsi="Times New Roman"/>
          <w:b/>
          <w:bCs/>
          <w:sz w:val="20"/>
          <w:szCs w:val="20"/>
        </w:rPr>
        <w:t xml:space="preserve">Sample prices.</w:t>
      </w:r>
      <w:r>
        <w:rPr>
          <w:rFonts w:ascii="Times New Roman" w:cs="Times New Roman" w:eastAsia="Times New Roman" w:hAnsi="Times New Roman"/>
          <w:sz w:val="20"/>
          <w:szCs w:val="20"/>
        </w:rPr>
        <w:t xml:space="preserve"> The rate card is placeholder data. Estimates must not be used to quote customers until the owner enters real rates and clears the sample flag.</w:t>
      </w:r>
    </w:p>
    <w:p>
      <w:pPr>
        <w:pStyle w:val="ListParagraph"/>
        <w:numPr>
          <w:ilvl w:val="0"/>
          <w:numId w:val="3"/>
        </w:numPr>
        <w:spacing w:after="30"/>
        <w:jc w:val="both"/>
      </w:pPr>
      <w:r>
        <w:rPr>
          <w:rFonts w:ascii="Times New Roman" w:cs="Times New Roman" w:eastAsia="Times New Roman" w:hAnsi="Times New Roman"/>
          <w:b/>
          <w:bCs/>
          <w:sz w:val="20"/>
          <w:szCs w:val="20"/>
        </w:rPr>
        <w:t xml:space="preserve">Duplicated rules.</w:t>
      </w:r>
      <w:r>
        <w:rPr>
          <w:rFonts w:ascii="Times New Roman" w:cs="Times New Roman" w:eastAsia="Times New Roman" w:hAnsi="Times New Roman"/>
          <w:sz w:val="20"/>
          <w:szCs w:val="20"/>
        </w:rPr>
        <w:t xml:space="preserve"> Because three applications use the database directly, a rule change (for example in rounding) must be made in four places. The shared contract and the reference test case mitigate this but do not remove it.</w:t>
      </w:r>
    </w:p>
    <w:p>
      <w:pPr>
        <w:pStyle w:val="ListParagraph"/>
        <w:numPr>
          <w:ilvl w:val="0"/>
          <w:numId w:val="3"/>
        </w:numPr>
        <w:spacing w:after="30"/>
        <w:jc w:val="both"/>
      </w:pPr>
      <w:r>
        <w:rPr>
          <w:rFonts w:ascii="Times New Roman" w:cs="Times New Roman" w:eastAsia="Times New Roman" w:hAnsi="Times New Roman"/>
          <w:b/>
          <w:bCs/>
          <w:sz w:val="20"/>
          <w:szCs w:val="20"/>
        </w:rPr>
        <w:t xml:space="preserve">No machine integration.</w:t>
      </w:r>
      <w:r>
        <w:rPr>
          <w:rFonts w:ascii="Times New Roman" w:cs="Times New Roman" w:eastAsia="Times New Roman" w:hAnsi="Times New Roman"/>
          <w:sz w:val="20"/>
          <w:szCs w:val="20"/>
        </w:rPr>
        <w:t xml:space="preserve"> Job status is entered by staff; there is no connection to the lasers, press brake or punches, and no CAD/DXF analysis. Cut length and pierce count are typed by the user.</w:t>
      </w:r>
    </w:p>
    <w:p>
      <w:pPr>
        <w:pStyle w:val="ListParagraph"/>
        <w:numPr>
          <w:ilvl w:val="0"/>
          <w:numId w:val="3"/>
        </w:numPr>
        <w:spacing w:after="30"/>
        <w:jc w:val="both"/>
      </w:pPr>
      <w:r>
        <w:rPr>
          <w:rFonts w:ascii="Times New Roman" w:cs="Times New Roman" w:eastAsia="Times New Roman" w:hAnsi="Times New Roman"/>
          <w:b/>
          <w:bCs/>
          <w:sz w:val="20"/>
          <w:szCs w:val="20"/>
        </w:rPr>
        <w:t xml:space="preserve">Delivery channels.</w:t>
      </w:r>
      <w:r>
        <w:rPr>
          <w:rFonts w:ascii="Times New Roman" w:cs="Times New Roman" w:eastAsia="Times New Roman" w:hAnsi="Times New Roman"/>
          <w:sz w:val="20"/>
          <w:szCs w:val="20"/>
        </w:rPr>
        <w:t xml:space="preserve"> Enquiries produce a database row and a WhatsApp link; there is no e-mail or SMS service and no payment.</w:t>
      </w:r>
    </w:p>
    <w:p>
      <w:pPr>
        <w:pStyle w:val="ListParagraph"/>
        <w:numPr>
          <w:ilvl w:val="0"/>
          <w:numId w:val="3"/>
        </w:numPr>
        <w:spacing w:after="30"/>
        <w:jc w:val="both"/>
      </w:pPr>
      <w:r>
        <w:rPr>
          <w:rFonts w:ascii="Times New Roman" w:cs="Times New Roman" w:eastAsia="Times New Roman" w:hAnsi="Times New Roman"/>
          <w:b/>
          <w:bCs/>
          <w:sz w:val="20"/>
          <w:szCs w:val="20"/>
        </w:rPr>
        <w:t xml:space="preserve">Deployment and secrets.</w:t>
      </w:r>
      <w:r>
        <w:rPr>
          <w:rFonts w:ascii="Times New Roman" w:cs="Times New Roman" w:eastAsia="Times New Roman" w:hAnsi="Times New Roman"/>
          <w:sz w:val="20"/>
          <w:szCs w:val="20"/>
        </w:rPr>
        <w:t xml:space="preserve"> The system runs locally with development defaults (database root user with empty password, development JWT secret). These must be replaced before any public deployment, which would also need HTTPS and backups.</w:t>
      </w:r>
    </w:p>
    <w:p>
      <w:pPr>
        <w:pStyle w:val="ListParagraph"/>
        <w:numPr>
          <w:ilvl w:val="0"/>
          <w:numId w:val="3"/>
        </w:numPr>
        <w:spacing w:after="30"/>
        <w:jc w:val="both"/>
      </w:pPr>
      <w:r>
        <w:rPr>
          <w:rFonts w:ascii="Times New Roman" w:cs="Times New Roman" w:eastAsia="Times New Roman" w:hAnsi="Times New Roman"/>
          <w:b/>
          <w:bCs/>
          <w:sz w:val="20"/>
          <w:szCs w:val="20"/>
        </w:rPr>
        <w:t xml:space="preserve">Data durability.</w:t>
      </w:r>
      <w:r>
        <w:rPr>
          <w:rFonts w:ascii="Times New Roman" w:cs="Times New Roman" w:eastAsia="Times New Roman" w:hAnsi="Times New Roman"/>
          <w:sz w:val="20"/>
          <w:szCs w:val="20"/>
        </w:rPr>
        <w:t xml:space="preserve"> The embedded MongoDB instance loses data on restart.</w:t>
      </w:r>
    </w:p>
    <w:p>
      <w:pPr>
        <w:pStyle w:val="ListParagraph"/>
        <w:numPr>
          <w:ilvl w:val="0"/>
          <w:numId w:val="3"/>
        </w:numPr>
        <w:spacing w:after="30"/>
        <w:jc w:val="both"/>
      </w:pPr>
      <w:r>
        <w:rPr>
          <w:rFonts w:ascii="Times New Roman" w:cs="Times New Roman" w:eastAsia="Times New Roman" w:hAnsi="Times New Roman"/>
          <w:b/>
          <w:bCs/>
          <w:sz w:val="20"/>
          <w:szCs w:val="20"/>
        </w:rPr>
        <w:t xml:space="preserve">Evidence base.</w:t>
      </w:r>
      <w:r>
        <w:rPr>
          <w:rFonts w:ascii="Times New Roman" w:cs="Times New Roman" w:eastAsia="Times New Roman" w:hAnsi="Times New Roman"/>
          <w:sz w:val="20"/>
          <w:szCs w:val="20"/>
        </w:rPr>
        <w:t xml:space="preserve"> Results come from one development machine and a small seeded data set; they demonstrate correctness and consistency, not scalability.</w:t>
      </w:r>
    </w:p>
    <w:p>
      <w:pPr>
        <w:keepNext/>
        <w:spacing w:after="80" w:before="160"/>
        <w:jc w:val="center"/>
        <w:outlineLvl w:val="0"/>
      </w:pPr>
      <w:r>
        <w:rPr>
          <w:rFonts w:ascii="Times New Roman" w:cs="Times New Roman" w:eastAsia="Times New Roman" w:hAnsi="Times New Roman"/>
          <w:b w:val="false"/>
          <w:bCs w:val="false"/>
          <w:smallCaps w:val="false"/>
          <w:sz w:val="18"/>
          <w:szCs w:val="18"/>
        </w:rPr>
        <w:t xml:space="preserve">VIII. CONCLUSION AND FUTURE WORK</w:t>
      </w:r>
    </w:p>
    <w:p>
      <w:pPr>
        <w:spacing w:after="70"/>
        <w:jc w:val="both"/>
      </w:pPr>
      <w:r>
        <w:rPr>
          <w:rFonts w:ascii="Times New Roman" w:cs="Times New Roman" w:eastAsia="Times New Roman" w:hAnsi="Times New Roman"/>
          <w:sz w:val="20"/>
          <w:szCs w:val="20"/>
        </w:rPr>
        <w:t xml:space="preserve">We designed and implemented PS Laser, a platform that gives a laser-cutting job shop an instant indicative estimator, enquiry and drawing capture, order tracking and staff tools, built as seven cooperating services over one shared schema and contract. The reference estimate matched across four independent implementations, and the automated suites that we re-ran (Node.js and Laravel) passed. Future work is to replace the sample rate card with the owner's real rates, add e-mail or WhatsApp Business notifications on status change, deploy behind HTTPS with managed MySQL and secrets, add end-to-end browser tests, parse DXF files to propose cut length and pierces automatically, and evaluate the estimator against the shop's actual quotations.</w:t>
      </w:r>
    </w:p>
    <w:p>
      <w:pPr>
        <w:keepNext/>
        <w:spacing w:after="80" w:before="160"/>
        <w:jc w:val="center"/>
        <w:outlineLvl w:val="0"/>
      </w:pPr>
      <w:r>
        <w:rPr>
          <w:rFonts w:ascii="Times New Roman" w:cs="Times New Roman" w:eastAsia="Times New Roman" w:hAnsi="Times New Roman"/>
          <w:b w:val="false"/>
          <w:bCs w:val="false"/>
          <w:smallCaps w:val="false"/>
          <w:sz w:val="18"/>
          <w:szCs w:val="18"/>
        </w:rPr>
        <w:t xml:space="preserve">ACKNOWLEDGMENT</w:t>
      </w:r>
    </w:p>
    <w:p>
      <w:pPr>
        <w:spacing w:after="70"/>
        <w:jc w:val="both"/>
      </w:pPr>
      <w:r>
        <w:rPr>
          <w:rFonts w:ascii="Times New Roman" w:cs="Times New Roman" w:eastAsia="Times New Roman" w:hAnsi="Times New Roman"/>
          <w:sz w:val="20"/>
          <w:szCs w:val="20"/>
        </w:rPr>
        <w:t xml:space="preserve">The authors thank PS Laser (Velu, Bhor) for the company profile on which the machine and service information is based, and the faculty of the CS3111 course for guidance.</w:t>
      </w:r>
    </w:p>
    <w:p>
      <w:pPr>
        <w:keepNext/>
        <w:spacing w:after="80" w:before="160"/>
        <w:jc w:val="center"/>
        <w:outlineLvl w:val="0"/>
      </w:pPr>
      <w:r>
        <w:rPr>
          <w:rFonts w:ascii="Times New Roman" w:cs="Times New Roman" w:eastAsia="Times New Roman" w:hAnsi="Times New Roman"/>
          <w:b w:val="false"/>
          <w:bCs w:val="false"/>
          <w:smallCaps w:val="false"/>
          <w:sz w:val="18"/>
          <w:szCs w:val="18"/>
        </w:rPr>
        <w:t xml:space="preserve">REFERENCES</w:t>
      </w:r>
    </w:p>
    <w:p>
      <w:pPr>
        <w:tabs>
          <w:tab w:val="left" w:pos="360"/>
        </w:tabs>
        <w:spacing w:after="30"/>
        <w:ind w:left="360" w:hanging="360"/>
        <w:jc w:val="both"/>
      </w:pPr>
      <w:r>
        <w:rPr>
          <w:rFonts w:ascii="Times New Roman" w:cs="Times New Roman" w:eastAsia="Times New Roman" w:hAnsi="Times New Roman"/>
          <w:sz w:val="18"/>
          <w:szCs w:val="18"/>
        </w:rPr>
        <w:t xml:space="preserve">[1]	</w:t>
      </w:r>
      <w:r>
        <w:rPr>
          <w:rFonts w:ascii="Times New Roman" w:cs="Times New Roman" w:eastAsia="Times New Roman" w:hAnsi="Times New Roman"/>
          <w:sz w:val="18"/>
          <w:szCs w:val="18"/>
        </w:rPr>
        <w:t xml:space="preserve">R. T. Fielding, "Architectural styles and the design of network-based software architectures," Ph.D. dissertation, Dept. Inf. Comput. Sci., Univ. California, Irvine, CA, USA, 2000.</w:t>
      </w:r>
    </w:p>
    <w:p>
      <w:pPr>
        <w:tabs>
          <w:tab w:val="left" w:pos="360"/>
        </w:tabs>
        <w:spacing w:after="30"/>
        <w:ind w:left="360" w:hanging="360"/>
        <w:jc w:val="both"/>
      </w:pPr>
      <w:r>
        <w:rPr>
          <w:rFonts w:ascii="Times New Roman" w:cs="Times New Roman" w:eastAsia="Times New Roman" w:hAnsi="Times New Roman"/>
          <w:sz w:val="18"/>
          <w:szCs w:val="18"/>
        </w:rPr>
        <w:t xml:space="preserve">[2]	</w:t>
      </w:r>
      <w:r>
        <w:rPr>
          <w:rFonts w:ascii="Times New Roman" w:cs="Times New Roman" w:eastAsia="Times New Roman" w:hAnsi="Times New Roman"/>
          <w:sz w:val="18"/>
          <w:szCs w:val="18"/>
        </w:rPr>
        <w:t xml:space="preserve">G. E. Krasner and S. T. Pope, "A cookbook for using the model-view-controller user interface paradigm in Smalltalk-80," </w:t>
      </w:r>
      <w:r>
        <w:rPr>
          <w:rFonts w:ascii="Times New Roman" w:cs="Times New Roman" w:eastAsia="Times New Roman" w:hAnsi="Times New Roman"/>
          <w:i/>
          <w:iCs/>
          <w:sz w:val="18"/>
          <w:szCs w:val="18"/>
        </w:rPr>
        <w:t xml:space="preserve">J. Object-Oriented Program.</w:t>
      </w:r>
      <w:r>
        <w:rPr>
          <w:rFonts w:ascii="Times New Roman" w:cs="Times New Roman" w:eastAsia="Times New Roman" w:hAnsi="Times New Roman"/>
          <w:sz w:val="18"/>
          <w:szCs w:val="18"/>
        </w:rPr>
        <w:t xml:space="preserve">, vol. 1, no. 3, pp. 26–49, Aug./Sep. 1988.</w:t>
      </w:r>
    </w:p>
    <w:p>
      <w:pPr>
        <w:tabs>
          <w:tab w:val="left" w:pos="360"/>
        </w:tabs>
        <w:spacing w:after="30"/>
        <w:ind w:left="360" w:hanging="360"/>
        <w:jc w:val="both"/>
      </w:pPr>
      <w:r>
        <w:rPr>
          <w:rFonts w:ascii="Times New Roman" w:cs="Times New Roman" w:eastAsia="Times New Roman" w:hAnsi="Times New Roman"/>
          <w:sz w:val="18"/>
          <w:szCs w:val="18"/>
        </w:rPr>
        <w:t xml:space="preserve">[3]	</w:t>
      </w:r>
      <w:r>
        <w:rPr>
          <w:rFonts w:ascii="Times New Roman" w:cs="Times New Roman" w:eastAsia="Times New Roman" w:hAnsi="Times New Roman"/>
          <w:sz w:val="18"/>
          <w:szCs w:val="18"/>
        </w:rPr>
        <w:t xml:space="preserve">M. Jones, J. Bradley, and N. Sakimura, "JSON Web Token (JWT)," Internet Eng. Task Force, RFC 7519, May 2015.</w:t>
      </w:r>
    </w:p>
    <w:p>
      <w:pPr>
        <w:tabs>
          <w:tab w:val="left" w:pos="360"/>
        </w:tabs>
        <w:spacing w:after="30"/>
        <w:ind w:left="360" w:hanging="360"/>
        <w:jc w:val="both"/>
      </w:pPr>
      <w:r>
        <w:rPr>
          <w:rFonts w:ascii="Times New Roman" w:cs="Times New Roman" w:eastAsia="Times New Roman" w:hAnsi="Times New Roman"/>
          <w:sz w:val="18"/>
          <w:szCs w:val="18"/>
        </w:rPr>
        <w:t xml:space="preserve">[4]	</w:t>
      </w:r>
      <w:r>
        <w:rPr>
          <w:rFonts w:ascii="Times New Roman" w:cs="Times New Roman" w:eastAsia="Times New Roman" w:hAnsi="Times New Roman"/>
          <w:sz w:val="18"/>
          <w:szCs w:val="18"/>
        </w:rPr>
        <w:t xml:space="preserve">M. Jones, "JSON Web Algorithms (JWA)," Internet Eng. Task Force, RFC 7518, May 2015.</w:t>
      </w:r>
    </w:p>
    <w:p>
      <w:pPr>
        <w:tabs>
          <w:tab w:val="left" w:pos="360"/>
        </w:tabs>
        <w:spacing w:after="30"/>
        <w:ind w:left="360" w:hanging="360"/>
        <w:jc w:val="both"/>
      </w:pPr>
      <w:r>
        <w:rPr>
          <w:rFonts w:ascii="Times New Roman" w:cs="Times New Roman" w:eastAsia="Times New Roman" w:hAnsi="Times New Roman"/>
          <w:sz w:val="18"/>
          <w:szCs w:val="18"/>
        </w:rPr>
        <w:t xml:space="preserve">[5]	</w:t>
      </w:r>
      <w:r>
        <w:rPr>
          <w:rFonts w:ascii="Times New Roman" w:cs="Times New Roman" w:eastAsia="Times New Roman" w:hAnsi="Times New Roman"/>
          <w:sz w:val="18"/>
          <w:szCs w:val="18"/>
        </w:rPr>
        <w:t xml:space="preserve">N. Provos and D. Mazières, "A future-adaptable password scheme," in </w:t>
      </w:r>
      <w:r>
        <w:rPr>
          <w:rFonts w:ascii="Times New Roman" w:cs="Times New Roman" w:eastAsia="Times New Roman" w:hAnsi="Times New Roman"/>
          <w:i/>
          <w:iCs/>
          <w:sz w:val="18"/>
          <w:szCs w:val="18"/>
        </w:rPr>
        <w:t xml:space="preserve">Proc. USENIX Annu. Tech. Conf., FREENIX Track</w:t>
      </w:r>
      <w:r>
        <w:rPr>
          <w:rFonts w:ascii="Times New Roman" w:cs="Times New Roman" w:eastAsia="Times New Roman" w:hAnsi="Times New Roman"/>
          <w:sz w:val="18"/>
          <w:szCs w:val="18"/>
        </w:rPr>
        <w:t xml:space="preserve">, Monterey, CA, USA, 1999, pp. 81–91.</w:t>
      </w:r>
    </w:p>
    <w:p>
      <w:pPr>
        <w:tabs>
          <w:tab w:val="left" w:pos="360"/>
        </w:tabs>
        <w:spacing w:after="30"/>
        <w:ind w:left="360" w:hanging="360"/>
        <w:jc w:val="both"/>
      </w:pPr>
      <w:r>
        <w:rPr>
          <w:rFonts w:ascii="Times New Roman" w:cs="Times New Roman" w:eastAsia="Times New Roman" w:hAnsi="Times New Roman"/>
          <w:sz w:val="18"/>
          <w:szCs w:val="18"/>
        </w:rPr>
        <w:t xml:space="preserve">[6]	</w:t>
      </w:r>
      <w:r>
        <w:rPr>
          <w:rFonts w:ascii="Times New Roman" w:cs="Times New Roman" w:eastAsia="Times New Roman" w:hAnsi="Times New Roman"/>
          <w:sz w:val="18"/>
          <w:szCs w:val="18"/>
        </w:rPr>
        <w:t xml:space="preserve">I. Fette and A. Melnikov, "The WebSocket protocol," Internet Eng. Task Force, RFC 6455, Dec. 2011.</w:t>
      </w:r>
    </w:p>
    <w:p>
      <w:pPr>
        <w:tabs>
          <w:tab w:val="left" w:pos="360"/>
        </w:tabs>
        <w:spacing w:after="30"/>
        <w:ind w:left="360" w:hanging="360"/>
        <w:jc w:val="both"/>
      </w:pPr>
      <w:r>
        <w:rPr>
          <w:rFonts w:ascii="Times New Roman" w:cs="Times New Roman" w:eastAsia="Times New Roman" w:hAnsi="Times New Roman"/>
          <w:sz w:val="18"/>
          <w:szCs w:val="18"/>
        </w:rPr>
        <w:t xml:space="preserve">[7]	</w:t>
      </w:r>
      <w:r>
        <w:rPr>
          <w:rFonts w:ascii="Times New Roman" w:cs="Times New Roman" w:eastAsia="Times New Roman" w:hAnsi="Times New Roman"/>
          <w:sz w:val="18"/>
          <w:szCs w:val="18"/>
        </w:rPr>
        <w:t xml:space="preserve">OWASP Foundation, "OWASP Top 10:2021." [Online]. Available: https://owasp.org/Top10/</w:t>
      </w:r>
    </w:p>
    <w:p>
      <w:pPr>
        <w:tabs>
          <w:tab w:val="left" w:pos="360"/>
        </w:tabs>
        <w:spacing w:after="30"/>
        <w:ind w:left="360" w:hanging="360"/>
        <w:jc w:val="both"/>
      </w:pPr>
      <w:r>
        <w:rPr>
          <w:rFonts w:ascii="Times New Roman" w:cs="Times New Roman" w:eastAsia="Times New Roman" w:hAnsi="Times New Roman"/>
          <w:sz w:val="18"/>
          <w:szCs w:val="18"/>
        </w:rPr>
        <w:t xml:space="preserve">[8]	</w:t>
      </w:r>
      <w:r>
        <w:rPr>
          <w:rFonts w:ascii="Times New Roman" w:cs="Times New Roman" w:eastAsia="Times New Roman" w:hAnsi="Times New Roman"/>
          <w:i/>
          <w:iCs/>
          <w:sz w:val="18"/>
          <w:szCs w:val="18"/>
        </w:rPr>
        <w:t xml:space="preserve">Systems and Software Engineering — Systems and Software Quality Requirements and Evaluation (SQuaRE) — System and Software Quality Models</w:t>
      </w:r>
      <w:r>
        <w:rPr>
          <w:rFonts w:ascii="Times New Roman" w:cs="Times New Roman" w:eastAsia="Times New Roman" w:hAnsi="Times New Roman"/>
          <w:sz w:val="18"/>
          <w:szCs w:val="18"/>
        </w:rPr>
        <w:t xml:space="preserve">, ISO/IEC 25010:2011, 2011.</w:t>
      </w:r>
    </w:p>
    <w:p>
      <w:pPr>
        <w:tabs>
          <w:tab w:val="left" w:pos="360"/>
        </w:tabs>
        <w:spacing w:after="30"/>
        <w:ind w:left="360" w:hanging="360"/>
        <w:jc w:val="both"/>
      </w:pPr>
      <w:r>
        <w:rPr>
          <w:rFonts w:ascii="Times New Roman" w:cs="Times New Roman" w:eastAsia="Times New Roman" w:hAnsi="Times New Roman"/>
          <w:sz w:val="18"/>
          <w:szCs w:val="18"/>
        </w:rPr>
        <w:t xml:space="preserve">[9]	</w:t>
      </w:r>
      <w:r>
        <w:rPr>
          <w:rFonts w:ascii="Times New Roman" w:cs="Times New Roman" w:eastAsia="Times New Roman" w:hAnsi="Times New Roman"/>
          <w:sz w:val="18"/>
          <w:szCs w:val="18"/>
        </w:rPr>
        <w:t xml:space="preserve">W. M. Steen and J. Mazumder, </w:t>
      </w:r>
      <w:r>
        <w:rPr>
          <w:rFonts w:ascii="Times New Roman" w:cs="Times New Roman" w:eastAsia="Times New Roman" w:hAnsi="Times New Roman"/>
          <w:i/>
          <w:iCs/>
          <w:sz w:val="18"/>
          <w:szCs w:val="18"/>
        </w:rPr>
        <w:t xml:space="preserve">Laser Material Processing</w:t>
      </w:r>
      <w:r>
        <w:rPr>
          <w:rFonts w:ascii="Times New Roman" w:cs="Times New Roman" w:eastAsia="Times New Roman" w:hAnsi="Times New Roman"/>
          <w:sz w:val="18"/>
          <w:szCs w:val="18"/>
        </w:rPr>
        <w:t xml:space="preserve">, 4th ed. London, U.K.: Springer, 2010.</w:t>
      </w:r>
    </w:p>
    <w:p>
      <w:pPr>
        <w:tabs>
          <w:tab w:val="left" w:pos="360"/>
        </w:tabs>
        <w:spacing w:after="30"/>
        <w:ind w:left="360" w:hanging="360"/>
        <w:jc w:val="both"/>
      </w:pPr>
      <w:r>
        <w:rPr>
          <w:rFonts w:ascii="Times New Roman" w:cs="Times New Roman" w:eastAsia="Times New Roman" w:hAnsi="Times New Roman"/>
          <w:sz w:val="18"/>
          <w:szCs w:val="18"/>
        </w:rPr>
        <w:t xml:space="preserve">[10]	</w:t>
      </w:r>
      <w:r>
        <w:rPr>
          <w:rFonts w:ascii="Times New Roman" w:cs="Times New Roman" w:eastAsia="Times New Roman" w:hAnsi="Times New Roman"/>
          <w:i/>
          <w:iCs/>
          <w:sz w:val="18"/>
          <w:szCs w:val="18"/>
        </w:rPr>
        <w:t xml:space="preserve">Spring Boot Reference Documentation</w:t>
      </w:r>
      <w:r>
        <w:rPr>
          <w:rFonts w:ascii="Times New Roman" w:cs="Times New Roman" w:eastAsia="Times New Roman" w:hAnsi="Times New Roman"/>
          <w:sz w:val="18"/>
          <w:szCs w:val="18"/>
        </w:rPr>
        <w:t xml:space="preserve">, version 3.5. [Online]. Available: https://docs.spring.io/spring-boot/</w:t>
      </w:r>
    </w:p>
    <w:p>
      <w:pPr>
        <w:tabs>
          <w:tab w:val="left" w:pos="360"/>
        </w:tabs>
        <w:spacing w:after="30"/>
        <w:ind w:left="360" w:hanging="360"/>
        <w:jc w:val="both"/>
      </w:pPr>
      <w:r>
        <w:rPr>
          <w:rFonts w:ascii="Times New Roman" w:cs="Times New Roman" w:eastAsia="Times New Roman" w:hAnsi="Times New Roman"/>
          <w:sz w:val="18"/>
          <w:szCs w:val="18"/>
        </w:rPr>
        <w:t xml:space="preserve">[11]	</w:t>
      </w:r>
      <w:r>
        <w:rPr>
          <w:rFonts w:ascii="Times New Roman" w:cs="Times New Roman" w:eastAsia="Times New Roman" w:hAnsi="Times New Roman"/>
          <w:i/>
          <w:iCs/>
          <w:sz w:val="18"/>
          <w:szCs w:val="18"/>
        </w:rPr>
        <w:t xml:space="preserve">Next.js Documentation</w:t>
      </w:r>
      <w:r>
        <w:rPr>
          <w:rFonts w:ascii="Times New Roman" w:cs="Times New Roman" w:eastAsia="Times New Roman" w:hAnsi="Times New Roman"/>
          <w:sz w:val="18"/>
          <w:szCs w:val="18"/>
        </w:rPr>
        <w:t xml:space="preserve">, Vercel Inc. [Online]. Available: https://nextjs.org/docs</w:t>
      </w:r>
    </w:p>
    <w:p>
      <w:pPr>
        <w:tabs>
          <w:tab w:val="left" w:pos="360"/>
        </w:tabs>
        <w:spacing w:after="30"/>
        <w:ind w:left="360" w:hanging="360"/>
        <w:jc w:val="both"/>
      </w:pPr>
      <w:r>
        <w:rPr>
          <w:rFonts w:ascii="Times New Roman" w:cs="Times New Roman" w:eastAsia="Times New Roman" w:hAnsi="Times New Roman"/>
          <w:sz w:val="18"/>
          <w:szCs w:val="18"/>
        </w:rPr>
        <w:t xml:space="preserve">[12]	</w:t>
      </w:r>
      <w:r>
        <w:rPr>
          <w:rFonts w:ascii="Times New Roman" w:cs="Times New Roman" w:eastAsia="Times New Roman" w:hAnsi="Times New Roman"/>
          <w:i/>
          <w:iCs/>
          <w:sz w:val="18"/>
          <w:szCs w:val="18"/>
        </w:rPr>
        <w:t xml:space="preserve">Laravel Documentation</w:t>
      </w:r>
      <w:r>
        <w:rPr>
          <w:rFonts w:ascii="Times New Roman" w:cs="Times New Roman" w:eastAsia="Times New Roman" w:hAnsi="Times New Roman"/>
          <w:sz w:val="18"/>
          <w:szCs w:val="18"/>
        </w:rPr>
        <w:t xml:space="preserve">, version 12.x. [Online]. Available: https://laravel.com/docs/12.x</w:t>
      </w:r>
    </w:p>
    <w:sectPr>
      <w:type w:val="continuous"/>
      <w:pgSz w:w="12240" w:h="15840" w:orient="portrait"/>
      <w:pgMar w:top="1080" w:right="1080" w:bottom="1440" w:left="1080" w:header="708" w:footer="708" w:gutter="0"/>
      <w:pgNumType/>
      <w:cols w:space="360" w:num="2" w:equalWidth="tru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rFonts w:ascii="Times New Roman" w:cs="Times New Roman" w:eastAsia="Times New Roman" w:hAnsi="Times New Roman"/>
        <w:sz w:val="20"/>
        <w:szCs w:val="20"/>
      </w:rPr>
    </w:lvl>
  </w:abstractNum>
  <w:abstractNum w:abstractNumId="3" w15:restartNumberingAfterBreak="0">
    <w:multiLevelType w:val="hybridMultilevel"/>
    <w:lvl w:ilvl="0" w:tentative="1">
      <w:start w:val="1"/>
      <w:numFmt w:val="decimal"/>
      <w:lvlText w:val="%1."/>
      <w:lvlJc w:val="left"/>
      <w:pPr>
        <w:ind w:left="400" w:hanging="300"/>
      </w:pPr>
      <w:rPr>
        <w:rFonts w:ascii="Times New Roman" w:cs="Times New Roman" w:eastAsia="Times New Roman" w:hAnsi="Times New Roman"/>
        <w:sz w:val="20"/>
        <w:szCs w:val="20"/>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36e6d71d0bde8821c64b5577e6a6e75e6598967b.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PS Laser: A Multi-Stack Web Platform for Instant Cost Estimation, Enquiry Handling and Order Tracking in a Laser-Cutting Job Shop</dc:title>
  <dc:creator>PS Laser project team</dc:creator>
  <cp:lastModifiedBy>Un-named</cp:lastModifiedBy>
  <cp:revision>1</cp:revision>
  <dcterms:created xsi:type="dcterms:W3CDTF">2026-10-18T08:55:27.982Z</dcterms:created>
  <dcterms:modified xsi:type="dcterms:W3CDTF">2026-10-18T08:55:27.984Z</dcterms:modified>
</cp:coreProperties>
</file>

<file path=docProps/custom.xml><?xml version="1.0" encoding="utf-8"?>
<Properties xmlns="http://schemas.openxmlformats.org/officeDocument/2006/custom-properties" xmlns:vt="http://schemas.openxmlformats.org/officeDocument/2006/docPropsVTypes"/>
</file>