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HDFC Bank Limited</w:t>
      </w:r>
    </w:p>
    <w:p>
      <w:pPr>
        <w:spacing w:after="200"/>
      </w:pPr>
      <w:r>
        <w:rPr>
          <w:color w:val="555555"/>
          <w:sz w:val="20"/>
          <w:szCs w:val="20"/>
        </w:rPr>
        <w:t xml:space="preserve">NSE: HDFCBANK  |  BSE: 500180  |  Sector: Private Sector Banking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48"/>
        <w:gridCol w:w="2048"/>
        <w:gridCol w:w="2048"/>
        <w:gridCol w:w="2048"/>
        <w:gridCol w:w="2048"/>
      </w:tblGrid>
      <w:tr>
        <w:tc>
          <w:tcPr>
            <w:tcW w:type="dxa" w:w="2048"/>
            <w:shd w:fill="1F3864" w:val="clear"/>
            <w:tcMar>
              <w:top w:type="dxa" w:w="60"/>
              <w:left w:type="dxa" w:w="90"/>
              <w:bottom w:type="dxa" w:w="60"/>
              <w:right w:type="dxa" w:w="90"/>
            </w:tcMar>
            <w:vAlign w:val="center"/>
          </w:tcPr>
          <w:p>
            <w:pPr>
              <w:jc w:val="center"/>
            </w:pPr>
            <w:r>
              <w:rPr>
                <w:b/>
                <w:bCs/>
                <w:color w:val="FFFFFF"/>
                <w:sz w:val="17"/>
                <w:szCs w:val="17"/>
              </w:rPr>
              <w:t xml:space="preserve">Rating</w:t>
            </w:r>
          </w:p>
        </w:tc>
        <w:tc>
          <w:tcPr>
            <w:tcW w:type="dxa" w:w="2048"/>
            <w:shd w:fill="1F3864" w:val="clear"/>
            <w:tcMar>
              <w:top w:type="dxa" w:w="60"/>
              <w:left w:type="dxa" w:w="90"/>
              <w:bottom w:type="dxa" w:w="60"/>
              <w:right w:type="dxa" w:w="90"/>
            </w:tcMar>
            <w:vAlign w:val="center"/>
          </w:tcPr>
          <w:p>
            <w:pPr>
              <w:jc w:val="center"/>
            </w:pPr>
            <w:r>
              <w:rPr>
                <w:b/>
                <w:bCs/>
                <w:color w:val="FFFFFF"/>
                <w:sz w:val="17"/>
                <w:szCs w:val="17"/>
              </w:rPr>
              <w:t xml:space="preserve">CMP (INR)</w:t>
            </w:r>
          </w:p>
        </w:tc>
        <w:tc>
          <w:tcPr>
            <w:tcW w:type="dxa" w:w="2048"/>
            <w:shd w:fill="1F3864" w:val="clear"/>
            <w:tcMar>
              <w:top w:type="dxa" w:w="60"/>
              <w:left w:type="dxa" w:w="90"/>
              <w:bottom w:type="dxa" w:w="60"/>
              <w:right w:type="dxa" w:w="90"/>
            </w:tcMar>
            <w:vAlign w:val="center"/>
          </w:tcPr>
          <w:p>
            <w:pPr>
              <w:jc w:val="center"/>
            </w:pPr>
            <w:r>
              <w:rPr>
                <w:b/>
                <w:bCs/>
                <w:color w:val="FFFFFF"/>
                <w:sz w:val="17"/>
                <w:szCs w:val="17"/>
              </w:rPr>
              <w:t xml:space="preserve">Target Price (INR)</w:t>
            </w:r>
          </w:p>
        </w:tc>
        <w:tc>
          <w:tcPr>
            <w:tcW w:type="dxa" w:w="2048"/>
            <w:shd w:fill="1F3864" w:val="clear"/>
            <w:tcMar>
              <w:top w:type="dxa" w:w="60"/>
              <w:left w:type="dxa" w:w="90"/>
              <w:bottom w:type="dxa" w:w="60"/>
              <w:right w:type="dxa" w:w="90"/>
            </w:tcMar>
            <w:vAlign w:val="center"/>
          </w:tcPr>
          <w:p>
            <w:pPr>
              <w:jc w:val="center"/>
            </w:pPr>
            <w:r>
              <w:rPr>
                <w:b/>
                <w:bCs/>
                <w:color w:val="FFFFFF"/>
                <w:sz w:val="17"/>
                <w:szCs w:val="17"/>
              </w:rPr>
              <w:t xml:space="preserve">Upside</w:t>
            </w:r>
          </w:p>
        </w:tc>
        <w:tc>
          <w:tcPr>
            <w:tcW w:type="dxa" w:w="2048"/>
            <w:shd w:fill="1F3864" w:val="clear"/>
            <w:tcMar>
              <w:top w:type="dxa" w:w="60"/>
              <w:left w:type="dxa" w:w="90"/>
              <w:bottom w:type="dxa" w:w="60"/>
              <w:right w:type="dxa" w:w="90"/>
            </w:tcMar>
            <w:vAlign w:val="center"/>
          </w:tcPr>
          <w:p>
            <w:pPr>
              <w:jc w:val="center"/>
            </w:pPr>
            <w:r>
              <w:rPr>
                <w:b/>
                <w:bCs/>
                <w:color w:val="FFFFFF"/>
                <w:sz w:val="17"/>
                <w:szCs w:val="17"/>
              </w:rPr>
              <w:t xml:space="preserve">Market Cap</w:t>
            </w:r>
          </w:p>
        </w:tc>
      </w:tr>
      <w:tr>
        <w:tc>
          <w:tcPr>
            <w:tcW w:type="dxa" w:w="2048"/>
            <w:shd w:fill="E2F0D9" w:val="clear"/>
            <w:tcMar>
              <w:top w:type="dxa" w:w="60"/>
              <w:left w:type="dxa" w:w="90"/>
              <w:bottom w:type="dxa" w:w="60"/>
              <w:right w:type="dxa" w:w="90"/>
            </w:tcMar>
            <w:vAlign w:val="center"/>
          </w:tcPr>
          <w:p>
            <w:pPr>
              <w:jc w:val="center"/>
            </w:pPr>
            <w:r>
              <w:rPr>
                <w:b/>
                <w:bCs/>
                <w:color w:val="1E7145"/>
                <w:sz w:val="22"/>
                <w:szCs w:val="22"/>
              </w:rPr>
              <w:t xml:space="preserve">BUY</w:t>
            </w:r>
          </w:p>
        </w:tc>
        <w:tc>
          <w:tcPr>
            <w:tcW w:type="dxa" w:w="2048"/>
            <w:tcMar>
              <w:top w:type="dxa" w:w="60"/>
              <w:left w:type="dxa" w:w="90"/>
              <w:bottom w:type="dxa" w:w="60"/>
              <w:right w:type="dxa" w:w="90"/>
            </w:tcMar>
            <w:vAlign w:val="center"/>
          </w:tcPr>
          <w:p>
            <w:pPr>
              <w:jc w:val="center"/>
            </w:pPr>
            <w:r>
              <w:rPr>
                <w:b/>
                <w:bCs/>
                <w:color w:val="000000"/>
                <w:sz w:val="22"/>
                <w:szCs w:val="22"/>
              </w:rPr>
              <w:t xml:space="preserve">748</w:t>
            </w:r>
          </w:p>
        </w:tc>
        <w:tc>
          <w:tcPr>
            <w:tcW w:type="dxa" w:w="2048"/>
            <w:tcMar>
              <w:top w:type="dxa" w:w="60"/>
              <w:left w:type="dxa" w:w="90"/>
              <w:bottom w:type="dxa" w:w="60"/>
              <w:right w:type="dxa" w:w="90"/>
            </w:tcMar>
            <w:vAlign w:val="center"/>
          </w:tcPr>
          <w:p>
            <w:pPr>
              <w:jc w:val="center"/>
            </w:pPr>
            <w:r>
              <w:rPr>
                <w:b/>
                <w:bCs/>
                <w:color w:val="000000"/>
                <w:sz w:val="22"/>
                <w:szCs w:val="22"/>
              </w:rPr>
              <w:t xml:space="preserve">850</w:t>
            </w:r>
          </w:p>
        </w:tc>
        <w:tc>
          <w:tcPr>
            <w:tcW w:type="dxa" w:w="2048"/>
            <w:tcMar>
              <w:top w:type="dxa" w:w="60"/>
              <w:left w:type="dxa" w:w="90"/>
              <w:bottom w:type="dxa" w:w="60"/>
              <w:right w:type="dxa" w:w="90"/>
            </w:tcMar>
            <w:vAlign w:val="center"/>
          </w:tcPr>
          <w:p>
            <w:pPr>
              <w:jc w:val="center"/>
            </w:pPr>
            <w:r>
              <w:rPr>
                <w:b/>
                <w:bCs/>
                <w:color w:val="1E7145"/>
                <w:sz w:val="22"/>
                <w:szCs w:val="22"/>
              </w:rPr>
              <w:t xml:space="preserve">+13.6%</w:t>
            </w:r>
          </w:p>
        </w:tc>
        <w:tc>
          <w:tcPr>
            <w:tcW w:type="dxa" w:w="2048"/>
            <w:tcMar>
              <w:top w:type="dxa" w:w="60"/>
              <w:left w:type="dxa" w:w="90"/>
              <w:bottom w:type="dxa" w:w="60"/>
              <w:right w:type="dxa" w:w="90"/>
            </w:tcMar>
            <w:vAlign w:val="center"/>
          </w:tcPr>
          <w:p>
            <w:pPr>
              <w:jc w:val="center"/>
            </w:pPr>
            <w:r>
              <w:rPr>
                <w:b w:val="false"/>
                <w:bCs w:val="false"/>
                <w:color w:val="000000"/>
                <w:sz w:val="18"/>
                <w:szCs w:val="18"/>
              </w:rPr>
              <w:t xml:space="preserve">Rs 11.5 lakh cr</w:t>
            </w:r>
          </w:p>
        </w:tc>
      </w:tr>
    </w:tbl>
    <w:p>
      <w:pPr>
        <w:spacing w:after="200"/>
      </w:pPr>
    </w:p>
    <w:p>
      <w:pPr>
        <w:spacing w:after="100" w:before="200"/>
      </w:pPr>
      <w:r>
        <w:rPr>
          <w:b/>
          <w:bCs/>
          <w:color w:val="1F3864"/>
          <w:sz w:val="22"/>
          <w:szCs w:val="22"/>
        </w:rPr>
        <w:t xml:space="preserve">Key Financial Snapshot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00"/>
        <w:gridCol w:w="1408"/>
        <w:gridCol w:w="1408"/>
        <w:gridCol w:w="1408"/>
        <w:gridCol w:w="1408"/>
        <w:gridCol w:w="1408"/>
      </w:tblGrid>
      <w:tr>
        <w:trPr>
          <w:tblHeader/>
        </w:trPr>
        <w:tc>
          <w:tcPr>
            <w:tcW w:type="dxa" w:w="3200"/>
            <w:shd w:fill="1F3864" w:val="clear"/>
            <w:tcMar>
              <w:top w:type="dxa" w:w="60"/>
              <w:left w:type="dxa" w:w="90"/>
              <w:bottom w:type="dxa" w:w="60"/>
              <w:right w:type="dxa" w:w="90"/>
            </w:tcMar>
            <w:vAlign w:val="center"/>
          </w:tcPr>
          <w:p>
            <w:pPr>
              <w:jc w:val="center"/>
            </w:pPr>
            <w:r>
              <w:rPr>
                <w:b/>
                <w:bCs/>
                <w:color w:val="FFFFFF"/>
                <w:sz w:val="16"/>
                <w:szCs w:val="16"/>
              </w:rPr>
              <w:t xml:space="preserve">Y/E Mar (Rs Cr)</w:t>
            </w:r>
          </w:p>
        </w:tc>
        <w:tc>
          <w:tcPr>
            <w:tcW w:type="dxa" w:w="1408"/>
            <w:shd w:fill="1F3864" w:val="clear"/>
            <w:tcMar>
              <w:top w:type="dxa" w:w="60"/>
              <w:left w:type="dxa" w:w="90"/>
              <w:bottom w:type="dxa" w:w="60"/>
              <w:right w:type="dxa" w:w="90"/>
            </w:tcMar>
            <w:vAlign w:val="center"/>
          </w:tcPr>
          <w:p>
            <w:pPr>
              <w:jc w:val="center"/>
            </w:pPr>
            <w:r>
              <w:rPr>
                <w:b/>
                <w:bCs/>
                <w:color w:val="FFFFFF"/>
                <w:sz w:val="16"/>
                <w:szCs w:val="16"/>
              </w:rPr>
              <w:t xml:space="preserve">FY24A</w:t>
            </w:r>
          </w:p>
        </w:tc>
        <w:tc>
          <w:tcPr>
            <w:tcW w:type="dxa" w:w="1408"/>
            <w:shd w:fill="1F3864" w:val="clear"/>
            <w:tcMar>
              <w:top w:type="dxa" w:w="60"/>
              <w:left w:type="dxa" w:w="90"/>
              <w:bottom w:type="dxa" w:w="60"/>
              <w:right w:type="dxa" w:w="90"/>
            </w:tcMar>
            <w:vAlign w:val="center"/>
          </w:tcPr>
          <w:p>
            <w:pPr>
              <w:jc w:val="center"/>
            </w:pPr>
            <w:r>
              <w:rPr>
                <w:b/>
                <w:bCs/>
                <w:color w:val="FFFFFF"/>
                <w:sz w:val="16"/>
                <w:szCs w:val="16"/>
              </w:rPr>
              <w:t xml:space="preserve">FY25A</w:t>
            </w:r>
          </w:p>
        </w:tc>
        <w:tc>
          <w:tcPr>
            <w:tcW w:type="dxa" w:w="1408"/>
            <w:shd w:fill="1F3864" w:val="clear"/>
            <w:tcMar>
              <w:top w:type="dxa" w:w="60"/>
              <w:left w:type="dxa" w:w="90"/>
              <w:bottom w:type="dxa" w:w="60"/>
              <w:right w:type="dxa" w:w="90"/>
            </w:tcMar>
            <w:vAlign w:val="center"/>
          </w:tcPr>
          <w:p>
            <w:pPr>
              <w:jc w:val="center"/>
            </w:pPr>
            <w:r>
              <w:rPr>
                <w:b/>
                <w:bCs/>
                <w:color w:val="FFFFFF"/>
                <w:sz w:val="16"/>
                <w:szCs w:val="16"/>
              </w:rPr>
              <w:t xml:space="preserve">FY26A</w:t>
            </w:r>
          </w:p>
        </w:tc>
        <w:tc>
          <w:tcPr>
            <w:tcW w:type="dxa" w:w="1408"/>
            <w:shd w:fill="1F3864" w:val="clear"/>
            <w:tcMar>
              <w:top w:type="dxa" w:w="60"/>
              <w:left w:type="dxa" w:w="90"/>
              <w:bottom w:type="dxa" w:w="60"/>
              <w:right w:type="dxa" w:w="90"/>
            </w:tcMar>
            <w:vAlign w:val="center"/>
          </w:tcPr>
          <w:p>
            <w:pPr>
              <w:jc w:val="center"/>
            </w:pPr>
            <w:r>
              <w:rPr>
                <w:b/>
                <w:bCs/>
                <w:color w:val="FFFFFF"/>
                <w:sz w:val="16"/>
                <w:szCs w:val="16"/>
              </w:rPr>
              <w:t xml:space="preserve">FY27E</w:t>
            </w:r>
          </w:p>
        </w:tc>
        <w:tc>
          <w:tcPr>
            <w:tcW w:type="dxa" w:w="1408"/>
            <w:shd w:fill="1F3864" w:val="clear"/>
            <w:tcMar>
              <w:top w:type="dxa" w:w="60"/>
              <w:left w:type="dxa" w:w="90"/>
              <w:bottom w:type="dxa" w:w="60"/>
              <w:right w:type="dxa" w:w="90"/>
            </w:tcMar>
            <w:vAlign w:val="center"/>
          </w:tcPr>
          <w:p>
            <w:pPr>
              <w:jc w:val="center"/>
            </w:pPr>
            <w:r>
              <w:rPr>
                <w:b/>
                <w:bCs/>
                <w:color w:val="FFFFFF"/>
                <w:sz w:val="16"/>
                <w:szCs w:val="16"/>
              </w:rPr>
              <w:t xml:space="preserve">FY28E</w:t>
            </w:r>
          </w:p>
        </w:tc>
      </w:tr>
      <w:tr>
        <w:tc>
          <w:tcPr>
            <w:tcW w:type="dxa" w:w="3200"/>
            <w:shd w:fill="FFFFFF" w:val="clear"/>
            <w:tcMar>
              <w:top w:type="dxa" w:w="60"/>
              <w:left w:type="dxa" w:w="90"/>
              <w:bottom w:type="dxa" w:w="60"/>
              <w:right w:type="dxa" w:w="90"/>
            </w:tcMar>
            <w:vAlign w:val="center"/>
          </w:tcPr>
          <w:p>
            <w:pPr>
              <w:jc w:val="left"/>
            </w:pPr>
            <w:r>
              <w:rPr>
                <w:b w:val="false"/>
                <w:bCs w:val="false"/>
                <w:color w:val="000000"/>
                <w:sz w:val="17"/>
                <w:szCs w:val="17"/>
              </w:rPr>
              <w:t xml:space="preserve">Net Interest Income</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1,08,500</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1,22,700</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1,28,686</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1,53,144</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1,79,202</w:t>
            </w:r>
          </w:p>
        </w:tc>
      </w:tr>
      <w:tr>
        <w:tc>
          <w:tcPr>
            <w:tcW w:type="dxa" w:w="3200"/>
            <w:shd w:fill="F2F2F2" w:val="clear"/>
            <w:tcMar>
              <w:top w:type="dxa" w:w="60"/>
              <w:left w:type="dxa" w:w="90"/>
              <w:bottom w:type="dxa" w:w="60"/>
              <w:right w:type="dxa" w:w="90"/>
            </w:tcMar>
            <w:vAlign w:val="center"/>
          </w:tcPr>
          <w:p>
            <w:pPr>
              <w:jc w:val="left"/>
            </w:pPr>
            <w:r>
              <w:rPr>
                <w:b w:val="false"/>
                <w:bCs w:val="false"/>
                <w:color w:val="000000"/>
                <w:sz w:val="17"/>
                <w:szCs w:val="17"/>
              </w:rPr>
              <w:t xml:space="preserve">Net Profit (PAT)</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60,800</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67,300</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74,671</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88,133</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1,01,802</w:t>
            </w:r>
          </w:p>
        </w:tc>
      </w:tr>
      <w:tr>
        <w:tc>
          <w:tcPr>
            <w:tcW w:type="dxa" w:w="3200"/>
            <w:shd w:fill="FFFFFF" w:val="clear"/>
            <w:tcMar>
              <w:top w:type="dxa" w:w="60"/>
              <w:left w:type="dxa" w:w="90"/>
              <w:bottom w:type="dxa" w:w="60"/>
              <w:right w:type="dxa" w:w="90"/>
            </w:tcMar>
            <w:vAlign w:val="center"/>
          </w:tcPr>
          <w:p>
            <w:pPr>
              <w:jc w:val="left"/>
            </w:pPr>
            <w:r>
              <w:rPr>
                <w:b w:val="false"/>
                <w:bCs w:val="false"/>
                <w:color w:val="000000"/>
                <w:sz w:val="17"/>
                <w:szCs w:val="17"/>
              </w:rPr>
              <w:t xml:space="preserve">EPS (Rs)</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40.0</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44.0</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48.6</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57.3</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66.1</w:t>
            </w:r>
          </w:p>
        </w:tc>
      </w:tr>
      <w:tr>
        <w:tc>
          <w:tcPr>
            <w:tcW w:type="dxa" w:w="3200"/>
            <w:shd w:fill="F2F2F2" w:val="clear"/>
            <w:tcMar>
              <w:top w:type="dxa" w:w="60"/>
              <w:left w:type="dxa" w:w="90"/>
              <w:bottom w:type="dxa" w:w="60"/>
              <w:right w:type="dxa" w:w="90"/>
            </w:tcMar>
            <w:vAlign w:val="center"/>
          </w:tcPr>
          <w:p>
            <w:pPr>
              <w:jc w:val="left"/>
            </w:pPr>
            <w:r>
              <w:rPr>
                <w:b w:val="false"/>
                <w:bCs w:val="false"/>
                <w:color w:val="000000"/>
                <w:sz w:val="17"/>
                <w:szCs w:val="17"/>
              </w:rPr>
              <w:t xml:space="preserve">Adj. BVPS (Rs)</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284</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320</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354</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401</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451</w:t>
            </w:r>
          </w:p>
        </w:tc>
      </w:tr>
      <w:tr>
        <w:tc>
          <w:tcPr>
            <w:tcW w:type="dxa" w:w="3200"/>
            <w:shd w:fill="FFFFFF" w:val="clear"/>
            <w:tcMar>
              <w:top w:type="dxa" w:w="60"/>
              <w:left w:type="dxa" w:w="90"/>
              <w:bottom w:type="dxa" w:w="60"/>
              <w:right w:type="dxa" w:w="90"/>
            </w:tcMar>
            <w:vAlign w:val="center"/>
          </w:tcPr>
          <w:p>
            <w:pPr>
              <w:jc w:val="left"/>
            </w:pPr>
            <w:r>
              <w:rPr>
                <w:b w:val="false"/>
                <w:bCs w:val="false"/>
                <w:color w:val="000000"/>
                <w:sz w:val="17"/>
                <w:szCs w:val="17"/>
              </w:rPr>
              <w:t xml:space="preserve">P/E (x)</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18.7x</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17.0x</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15.4x</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13.1x</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11.3x</w:t>
            </w:r>
          </w:p>
        </w:tc>
      </w:tr>
      <w:tr>
        <w:tc>
          <w:tcPr>
            <w:tcW w:type="dxa" w:w="3200"/>
            <w:shd w:fill="F2F2F2" w:val="clear"/>
            <w:tcMar>
              <w:top w:type="dxa" w:w="60"/>
              <w:left w:type="dxa" w:w="90"/>
              <w:bottom w:type="dxa" w:w="60"/>
              <w:right w:type="dxa" w:w="90"/>
            </w:tcMar>
            <w:vAlign w:val="center"/>
          </w:tcPr>
          <w:p>
            <w:pPr>
              <w:jc w:val="left"/>
            </w:pPr>
            <w:r>
              <w:rPr>
                <w:b w:val="false"/>
                <w:bCs w:val="false"/>
                <w:color w:val="000000"/>
                <w:sz w:val="17"/>
                <w:szCs w:val="17"/>
              </w:rPr>
              <w:t xml:space="preserve">P/ABV (x)</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2.6x</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2.3x</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2.1x</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1.9x</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1.7x</w:t>
            </w:r>
          </w:p>
        </w:tc>
      </w:tr>
      <w:tr>
        <w:tc>
          <w:tcPr>
            <w:tcW w:type="dxa" w:w="3200"/>
            <w:shd w:fill="FFFFFF" w:val="clear"/>
            <w:tcMar>
              <w:top w:type="dxa" w:w="60"/>
              <w:left w:type="dxa" w:w="90"/>
              <w:bottom w:type="dxa" w:w="60"/>
              <w:right w:type="dxa" w:w="90"/>
            </w:tcMar>
            <w:vAlign w:val="center"/>
          </w:tcPr>
          <w:p>
            <w:pPr>
              <w:jc w:val="left"/>
            </w:pPr>
            <w:r>
              <w:rPr>
                <w:b w:val="false"/>
                <w:bCs w:val="false"/>
                <w:color w:val="000000"/>
                <w:sz w:val="17"/>
                <w:szCs w:val="17"/>
              </w:rPr>
              <w:t xml:space="preserve">ROA (%)</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2.0%</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1.8%</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1.8%</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1.9%</w:t>
            </w:r>
          </w:p>
        </w:tc>
        <w:tc>
          <w:tcPr>
            <w:tcW w:type="dxa" w:w="1408"/>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1.9%</w:t>
            </w:r>
          </w:p>
        </w:tc>
      </w:tr>
      <w:tr>
        <w:tc>
          <w:tcPr>
            <w:tcW w:type="dxa" w:w="3200"/>
            <w:shd w:fill="F2F2F2" w:val="clear"/>
            <w:tcMar>
              <w:top w:type="dxa" w:w="60"/>
              <w:left w:type="dxa" w:w="90"/>
              <w:bottom w:type="dxa" w:w="60"/>
              <w:right w:type="dxa" w:w="90"/>
            </w:tcMar>
            <w:vAlign w:val="center"/>
          </w:tcPr>
          <w:p>
            <w:pPr>
              <w:jc w:val="left"/>
            </w:pPr>
            <w:r>
              <w:rPr>
                <w:b w:val="false"/>
                <w:bCs w:val="false"/>
                <w:color w:val="000000"/>
                <w:sz w:val="17"/>
                <w:szCs w:val="17"/>
              </w:rPr>
              <w:t xml:space="preserve">ROE (%)</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16.9%</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14.3%</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14.0%</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14.8%</w:t>
            </w:r>
          </w:p>
        </w:tc>
        <w:tc>
          <w:tcPr>
            <w:tcW w:type="dxa" w:w="1408"/>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15.3%</w:t>
            </w:r>
          </w:p>
        </w:tc>
      </w:tr>
    </w:tbl>
    <w:p>
      <w:pPr>
        <w:spacing w:after="100"/>
      </w:pPr>
    </w:p>
    <w:p>
      <w:pPr>
        <w:spacing w:after="140" w:line="276"/>
        <w:jc w:val="both"/>
      </w:pPr>
      <w:r>
        <w:rPr>
          <w:b w:val="false"/>
          <w:bCs w:val="false"/>
          <w:i/>
          <w:iCs/>
          <w:sz w:val="20"/>
          <w:szCs w:val="20"/>
        </w:rPr>
        <w:t xml:space="preserve">52-week range: Rs 726.65 - Rs 1,020.50   |   Report date: mid-September 2026   |   Analyst: Gandharva Paranjape</w:t>
      </w:r>
    </w:p>
    <w:p>
      <w:pPr>
        <w:pBdr>
          <w:bottom w:val="single" w:color="1F3864" w:sz="6"/>
        </w:pBdr>
        <w:spacing w:after="200"/>
      </w:pPr>
    </w:p>
    <w:p>
      <w:pPr>
        <w:pStyle w:val="Heading1"/>
        <w:pBdr>
          <w:bottom w:val="single" w:color="1F3864" w:sz="4" w:space="4"/>
        </w:pBdr>
        <w:spacing w:after="150" w:before="300"/>
      </w:pPr>
      <w:r>
        <w:rPr>
          <w:b/>
          <w:bCs/>
          <w:color w:val="1F3864"/>
          <w:sz w:val="26"/>
          <w:szCs w:val="26"/>
        </w:rPr>
        <w:t xml:space="preserve">Investment Thesis</w:t>
      </w:r>
    </w:p>
    <w:p>
      <w:pPr>
        <w:spacing w:after="140" w:line="276"/>
        <w:jc w:val="both"/>
      </w:pPr>
      <w:r>
        <w:rPr>
          <w:b w:val="false"/>
          <w:bCs w:val="false"/>
          <w:i w:val="false"/>
          <w:iCs w:val="false"/>
          <w:sz w:val="20"/>
          <w:szCs w:val="20"/>
        </w:rPr>
        <w:t xml:space="preserve">We initiate coverage on HDFC Bank Limited with a BUY rating and a 12-month target price of Rs 850, implying ~14% upside from the current market price of Rs 748. HDFC Bank remains India's largest private sector bank by assets following its landmark reverse merger with parent HDFC Ltd in July 2023, and continues to combine best-in-class asset quality with a scale advantage that few domestic peers can match. That said, the investment case today is less about growth and more about margin recovery: the bank's net interest margin has compressed to a record low of 3.26% (Q1 FY27) as its CASA ratio has steadily eroded from 38% in September 2023 to 32% currently, forcing greater reliance on costlier term deposits and wholesale funding to fund loan growth. The sections below build up to this conclusion step by step: historical performance, loan/deposit trends, margins, asset quality, peers, and forecasts all feed into the valuation and the bull/base/bear scenarios that follow.</w:t>
      </w:r>
    </w:p>
    <w:p>
      <w:pPr>
        <w:pStyle w:val="ListParagraph"/>
        <w:numPr>
          <w:ilvl w:val="0"/>
          <w:numId w:val="1"/>
        </w:numPr>
        <w:spacing w:after="80" w:line="276"/>
      </w:pPr>
      <w:r>
        <w:rPr>
          <w:sz w:val="20"/>
          <w:szCs w:val="20"/>
        </w:rPr>
        <w:t xml:space="preserve">Scale and franchise strength: ~9,700 branches across 4,170+ cities, ~101 million customers, and India's largest private-sector balance sheet at ~Rs 44 lakh crore.</w:t>
      </w:r>
    </w:p>
    <w:p>
      <w:pPr>
        <w:pStyle w:val="ListParagraph"/>
        <w:numPr>
          <w:ilvl w:val="0"/>
          <w:numId w:val="1"/>
        </w:numPr>
        <w:spacing w:after="80" w:line="276"/>
      </w:pPr>
      <w:r>
        <w:rPr>
          <w:sz w:val="20"/>
          <w:szCs w:val="20"/>
        </w:rPr>
        <w:t xml:space="preserve">Best-in-class asset quality: Gross NPA of 1.15% and Net NPA of 0.38% (FY26A) are amongst the lowest in the Indian banking system, reflecting a conservative underwriting culture.</w:t>
      </w:r>
    </w:p>
    <w:p>
      <w:pPr>
        <w:pStyle w:val="ListParagraph"/>
        <w:numPr>
          <w:ilvl w:val="0"/>
          <w:numId w:val="1"/>
        </w:numPr>
        <w:spacing w:after="80" w:line="276"/>
      </w:pPr>
      <w:r>
        <w:rPr>
          <w:sz w:val="20"/>
          <w:szCs w:val="20"/>
        </w:rPr>
        <w:t xml:space="preserve">Merger integration largely complete: incremental deposit mobilisation (small-ticket deposits under Rs 3 crore now 47% of incremental deposits, up from 31%) is improving funding granularity and reducing dependence on the erstwhile HDFC Ltd's wholesale borrowings.</w:t>
      </w:r>
    </w:p>
    <w:p>
      <w:pPr>
        <w:pStyle w:val="ListParagraph"/>
        <w:numPr>
          <w:ilvl w:val="0"/>
          <w:numId w:val="1"/>
        </w:numPr>
        <w:spacing w:after="80" w:line="276"/>
      </w:pPr>
      <w:r>
        <w:rPr>
          <w:sz w:val="20"/>
          <w:szCs w:val="20"/>
        </w:rPr>
        <w:t xml:space="preserve">Key headwind — margin compression: CASA ratio decline and rising share of corporate/wholesale lending are structurally pressuring NIM, which fell to a record low of 3.26% in Q1 FY27.</w:t>
      </w:r>
    </w:p>
    <w:p>
      <w:pPr>
        <w:pStyle w:val="ListParagraph"/>
        <w:numPr>
          <w:ilvl w:val="0"/>
          <w:numId w:val="1"/>
        </w:numPr>
        <w:spacing w:after="80" w:line="276"/>
      </w:pPr>
      <w:r>
        <w:rPr>
          <w:sz w:val="20"/>
          <w:szCs w:val="20"/>
        </w:rPr>
        <w:t xml:space="preserve">Valuation comfort: at ~1.9x FY26A adjusted book value, HDFC Bank trades below its own 5-year historical average (~3.0-3.8x) and at a discount to ICICI Bank (~2.7x), despite comparable asset quality, offering a reasonable margin of safety even as NIM normalises.</w:t>
      </w:r>
    </w:p>
    <w:p>
      <w:pPr>
        <w:pStyle w:val="Heading1"/>
        <w:pBdr>
          <w:bottom w:val="single" w:color="1F3864" w:sz="4" w:space="4"/>
        </w:pBdr>
        <w:spacing w:after="150" w:before="300"/>
      </w:pPr>
      <w:r>
        <w:rPr>
          <w:b/>
          <w:bCs/>
          <w:color w:val="1F3864"/>
          <w:sz w:val="26"/>
          <w:szCs w:val="26"/>
        </w:rPr>
        <w:t xml:space="preserve">Company Overview</w:t>
      </w:r>
    </w:p>
    <w:p>
      <w:pPr>
        <w:spacing w:after="140" w:line="276"/>
        <w:jc w:val="both"/>
      </w:pPr>
      <w:r>
        <w:rPr>
          <w:b w:val="false"/>
          <w:bCs w:val="false"/>
          <w:i w:val="false"/>
          <w:iCs w:val="false"/>
          <w:sz w:val="20"/>
          <w:szCs w:val="20"/>
        </w:rPr>
        <w:t xml:space="preserve">HDFC Bank Limited was incorporated in 1994 as one of the first private sector banks licensed by the Reserve Bank of India following the liberalisation of the Indian banking sector. In July 2023, the bank completed a landmark reverse merger with its parent, Housing Development Finance Corporation (HDFC Ltd), India's largest housing finance company, creating a combined entity with a balance sheet exceeding Rs 40 lakh crore at the time of the merger.</w:t>
      </w:r>
    </w:p>
    <w:p>
      <w:pPr>
        <w:spacing w:after="140" w:line="276"/>
        <w:jc w:val="both"/>
      </w:pPr>
      <w:r>
        <w:rPr>
          <w:b w:val="false"/>
          <w:bCs w:val="false"/>
          <w:i w:val="false"/>
          <w:iCs w:val="false"/>
          <w:sz w:val="20"/>
          <w:szCs w:val="20"/>
        </w:rPr>
        <w:t xml:space="preserve">The bank operates across three principal segments: (i) Retail Banking, covering home loans (inherited from HDFC Ltd), auto and personal loans, credit cards, and deposit products; (ii) Wholesale Banking, serving corporate and institutional clients through working capital finance, term lending, and trade/treasury services; and (iii) Treasury operations. Post-merger, the bank has been deliberately re-balancing its loan mix — corporate and wholesale advances grew 18.6% YoY in Q1 FY27, outpacing retail loan growth of 7.2%, as management works to absorb the lower-yielding home loan book acquired from HDFC Ltd while maintaining overall growth.</w:t>
      </w:r>
    </w:p>
    <w:p>
      <w:pPr>
        <w:spacing w:after="140" w:line="276"/>
        <w:jc w:val="both"/>
      </w:pPr>
      <w:r>
        <w:rPr>
          <w:b w:val="false"/>
          <w:bCs w:val="false"/>
          <w:i w:val="false"/>
          <w:iCs w:val="false"/>
          <w:sz w:val="20"/>
          <w:szCs w:val="20"/>
        </w:rPr>
        <w:t xml:space="preserve">As of Q1 FY27 (quarter ended June 30, 2026), the bank reported a balance sheet of Rs 43.97 lakh crore, gross advances of Rs 30.61 lakh crore (+15.4% YoY), and a customer base of approximately 101 million served through 9,689 branches and an extensive digital banking platform.</w:t>
      </w:r>
    </w:p>
    <w:p>
      <w:pPr>
        <w:pStyle w:val="Heading1"/>
        <w:pBdr>
          <w:bottom w:val="single" w:color="1F3864" w:sz="4" w:space="4"/>
        </w:pBdr>
        <w:spacing w:after="150" w:before="300"/>
      </w:pPr>
      <w:r>
        <w:rPr>
          <w:b/>
          <w:bCs/>
          <w:color w:val="1F3864"/>
          <w:sz w:val="26"/>
          <w:szCs w:val="26"/>
        </w:rPr>
        <w:t xml:space="preserve">Industry Outlook</w:t>
      </w:r>
    </w:p>
    <w:p>
      <w:pPr>
        <w:spacing w:after="140" w:line="276"/>
        <w:jc w:val="both"/>
      </w:pPr>
      <w:r>
        <w:rPr>
          <w:b w:val="false"/>
          <w:bCs w:val="false"/>
          <w:i w:val="false"/>
          <w:iCs w:val="false"/>
          <w:sz w:val="20"/>
          <w:szCs w:val="20"/>
        </w:rPr>
        <w:t xml:space="preserve">The Indian banking sector continues to benefit from a structurally under-penetrated credit market, with credit-to-GDP ratio still well below that of developed and several emerging market peers, supporting a multi-year runway for loan growth. System-wide credit growth has moderated from the double-digit pace seen in FY23-FY24 amid tighter systemic liquidity and elevated deposit competition, prompting the Reserve Bank of India (RBI) to ease policy rates and cash reserve requirements through 2025-26 to support credit flow.</w:t>
      </w:r>
    </w:p>
    <w:p>
      <w:pPr>
        <w:spacing w:after="140" w:line="276"/>
        <w:jc w:val="both"/>
      </w:pPr>
      <w:r>
        <w:rPr>
          <w:b w:val="false"/>
          <w:bCs w:val="false"/>
          <w:i w:val="false"/>
          <w:iCs w:val="false"/>
          <w:sz w:val="20"/>
          <w:szCs w:val="20"/>
        </w:rPr>
        <w:t xml:space="preserve">Private sector banks such as HDFC Bank, ICICI Bank, Axis Bank, and Kotak Mahindra Bank have steadily gained market share from public sector banks over the past decade on the back of superior asset quality, technology adoption, and customer service, though public sector banks (led by State Bank of India) retain a scale advantage in government-linked deposits and priority-sector lending. A system-wide theme through 2025-26 has been intensifying competition for deposits — particularly low-cost current and savings account (CASA) deposits — as digital-first savings products and mutual fund/capital-market alternatives compete for household savings, structurally pressuring CASA ratios and net interest margins across the sector, a dynamic squarely at the centre of the HDFC Bank investment case.</w:t>
      </w:r>
    </w:p>
    <w:p>
      <w:pPr>
        <w:pStyle w:val="Heading1"/>
        <w:pBdr>
          <w:bottom w:val="single" w:color="1F3864" w:sz="4" w:space="4"/>
        </w:pBdr>
        <w:spacing w:after="150" w:before="300"/>
      </w:pPr>
      <w:r>
        <w:rPr>
          <w:b/>
          <w:bCs/>
          <w:color w:val="1F3864"/>
          <w:sz w:val="26"/>
          <w:szCs w:val="26"/>
        </w:rPr>
        <w:t xml:space="preserve">Historical Financial Performance</w:t>
      </w:r>
    </w:p>
    <w:p>
      <w:pPr>
        <w:spacing w:after="140" w:line="276"/>
        <w:jc w:val="both"/>
      </w:pPr>
      <w:r>
        <w:rPr>
          <w:b w:val="false"/>
          <w:bCs w:val="false"/>
          <w:i w:val="false"/>
          <w:iCs w:val="false"/>
          <w:sz w:val="20"/>
          <w:szCs w:val="20"/>
        </w:rPr>
        <w:t xml:space="preserve">HDFC Bank delivered a steady FY26, with net interest income growing 4.9% YoY to Rs 1,28,686 crore and net profit rising a stronger 10.9% YoY to Rs 74,671 crore, aided by a sharp decline in provisions as asset quality continued to improve (see the Key Financial Snapshot table on the cover page for the full FY24A-FY28E trend in NII, PAT, EPS, and returns). The NII growth rate, however, is the slowest in the bank's recent history and reflects the core tension in the current story: margins are compressing even as the loan book grows at a healthy double-digit pace. The next three sections unpack this in turn — loan and deposit growth, margins and profitability, and asset quality — before we turn to how HDFC Bank compares with peers and what it may be worth.</w:t>
      </w:r>
    </w:p>
    <w:p>
      <w:pPr>
        <w:pStyle w:val="Heading1"/>
        <w:pBdr>
          <w:bottom w:val="single" w:color="1F3864" w:sz="4" w:space="4"/>
        </w:pBdr>
        <w:spacing w:after="150" w:before="300"/>
      </w:pPr>
      <w:r>
        <w:rPr>
          <w:b/>
          <w:bCs/>
          <w:color w:val="1F3864"/>
          <w:sz w:val="26"/>
          <w:szCs w:val="26"/>
        </w:rPr>
        <w:t xml:space="preserve">Loan &amp; Deposit Growth</w:t>
      </w:r>
    </w:p>
    <w:p>
      <w:pPr>
        <w:spacing w:after="140" w:line="276"/>
        <w:jc w:val="both"/>
      </w:pPr>
      <w:r>
        <w:rPr>
          <w:b w:val="false"/>
          <w:bCs w:val="false"/>
          <w:i w:val="false"/>
          <w:iCs w:val="false"/>
          <w:sz w:val="20"/>
          <w:szCs w:val="20"/>
        </w:rPr>
        <w:t xml:space="preserve">Deposit growth has consistently outpaced credit growth over the past year, a deliberate and healthy shift as the bank works down the elevated credit-deposit (CD) ratio it inherited from the HDFC Ltd merger. Total deposits grew 14.4% YoY to Rs 31.05 lakh crore in FY26, while gross advances grew a slightly slower 12.0% YoY to Rs 29.60 lakh crore, improving the CD ratio to ~95%. This trend continued into Q1 FY27, with advances growth (15.4% YoY) still running ahead of average deposit growth (13.0% YoY), so the CD ratio normalisation, while directionally positive, remains a work in progress.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00"/>
        <w:gridCol w:w="3420"/>
        <w:gridCol w:w="3420"/>
      </w:tblGrid>
      <w:tr>
        <w:trPr>
          <w:tblHeader/>
        </w:trPr>
        <w:tc>
          <w:tcPr>
            <w:tcW w:type="dxa" w:w="3400"/>
            <w:shd w:fill="1F3864" w:val="clear"/>
            <w:tcMar>
              <w:top w:type="dxa" w:w="60"/>
              <w:left w:type="dxa" w:w="90"/>
              <w:bottom w:type="dxa" w:w="60"/>
              <w:right w:type="dxa" w:w="90"/>
            </w:tcMar>
            <w:vAlign w:val="center"/>
          </w:tcPr>
          <w:p>
            <w:pPr>
              <w:jc w:val="center"/>
            </w:pPr>
            <w:r>
              <w:rPr>
                <w:b/>
                <w:bCs/>
                <w:color w:val="FFFFFF"/>
                <w:sz w:val="16"/>
                <w:szCs w:val="16"/>
              </w:rPr>
              <w:t xml:space="preserve">Metric</w:t>
            </w:r>
          </w:p>
        </w:tc>
        <w:tc>
          <w:tcPr>
            <w:tcW w:type="dxa" w:w="3420"/>
            <w:shd w:fill="1F3864" w:val="clear"/>
            <w:tcMar>
              <w:top w:type="dxa" w:w="60"/>
              <w:left w:type="dxa" w:w="90"/>
              <w:bottom w:type="dxa" w:w="60"/>
              <w:right w:type="dxa" w:w="90"/>
            </w:tcMar>
            <w:vAlign w:val="center"/>
          </w:tcPr>
          <w:p>
            <w:pPr>
              <w:jc w:val="center"/>
            </w:pPr>
            <w:r>
              <w:rPr>
                <w:b/>
                <w:bCs/>
                <w:color w:val="FFFFFF"/>
                <w:sz w:val="16"/>
                <w:szCs w:val="16"/>
              </w:rPr>
              <w:t xml:space="preserve">FY26A</w:t>
            </w:r>
          </w:p>
        </w:tc>
        <w:tc>
          <w:tcPr>
            <w:tcW w:type="dxa" w:w="3420"/>
            <w:shd w:fill="1F3864" w:val="clear"/>
            <w:tcMar>
              <w:top w:type="dxa" w:w="60"/>
              <w:left w:type="dxa" w:w="90"/>
              <w:bottom w:type="dxa" w:w="60"/>
              <w:right w:type="dxa" w:w="90"/>
            </w:tcMar>
            <w:vAlign w:val="center"/>
          </w:tcPr>
          <w:p>
            <w:pPr>
              <w:jc w:val="center"/>
            </w:pPr>
            <w:r>
              <w:rPr>
                <w:b/>
                <w:bCs/>
                <w:color w:val="FFFFFF"/>
                <w:sz w:val="16"/>
                <w:szCs w:val="16"/>
              </w:rPr>
              <w:t xml:space="preserve">Q1 FY27</w:t>
            </w:r>
          </w:p>
        </w:tc>
      </w:tr>
      <w:tr>
        <w:tc>
          <w:tcPr>
            <w:tcW w:type="dxa" w:w="3400"/>
            <w:shd w:fill="FFFFFF" w:val="clear"/>
            <w:tcMar>
              <w:top w:type="dxa" w:w="60"/>
              <w:left w:type="dxa" w:w="90"/>
              <w:bottom w:type="dxa" w:w="60"/>
              <w:right w:type="dxa" w:w="90"/>
            </w:tcMar>
            <w:vAlign w:val="center"/>
          </w:tcPr>
          <w:p>
            <w:pPr>
              <w:jc w:val="left"/>
            </w:pPr>
            <w:r>
              <w:rPr>
                <w:b w:val="false"/>
                <w:bCs w:val="false"/>
                <w:color w:val="000000"/>
                <w:sz w:val="17"/>
                <w:szCs w:val="17"/>
              </w:rPr>
              <w:t xml:space="preserve">Total deposits (Rs lakh cr)</w:t>
            </w:r>
          </w:p>
        </w:tc>
        <w:tc>
          <w:tcPr>
            <w:tcW w:type="dxa" w:w="3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31.05</w:t>
            </w:r>
          </w:p>
        </w:tc>
        <w:tc>
          <w:tcPr>
            <w:tcW w:type="dxa" w:w="3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n/a (avg. deposits Rs 30.11)</w:t>
            </w:r>
          </w:p>
        </w:tc>
      </w:tr>
      <w:tr>
        <w:tc>
          <w:tcPr>
            <w:tcW w:type="dxa" w:w="3400"/>
            <w:shd w:fill="F2F2F2" w:val="clear"/>
            <w:tcMar>
              <w:top w:type="dxa" w:w="60"/>
              <w:left w:type="dxa" w:w="90"/>
              <w:bottom w:type="dxa" w:w="60"/>
              <w:right w:type="dxa" w:w="90"/>
            </w:tcMar>
            <w:vAlign w:val="center"/>
          </w:tcPr>
          <w:p>
            <w:pPr>
              <w:jc w:val="left"/>
            </w:pPr>
            <w:r>
              <w:rPr>
                <w:b w:val="false"/>
                <w:bCs w:val="false"/>
                <w:color w:val="000000"/>
                <w:sz w:val="17"/>
                <w:szCs w:val="17"/>
              </w:rPr>
              <w:t xml:space="preserve">Deposit growth (YoY)</w:t>
            </w:r>
          </w:p>
        </w:tc>
        <w:tc>
          <w:tcPr>
            <w:tcW w:type="dxa" w:w="3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14.4%</w:t>
            </w:r>
          </w:p>
        </w:tc>
        <w:tc>
          <w:tcPr>
            <w:tcW w:type="dxa" w:w="3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13.0%</w:t>
            </w:r>
          </w:p>
        </w:tc>
      </w:tr>
      <w:tr>
        <w:tc>
          <w:tcPr>
            <w:tcW w:type="dxa" w:w="3400"/>
            <w:shd w:fill="FFFFFF" w:val="clear"/>
            <w:tcMar>
              <w:top w:type="dxa" w:w="60"/>
              <w:left w:type="dxa" w:w="90"/>
              <w:bottom w:type="dxa" w:w="60"/>
              <w:right w:type="dxa" w:w="90"/>
            </w:tcMar>
            <w:vAlign w:val="center"/>
          </w:tcPr>
          <w:p>
            <w:pPr>
              <w:jc w:val="left"/>
            </w:pPr>
            <w:r>
              <w:rPr>
                <w:b w:val="false"/>
                <w:bCs w:val="false"/>
                <w:color w:val="000000"/>
                <w:sz w:val="17"/>
                <w:szCs w:val="17"/>
              </w:rPr>
              <w:t xml:space="preserve">CASA deposits growth (YoY)</w:t>
            </w:r>
          </w:p>
        </w:tc>
        <w:tc>
          <w:tcPr>
            <w:tcW w:type="dxa" w:w="3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12.3%</w:t>
            </w:r>
          </w:p>
        </w:tc>
        <w:tc>
          <w:tcPr>
            <w:tcW w:type="dxa" w:w="3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11.2%</w:t>
            </w:r>
          </w:p>
        </w:tc>
      </w:tr>
      <w:tr>
        <w:tc>
          <w:tcPr>
            <w:tcW w:type="dxa" w:w="3400"/>
            <w:shd w:fill="F2F2F2" w:val="clear"/>
            <w:tcMar>
              <w:top w:type="dxa" w:w="60"/>
              <w:left w:type="dxa" w:w="90"/>
              <w:bottom w:type="dxa" w:w="60"/>
              <w:right w:type="dxa" w:w="90"/>
            </w:tcMar>
            <w:vAlign w:val="center"/>
          </w:tcPr>
          <w:p>
            <w:pPr>
              <w:jc w:val="left"/>
            </w:pPr>
            <w:r>
              <w:rPr>
                <w:b w:val="false"/>
                <w:bCs w:val="false"/>
                <w:color w:val="000000"/>
                <w:sz w:val="17"/>
                <w:szCs w:val="17"/>
              </w:rPr>
              <w:t xml:space="preserve">CASA ratio</w:t>
            </w:r>
          </w:p>
        </w:tc>
        <w:tc>
          <w:tcPr>
            <w:tcW w:type="dxa" w:w="3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34.1%</w:t>
            </w:r>
          </w:p>
        </w:tc>
        <w:tc>
          <w:tcPr>
            <w:tcW w:type="dxa" w:w="3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32.0%</w:t>
            </w:r>
          </w:p>
        </w:tc>
      </w:tr>
      <w:tr>
        <w:tc>
          <w:tcPr>
            <w:tcW w:type="dxa" w:w="3400"/>
            <w:shd w:fill="FFFFFF" w:val="clear"/>
            <w:tcMar>
              <w:top w:type="dxa" w:w="60"/>
              <w:left w:type="dxa" w:w="90"/>
              <w:bottom w:type="dxa" w:w="60"/>
              <w:right w:type="dxa" w:w="90"/>
            </w:tcMar>
            <w:vAlign w:val="center"/>
          </w:tcPr>
          <w:p>
            <w:pPr>
              <w:jc w:val="left"/>
            </w:pPr>
            <w:r>
              <w:rPr>
                <w:b w:val="false"/>
                <w:bCs w:val="false"/>
                <w:color w:val="000000"/>
                <w:sz w:val="17"/>
                <w:szCs w:val="17"/>
              </w:rPr>
              <w:t xml:space="preserve">Gross advances (Rs lakh cr)</w:t>
            </w:r>
          </w:p>
        </w:tc>
        <w:tc>
          <w:tcPr>
            <w:tcW w:type="dxa" w:w="3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29.60</w:t>
            </w:r>
          </w:p>
        </w:tc>
        <w:tc>
          <w:tcPr>
            <w:tcW w:type="dxa" w:w="3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30.61</w:t>
            </w:r>
          </w:p>
        </w:tc>
      </w:tr>
      <w:tr>
        <w:tc>
          <w:tcPr>
            <w:tcW w:type="dxa" w:w="3400"/>
            <w:shd w:fill="F2F2F2" w:val="clear"/>
            <w:tcMar>
              <w:top w:type="dxa" w:w="60"/>
              <w:left w:type="dxa" w:w="90"/>
              <w:bottom w:type="dxa" w:w="60"/>
              <w:right w:type="dxa" w:w="90"/>
            </w:tcMar>
            <w:vAlign w:val="center"/>
          </w:tcPr>
          <w:p>
            <w:pPr>
              <w:jc w:val="left"/>
            </w:pPr>
            <w:r>
              <w:rPr>
                <w:b w:val="false"/>
                <w:bCs w:val="false"/>
                <w:color w:val="000000"/>
                <w:sz w:val="17"/>
                <w:szCs w:val="17"/>
              </w:rPr>
              <w:t xml:space="preserve">Advances growth (YoY)</w:t>
            </w:r>
          </w:p>
        </w:tc>
        <w:tc>
          <w:tcPr>
            <w:tcW w:type="dxa" w:w="3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12.0%</w:t>
            </w:r>
          </w:p>
        </w:tc>
        <w:tc>
          <w:tcPr>
            <w:tcW w:type="dxa" w:w="3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15.4%</w:t>
            </w:r>
          </w:p>
        </w:tc>
      </w:tr>
      <w:tr>
        <w:tc>
          <w:tcPr>
            <w:tcW w:type="dxa" w:w="3400"/>
            <w:shd w:fill="FFFFFF" w:val="clear"/>
            <w:tcMar>
              <w:top w:type="dxa" w:w="60"/>
              <w:left w:type="dxa" w:w="90"/>
              <w:bottom w:type="dxa" w:w="60"/>
              <w:right w:type="dxa" w:w="90"/>
            </w:tcMar>
            <w:vAlign w:val="center"/>
          </w:tcPr>
          <w:p>
            <w:pPr>
              <w:jc w:val="left"/>
            </w:pPr>
            <w:r>
              <w:rPr>
                <w:b w:val="false"/>
                <w:bCs w:val="false"/>
                <w:color w:val="000000"/>
                <w:sz w:val="17"/>
                <w:szCs w:val="17"/>
              </w:rPr>
              <w:t xml:space="preserve">Credit-deposit (CD) ratio (approx.)</w:t>
            </w:r>
          </w:p>
        </w:tc>
        <w:tc>
          <w:tcPr>
            <w:tcW w:type="dxa" w:w="3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~95%</w:t>
            </w:r>
          </w:p>
        </w:tc>
        <w:tc>
          <w:tcPr>
            <w:tcW w:type="dxa" w:w="3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n/a</w:t>
            </w:r>
          </w:p>
        </w:tc>
      </w:tr>
    </w:tbl>
    <w:p>
      <w:pPr>
        <w:spacing w:after="120"/>
      </w:pPr>
    </w:p>
    <w:p>
      <w:pPr>
        <w:spacing w:after="140" w:line="276"/>
        <w:jc w:val="both"/>
      </w:pPr>
      <w:r>
        <w:rPr>
          <w:b w:val="false"/>
          <w:bCs w:val="false"/>
          <w:i w:val="false"/>
          <w:iCs w:val="false"/>
          <w:sz w:val="20"/>
          <w:szCs w:val="20"/>
        </w:rPr>
        <w:t xml:space="preserve">Within the loan book, the bank is deliberately re-balancing growth toward higher-yielding, faster-turning segments: in Q1 FY27, retail advances grew a modest 7.2% YoY, while SME/mid-market advances grew 18.7% and corporate/wholesale advances grew 18.6%. This mix shift helps offset the drag of the large, low-yielding home loan book absorbed from HDFC Ltd, but it also means the bank is taking on more corporate credit risk and more wholesale/institutional funding dependence than its pre-merger retail-focused profile — a trade-off worth monitoring rather than a straightforwardly positive development.</w:t>
      </w:r>
    </w:p>
    <w:p>
      <w:pPr>
        <w:pStyle w:val="Heading1"/>
        <w:pBdr>
          <w:bottom w:val="single" w:color="1F3864" w:sz="4" w:space="4"/>
        </w:pBdr>
        <w:spacing w:after="150" w:before="300"/>
      </w:pPr>
      <w:r>
        <w:rPr>
          <w:b/>
          <w:bCs/>
          <w:color w:val="1F3864"/>
          <w:sz w:val="26"/>
          <w:szCs w:val="26"/>
        </w:rPr>
        <w:t xml:space="preserve">NIM &amp; Profitability Analysis</w:t>
      </w:r>
    </w:p>
    <w:p>
      <w:pPr>
        <w:spacing w:after="140" w:line="276"/>
        <w:jc w:val="both"/>
      </w:pPr>
      <w:r>
        <w:rPr>
          <w:b w:val="false"/>
          <w:bCs w:val="false"/>
          <w:i w:val="false"/>
          <w:iCs w:val="false"/>
          <w:sz w:val="20"/>
          <w:szCs w:val="20"/>
        </w:rPr>
        <w:t xml:space="preserve">Net interest margin (NIM) is the single most important swing factor in the HDFC Bank story right now. NIM has fallen every quarter for the past year, from 3.62% (FY25A) to 3.38% (FY26A) to a record low of 3.26% in Q1 FY27, driven almost entirely by the CASA ratio decline described above — cost of funds has stayed roughly flat while the mix has shifted toward costlier term deposits and wholesale borrowings.</w:t>
      </w:r>
    </w:p>
    <w:p>
      <w:pPr>
        <w:spacing w:after="140" w:line="276"/>
        <w:jc w:val="both"/>
      </w:pPr>
      <w:r>
        <w:rPr>
          <w:b w:val="false"/>
          <w:bCs w:val="false"/>
          <w:i w:val="false"/>
          <w:iCs w:val="false"/>
          <w:sz w:val="20"/>
          <w:szCs w:val="20"/>
        </w:rPr>
        <w:t xml:space="preserve">Operating efficiency has partially offset this: the cost-to-income ratio stood at approximately 40-41% in FY26 (based on quarterly operating expense and net revenue disclosures), a reasonable level for a bank of this scale, with modest further improvement expected as digital banking initiatives and merger-related cost synergies mature.</w:t>
      </w:r>
    </w:p>
    <w:p>
      <w:pPr>
        <w:spacing w:after="100" w:before="200"/>
      </w:pPr>
      <w:r>
        <w:rPr>
          <w:b/>
          <w:bCs/>
          <w:color w:val="1F3864"/>
          <w:sz w:val="22"/>
          <w:szCs w:val="22"/>
        </w:rPr>
        <w:t xml:space="preserve">Simplified Return-on-Assets (ROA) Bridge</w:t>
      </w:r>
    </w:p>
    <w:p>
      <w:pPr>
        <w:spacing w:after="140" w:line="276"/>
        <w:jc w:val="both"/>
      </w:pPr>
      <w:r>
        <w:rPr>
          <w:b w:val="false"/>
          <w:bCs w:val="false"/>
          <w:i w:val="false"/>
          <w:iCs w:val="false"/>
          <w:sz w:val="20"/>
          <w:szCs w:val="20"/>
        </w:rPr>
        <w:t xml:space="preserve">The table below is a simplified, illustrative bridge from NIM to ROA using FY26A actuals and reasonable roundings for items not separately disclosed at the same granularity (marked with *); it is meant to show the mechanics of bank profitability, not to replace the bank's own segment-level disclosures.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6820"/>
        <w:gridCol w:w="3420"/>
      </w:tblGrid>
      <w:tr>
        <w:trPr>
          <w:tblHeader/>
        </w:trPr>
        <w:tc>
          <w:tcPr>
            <w:tcW w:type="dxa" w:w="6820"/>
            <w:shd w:fill="1F3864" w:val="clear"/>
            <w:tcMar>
              <w:top w:type="dxa" w:w="60"/>
              <w:left w:type="dxa" w:w="90"/>
              <w:bottom w:type="dxa" w:w="60"/>
              <w:right w:type="dxa" w:w="90"/>
            </w:tcMar>
            <w:vAlign w:val="center"/>
          </w:tcPr>
          <w:p>
            <w:pPr>
              <w:jc w:val="center"/>
            </w:pPr>
            <w:r>
              <w:rPr>
                <w:b/>
                <w:bCs/>
                <w:color w:val="FFFFFF"/>
                <w:sz w:val="16"/>
                <w:szCs w:val="16"/>
              </w:rPr>
              <w:t xml:space="preserve">Component</w:t>
            </w:r>
          </w:p>
        </w:tc>
        <w:tc>
          <w:tcPr>
            <w:tcW w:type="dxa" w:w="3420"/>
            <w:shd w:fill="1F3864" w:val="clear"/>
            <w:tcMar>
              <w:top w:type="dxa" w:w="60"/>
              <w:left w:type="dxa" w:w="90"/>
              <w:bottom w:type="dxa" w:w="60"/>
              <w:right w:type="dxa" w:w="90"/>
            </w:tcMar>
            <w:vAlign w:val="center"/>
          </w:tcPr>
          <w:p>
            <w:pPr>
              <w:jc w:val="center"/>
            </w:pPr>
            <w:r>
              <w:rPr>
                <w:b/>
                <w:bCs/>
                <w:color w:val="FFFFFF"/>
                <w:sz w:val="16"/>
                <w:szCs w:val="16"/>
              </w:rPr>
              <w:t xml:space="preserve">% of Average Assets (FY26A, illustrative)</w:t>
            </w:r>
          </w:p>
        </w:tc>
      </w:tr>
      <w:tr>
        <w:tc>
          <w:tcPr>
            <w:tcW w:type="dxa" w:w="6820"/>
            <w:shd w:fill="FFFFFF" w:val="clear"/>
            <w:tcMar>
              <w:top w:type="dxa" w:w="60"/>
              <w:left w:type="dxa" w:w="90"/>
              <w:bottom w:type="dxa" w:w="60"/>
              <w:right w:type="dxa" w:w="90"/>
            </w:tcMar>
            <w:vAlign w:val="center"/>
          </w:tcPr>
          <w:p>
            <w:pPr>
              <w:jc w:val="left"/>
            </w:pPr>
            <w:r>
              <w:rPr>
                <w:b w:val="false"/>
                <w:bCs w:val="false"/>
                <w:color w:val="000000"/>
                <w:sz w:val="17"/>
                <w:szCs w:val="17"/>
              </w:rPr>
              <w:t xml:space="preserve">Net Interest Margin (NIM)</w:t>
            </w:r>
          </w:p>
        </w:tc>
        <w:tc>
          <w:tcPr>
            <w:tcW w:type="dxa" w:w="3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+3.4%</w:t>
            </w:r>
          </w:p>
        </w:tc>
      </w:tr>
      <w:tr>
        <w:tc>
          <w:tcPr>
            <w:tcW w:type="dxa" w:w="6820"/>
            <w:shd w:fill="F2F2F2" w:val="clear"/>
            <w:tcMar>
              <w:top w:type="dxa" w:w="60"/>
              <w:left w:type="dxa" w:w="90"/>
              <w:bottom w:type="dxa" w:w="60"/>
              <w:right w:type="dxa" w:w="90"/>
            </w:tcMar>
            <w:vAlign w:val="center"/>
          </w:tcPr>
          <w:p>
            <w:pPr>
              <w:jc w:val="left"/>
            </w:pPr>
            <w:r>
              <w:rPr>
                <w:b w:val="false"/>
                <w:bCs w:val="false"/>
                <w:color w:val="000000"/>
                <w:sz w:val="17"/>
                <w:szCs w:val="17"/>
              </w:rPr>
              <w:t xml:space="preserve">Non-interest income (fees, treasury)*</w:t>
            </w:r>
          </w:p>
        </w:tc>
        <w:tc>
          <w:tcPr>
            <w:tcW w:type="dxa" w:w="3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+1.5%</w:t>
            </w:r>
          </w:p>
        </w:tc>
      </w:tr>
      <w:tr>
        <w:tc>
          <w:tcPr>
            <w:tcW w:type="dxa" w:w="6820"/>
            <w:shd w:fill="FFFFFF" w:val="clear"/>
            <w:tcMar>
              <w:top w:type="dxa" w:w="60"/>
              <w:left w:type="dxa" w:w="90"/>
              <w:bottom w:type="dxa" w:w="60"/>
              <w:right w:type="dxa" w:w="90"/>
            </w:tcMar>
            <w:vAlign w:val="center"/>
          </w:tcPr>
          <w:p>
            <w:pPr>
              <w:jc w:val="left"/>
            </w:pPr>
            <w:r>
              <w:rPr>
                <w:b w:val="false"/>
                <w:bCs w:val="false"/>
                <w:color w:val="000000"/>
                <w:sz w:val="17"/>
                <w:szCs w:val="17"/>
              </w:rPr>
              <w:t xml:space="preserve">= Total income / assets</w:t>
            </w:r>
          </w:p>
        </w:tc>
        <w:tc>
          <w:tcPr>
            <w:tcW w:type="dxa" w:w="3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4.9%</w:t>
            </w:r>
          </w:p>
        </w:tc>
      </w:tr>
      <w:tr>
        <w:tc>
          <w:tcPr>
            <w:tcW w:type="dxa" w:w="6820"/>
            <w:shd w:fill="F2F2F2" w:val="clear"/>
            <w:tcMar>
              <w:top w:type="dxa" w:w="60"/>
              <w:left w:type="dxa" w:w="90"/>
              <w:bottom w:type="dxa" w:w="60"/>
              <w:right w:type="dxa" w:w="90"/>
            </w:tcMar>
            <w:vAlign w:val="center"/>
          </w:tcPr>
          <w:p>
            <w:pPr>
              <w:jc w:val="left"/>
            </w:pPr>
            <w:r>
              <w:rPr>
                <w:b w:val="false"/>
                <w:bCs w:val="false"/>
                <w:color w:val="000000"/>
                <w:sz w:val="17"/>
                <w:szCs w:val="17"/>
              </w:rPr>
              <w:t xml:space="preserve">Operating expenses*</w:t>
            </w:r>
          </w:p>
        </w:tc>
        <w:tc>
          <w:tcPr>
            <w:tcW w:type="dxa" w:w="3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-2.0%</w:t>
            </w:r>
          </w:p>
        </w:tc>
      </w:tr>
      <w:tr>
        <w:tc>
          <w:tcPr>
            <w:tcW w:type="dxa" w:w="6820"/>
            <w:shd w:fill="FFFFFF" w:val="clear"/>
            <w:tcMar>
              <w:top w:type="dxa" w:w="60"/>
              <w:left w:type="dxa" w:w="90"/>
              <w:bottom w:type="dxa" w:w="60"/>
              <w:right w:type="dxa" w:w="90"/>
            </w:tcMar>
            <w:vAlign w:val="center"/>
          </w:tcPr>
          <w:p>
            <w:pPr>
              <w:jc w:val="left"/>
            </w:pPr>
            <w:r>
              <w:rPr>
                <w:b w:val="false"/>
                <w:bCs w:val="false"/>
                <w:color w:val="000000"/>
                <w:sz w:val="17"/>
                <w:szCs w:val="17"/>
              </w:rPr>
              <w:t xml:space="preserve">= Pre-provision operating profit / assets</w:t>
            </w:r>
          </w:p>
        </w:tc>
        <w:tc>
          <w:tcPr>
            <w:tcW w:type="dxa" w:w="3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2.9%</w:t>
            </w:r>
          </w:p>
        </w:tc>
      </w:tr>
      <w:tr>
        <w:tc>
          <w:tcPr>
            <w:tcW w:type="dxa" w:w="6820"/>
            <w:shd w:fill="F2F2F2" w:val="clear"/>
            <w:tcMar>
              <w:top w:type="dxa" w:w="60"/>
              <w:left w:type="dxa" w:w="90"/>
              <w:bottom w:type="dxa" w:w="60"/>
              <w:right w:type="dxa" w:w="90"/>
            </w:tcMar>
            <w:vAlign w:val="center"/>
          </w:tcPr>
          <w:p>
            <w:pPr>
              <w:jc w:val="left"/>
            </w:pPr>
            <w:r>
              <w:rPr>
                <w:b w:val="false"/>
                <w:bCs w:val="false"/>
                <w:color w:val="000000"/>
                <w:sz w:val="17"/>
                <w:szCs w:val="17"/>
              </w:rPr>
              <w:t xml:space="preserve">Provisions &amp; contingencies*</w:t>
            </w:r>
          </w:p>
        </w:tc>
        <w:tc>
          <w:tcPr>
            <w:tcW w:type="dxa" w:w="3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-0.3%</w:t>
            </w:r>
          </w:p>
        </w:tc>
      </w:tr>
      <w:tr>
        <w:tc>
          <w:tcPr>
            <w:tcW w:type="dxa" w:w="6820"/>
            <w:shd w:fill="FFFFFF" w:val="clear"/>
            <w:tcMar>
              <w:top w:type="dxa" w:w="60"/>
              <w:left w:type="dxa" w:w="90"/>
              <w:bottom w:type="dxa" w:w="60"/>
              <w:right w:type="dxa" w:w="90"/>
            </w:tcMar>
            <w:vAlign w:val="center"/>
          </w:tcPr>
          <w:p>
            <w:pPr>
              <w:jc w:val="left"/>
            </w:pPr>
            <w:r>
              <w:rPr>
                <w:b w:val="false"/>
                <w:bCs w:val="false"/>
                <w:color w:val="000000"/>
                <w:sz w:val="17"/>
                <w:szCs w:val="17"/>
              </w:rPr>
              <w:t xml:space="preserve">= Pretax ROA</w:t>
            </w:r>
          </w:p>
        </w:tc>
        <w:tc>
          <w:tcPr>
            <w:tcW w:type="dxa" w:w="3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2.6%</w:t>
            </w:r>
          </w:p>
        </w:tc>
      </w:tr>
      <w:tr>
        <w:tc>
          <w:tcPr>
            <w:tcW w:type="dxa" w:w="6820"/>
            <w:shd w:fill="F2F2F2" w:val="clear"/>
            <w:tcMar>
              <w:top w:type="dxa" w:w="60"/>
              <w:left w:type="dxa" w:w="90"/>
              <w:bottom w:type="dxa" w:w="60"/>
              <w:right w:type="dxa" w:w="90"/>
            </w:tcMar>
            <w:vAlign w:val="center"/>
          </w:tcPr>
          <w:p>
            <w:pPr>
              <w:jc w:val="left"/>
            </w:pPr>
            <w:r>
              <w:rPr>
                <w:b w:val="false"/>
                <w:bCs w:val="false"/>
                <w:color w:val="000000"/>
                <w:sz w:val="17"/>
                <w:szCs w:val="17"/>
              </w:rPr>
              <w:t xml:space="preserve">Tax*</w:t>
            </w:r>
          </w:p>
        </w:tc>
        <w:tc>
          <w:tcPr>
            <w:tcW w:type="dxa" w:w="3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-0.8%</w:t>
            </w:r>
          </w:p>
        </w:tc>
      </w:tr>
      <w:tr>
        <w:tc>
          <w:tcPr>
            <w:tcW w:type="dxa" w:w="6820"/>
            <w:shd w:fill="FFFFFF" w:val="clear"/>
            <w:tcMar>
              <w:top w:type="dxa" w:w="60"/>
              <w:left w:type="dxa" w:w="90"/>
              <w:bottom w:type="dxa" w:w="60"/>
              <w:right w:type="dxa" w:w="90"/>
            </w:tcMar>
            <w:vAlign w:val="center"/>
          </w:tcPr>
          <w:p>
            <w:pPr>
              <w:jc w:val="left"/>
            </w:pPr>
            <w:r>
              <w:rPr>
                <w:b w:val="false"/>
                <w:bCs w:val="false"/>
                <w:color w:val="000000"/>
                <w:sz w:val="17"/>
                <w:szCs w:val="17"/>
              </w:rPr>
              <w:t xml:space="preserve">= Return on Assets (ROA)</w:t>
            </w:r>
          </w:p>
        </w:tc>
        <w:tc>
          <w:tcPr>
            <w:tcW w:type="dxa" w:w="3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1.8%</w:t>
            </w:r>
          </w:p>
        </w:tc>
      </w:tr>
    </w:tbl>
    <w:p>
      <w:pPr>
        <w:spacing w:after="120"/>
      </w:pPr>
    </w:p>
    <w:p>
      <w:pPr>
        <w:spacing w:after="140" w:line="276"/>
        <w:jc w:val="both"/>
      </w:pPr>
      <w:r>
        <w:rPr>
          <w:b w:val="false"/>
          <w:bCs w:val="false"/>
          <w:i/>
          <w:iCs/>
          <w:sz w:val="20"/>
          <w:szCs w:val="20"/>
        </w:rPr>
        <w:t xml:space="preserve">*Non-interest income, operating expenses, provisions, and tax are illustrative roundings calibrated to reconcile approximately to HDFC Bank's actual FY26A ROA of 1.8%; they are not the bank's own disclosed segment splits. Read this as a teaching bridge for how margin, efficiency, credit cost, and tax combine to produce ROA, not as a precise restatement of the P&amp;L.</w:t>
      </w:r>
    </w:p>
    <w:p>
      <w:pPr>
        <w:pStyle w:val="Heading1"/>
        <w:pBdr>
          <w:bottom w:val="single" w:color="1F3864" w:sz="4" w:space="4"/>
        </w:pBdr>
        <w:spacing w:after="150" w:before="300"/>
      </w:pPr>
      <w:r>
        <w:rPr>
          <w:b/>
          <w:bCs/>
          <w:color w:val="1F3864"/>
          <w:sz w:val="26"/>
          <w:szCs w:val="26"/>
        </w:rPr>
        <w:t xml:space="preserve">Asset Quality</w:t>
      </w:r>
    </w:p>
    <w:p>
      <w:pPr>
        <w:spacing w:after="140" w:line="276"/>
        <w:jc w:val="both"/>
      </w:pPr>
      <w:r>
        <w:rPr>
          <w:b w:val="false"/>
          <w:bCs w:val="false"/>
          <w:i w:val="false"/>
          <w:iCs w:val="false"/>
          <w:sz w:val="20"/>
          <w:szCs w:val="20"/>
        </w:rPr>
        <w:t xml:space="preserve">Asset quality remains HDFC Bank's clearest strength. Gross NPA improved from 1.33% (FY25A) to 1.15% (FY26A), before ticking up marginally to 1.17% in Q1 FY27 — a sequential move management attributes to seasonal agricultural loan recognition rather than a change in underlying credit quality. Net NPA followed a similar pattern, improving to 0.38% in FY26A before edging up to 0.41% in Q1 FY27.</w:t>
      </w:r>
    </w:p>
    <w:tbl>
      <w:tblPr>
        <w:tblW w:type="dxa" w:w="7660"/>
        <w:tblBorders>
          <w:top w:val="single" w:color="auto" w:sz="4"/>
          <w:left w:val="single" w:color="auto" w:sz="4"/>
          <w:bottom w:val="single" w:color="auto" w:sz="4"/>
          <w:right w:val="single" w:color="auto" w:sz="4"/>
          <w:insideH w:val="single" w:color="auto" w:sz="4"/>
          <w:insideV w:val="single" w:color="auto" w:sz="4"/>
        </w:tblBorders>
      </w:tblPr>
      <w:tblGrid>
        <w:gridCol w:w="3400"/>
        <w:gridCol w:w="1420"/>
        <w:gridCol w:w="1420"/>
        <w:gridCol w:w="1420"/>
      </w:tblGrid>
      <w:tr>
        <w:trPr>
          <w:tblHeader/>
        </w:trPr>
        <w:tc>
          <w:tcPr>
            <w:tcW w:type="dxa" w:w="3400"/>
            <w:shd w:fill="1F3864" w:val="clear"/>
            <w:tcMar>
              <w:top w:type="dxa" w:w="60"/>
              <w:left w:type="dxa" w:w="90"/>
              <w:bottom w:type="dxa" w:w="60"/>
              <w:right w:type="dxa" w:w="90"/>
            </w:tcMar>
            <w:vAlign w:val="center"/>
          </w:tcPr>
          <w:p>
            <w:pPr>
              <w:jc w:val="center"/>
            </w:pPr>
            <w:r>
              <w:rPr>
                <w:b/>
                <w:bCs/>
                <w:color w:val="FFFFFF"/>
                <w:sz w:val="16"/>
                <w:szCs w:val="16"/>
              </w:rPr>
              <w:t xml:space="preserve">Metric</w:t>
            </w:r>
          </w:p>
        </w:tc>
        <w:tc>
          <w:tcPr>
            <w:tcW w:type="dxa" w:w="1420"/>
            <w:shd w:fill="1F3864" w:val="clear"/>
            <w:tcMar>
              <w:top w:type="dxa" w:w="60"/>
              <w:left w:type="dxa" w:w="90"/>
              <w:bottom w:type="dxa" w:w="60"/>
              <w:right w:type="dxa" w:w="90"/>
            </w:tcMar>
            <w:vAlign w:val="center"/>
          </w:tcPr>
          <w:p>
            <w:pPr>
              <w:jc w:val="center"/>
            </w:pPr>
            <w:r>
              <w:rPr>
                <w:b/>
                <w:bCs/>
                <w:color w:val="FFFFFF"/>
                <w:sz w:val="16"/>
                <w:szCs w:val="16"/>
              </w:rPr>
              <w:t xml:space="preserve">FY25A</w:t>
            </w:r>
          </w:p>
        </w:tc>
        <w:tc>
          <w:tcPr>
            <w:tcW w:type="dxa" w:w="1420"/>
            <w:shd w:fill="1F3864" w:val="clear"/>
            <w:tcMar>
              <w:top w:type="dxa" w:w="60"/>
              <w:left w:type="dxa" w:w="90"/>
              <w:bottom w:type="dxa" w:w="60"/>
              <w:right w:type="dxa" w:w="90"/>
            </w:tcMar>
            <w:vAlign w:val="center"/>
          </w:tcPr>
          <w:p>
            <w:pPr>
              <w:jc w:val="center"/>
            </w:pPr>
            <w:r>
              <w:rPr>
                <w:b/>
                <w:bCs/>
                <w:color w:val="FFFFFF"/>
                <w:sz w:val="16"/>
                <w:szCs w:val="16"/>
              </w:rPr>
              <w:t xml:space="preserve">FY26A</w:t>
            </w:r>
          </w:p>
        </w:tc>
        <w:tc>
          <w:tcPr>
            <w:tcW w:type="dxa" w:w="1420"/>
            <w:shd w:fill="1F3864" w:val="clear"/>
            <w:tcMar>
              <w:top w:type="dxa" w:w="60"/>
              <w:left w:type="dxa" w:w="90"/>
              <w:bottom w:type="dxa" w:w="60"/>
              <w:right w:type="dxa" w:w="90"/>
            </w:tcMar>
            <w:vAlign w:val="center"/>
          </w:tcPr>
          <w:p>
            <w:pPr>
              <w:jc w:val="center"/>
            </w:pPr>
            <w:r>
              <w:rPr>
                <w:b/>
                <w:bCs/>
                <w:color w:val="FFFFFF"/>
                <w:sz w:val="16"/>
                <w:szCs w:val="16"/>
              </w:rPr>
              <w:t xml:space="preserve">Q1 FY27</w:t>
            </w:r>
          </w:p>
        </w:tc>
      </w:tr>
      <w:tr>
        <w:tc>
          <w:tcPr>
            <w:tcW w:type="dxa" w:w="3400"/>
            <w:shd w:fill="FFFFFF" w:val="clear"/>
            <w:tcMar>
              <w:top w:type="dxa" w:w="60"/>
              <w:left w:type="dxa" w:w="90"/>
              <w:bottom w:type="dxa" w:w="60"/>
              <w:right w:type="dxa" w:w="90"/>
            </w:tcMar>
            <w:vAlign w:val="center"/>
          </w:tcPr>
          <w:p>
            <w:pPr>
              <w:jc w:val="left"/>
            </w:pPr>
            <w:r>
              <w:rPr>
                <w:b w:val="false"/>
                <w:bCs w:val="false"/>
                <w:color w:val="000000"/>
                <w:sz w:val="17"/>
                <w:szCs w:val="17"/>
              </w:rPr>
              <w:t xml:space="preserve">Gross NPA</w:t>
            </w:r>
          </w:p>
        </w:tc>
        <w:tc>
          <w:tcPr>
            <w:tcW w:type="dxa" w:w="1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1.33%</w:t>
            </w:r>
          </w:p>
        </w:tc>
        <w:tc>
          <w:tcPr>
            <w:tcW w:type="dxa" w:w="1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1.15%</w:t>
            </w:r>
          </w:p>
        </w:tc>
        <w:tc>
          <w:tcPr>
            <w:tcW w:type="dxa" w:w="1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1.17%</w:t>
            </w:r>
          </w:p>
        </w:tc>
      </w:tr>
      <w:tr>
        <w:tc>
          <w:tcPr>
            <w:tcW w:type="dxa" w:w="3400"/>
            <w:shd w:fill="F2F2F2" w:val="clear"/>
            <w:tcMar>
              <w:top w:type="dxa" w:w="60"/>
              <w:left w:type="dxa" w:w="90"/>
              <w:bottom w:type="dxa" w:w="60"/>
              <w:right w:type="dxa" w:w="90"/>
            </w:tcMar>
            <w:vAlign w:val="center"/>
          </w:tcPr>
          <w:p>
            <w:pPr>
              <w:jc w:val="left"/>
            </w:pPr>
            <w:r>
              <w:rPr>
                <w:b w:val="false"/>
                <w:bCs w:val="false"/>
                <w:color w:val="000000"/>
                <w:sz w:val="17"/>
                <w:szCs w:val="17"/>
              </w:rPr>
              <w:t xml:space="preserve">Net NPA</w:t>
            </w:r>
          </w:p>
        </w:tc>
        <w:tc>
          <w:tcPr>
            <w:tcW w:type="dxa" w:w="1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0.43%</w:t>
            </w:r>
          </w:p>
        </w:tc>
        <w:tc>
          <w:tcPr>
            <w:tcW w:type="dxa" w:w="1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0.38%</w:t>
            </w:r>
          </w:p>
        </w:tc>
        <w:tc>
          <w:tcPr>
            <w:tcW w:type="dxa" w:w="1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0.41%</w:t>
            </w:r>
          </w:p>
        </w:tc>
      </w:tr>
      <w:tr>
        <w:tc>
          <w:tcPr>
            <w:tcW w:type="dxa" w:w="3400"/>
            <w:shd w:fill="FFFFFF" w:val="clear"/>
            <w:tcMar>
              <w:top w:type="dxa" w:w="60"/>
              <w:left w:type="dxa" w:w="90"/>
              <w:bottom w:type="dxa" w:w="60"/>
              <w:right w:type="dxa" w:w="90"/>
            </w:tcMar>
            <w:vAlign w:val="center"/>
          </w:tcPr>
          <w:p>
            <w:pPr>
              <w:jc w:val="left"/>
            </w:pPr>
            <w:r>
              <w:rPr>
                <w:b w:val="false"/>
                <w:bCs w:val="false"/>
                <w:color w:val="000000"/>
                <w:sz w:val="17"/>
                <w:szCs w:val="17"/>
              </w:rPr>
              <w:t xml:space="preserve">Provision coverage ratio (approx.)*</w:t>
            </w:r>
          </w:p>
        </w:tc>
        <w:tc>
          <w:tcPr>
            <w:tcW w:type="dxa" w:w="1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~68%</w:t>
            </w:r>
          </w:p>
        </w:tc>
        <w:tc>
          <w:tcPr>
            <w:tcW w:type="dxa" w:w="1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~67%</w:t>
            </w:r>
          </w:p>
        </w:tc>
        <w:tc>
          <w:tcPr>
            <w:tcW w:type="dxa" w:w="1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~65%</w:t>
            </w:r>
          </w:p>
        </w:tc>
      </w:tr>
      <w:tr>
        <w:tc>
          <w:tcPr>
            <w:tcW w:type="dxa" w:w="3400"/>
            <w:shd w:fill="F2F2F2" w:val="clear"/>
            <w:tcMar>
              <w:top w:type="dxa" w:w="60"/>
              <w:left w:type="dxa" w:w="90"/>
              <w:bottom w:type="dxa" w:w="60"/>
              <w:right w:type="dxa" w:w="90"/>
            </w:tcMar>
            <w:vAlign w:val="center"/>
          </w:tcPr>
          <w:p>
            <w:pPr>
              <w:jc w:val="left"/>
            </w:pPr>
            <w:r>
              <w:rPr>
                <w:b w:val="false"/>
                <w:bCs w:val="false"/>
                <w:color w:val="000000"/>
                <w:sz w:val="17"/>
                <w:szCs w:val="17"/>
              </w:rPr>
              <w:t xml:space="preserve">Capital Adequacy Ratio (CAR)</w:t>
            </w:r>
          </w:p>
        </w:tc>
        <w:tc>
          <w:tcPr>
            <w:tcW w:type="dxa" w:w="1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19.9%</w:t>
            </w:r>
          </w:p>
        </w:tc>
        <w:tc>
          <w:tcPr>
            <w:tcW w:type="dxa" w:w="1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19.7%</w:t>
            </w:r>
          </w:p>
        </w:tc>
        <w:tc>
          <w:tcPr>
            <w:tcW w:type="dxa" w:w="14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19.6%</w:t>
            </w:r>
          </w:p>
        </w:tc>
      </w:tr>
      <w:tr>
        <w:tc>
          <w:tcPr>
            <w:tcW w:type="dxa" w:w="3400"/>
            <w:shd w:fill="FFFFFF" w:val="clear"/>
            <w:tcMar>
              <w:top w:type="dxa" w:w="60"/>
              <w:left w:type="dxa" w:w="90"/>
              <w:bottom w:type="dxa" w:w="60"/>
              <w:right w:type="dxa" w:w="90"/>
            </w:tcMar>
            <w:vAlign w:val="center"/>
          </w:tcPr>
          <w:p>
            <w:pPr>
              <w:jc w:val="left"/>
            </w:pPr>
            <w:r>
              <w:rPr>
                <w:b w:val="false"/>
                <w:bCs w:val="false"/>
                <w:color w:val="000000"/>
                <w:sz w:val="17"/>
                <w:szCs w:val="17"/>
              </w:rPr>
              <w:t xml:space="preserve">Tier 1 CAR</w:t>
            </w:r>
          </w:p>
        </w:tc>
        <w:tc>
          <w:tcPr>
            <w:tcW w:type="dxa" w:w="1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n/a</w:t>
            </w:r>
          </w:p>
        </w:tc>
        <w:tc>
          <w:tcPr>
            <w:tcW w:type="dxa" w:w="1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17.7%</w:t>
            </w:r>
          </w:p>
        </w:tc>
        <w:tc>
          <w:tcPr>
            <w:tcW w:type="dxa" w:w="14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n/a</w:t>
            </w:r>
          </w:p>
        </w:tc>
      </w:tr>
    </w:tbl>
    <w:p>
      <w:pPr>
        <w:spacing w:after="120"/>
      </w:pPr>
    </w:p>
    <w:p>
      <w:pPr>
        <w:spacing w:after="140" w:line="276"/>
        <w:jc w:val="both"/>
      </w:pPr>
      <w:r>
        <w:rPr>
          <w:b w:val="false"/>
          <w:bCs w:val="false"/>
          <w:i/>
          <w:iCs/>
          <w:sz w:val="20"/>
          <w:szCs w:val="20"/>
        </w:rPr>
        <w:t xml:space="preserve">*Provision coverage ratio (PCR) shown here is a simplified approximation calculated as (Gross NPA - Net NPA) / Gross NPA; the bank's own regulatory PCR calculation may differ slightly. HDFC Bank also built an additional floating provision buffer of Rs 9,000 crore during FY26 under its Board-approved policy, on top of specific provisions against identified NPAs — a conservative cushion that is not required by regulation but reduces the risk of a sudden provisioning shock. Combined with a capital adequacy ratio of ~19.6-19.7% (versus an 11.9% regulatory minimum), the bank is well-capitalised to absorb credit surprises without needing to raise external capital.</w:t>
      </w:r>
    </w:p>
    <w:p>
      <w:pPr>
        <w:pStyle w:val="Heading1"/>
        <w:pBdr>
          <w:bottom w:val="single" w:color="1F3864" w:sz="4" w:space="4"/>
        </w:pBdr>
        <w:spacing w:after="150" w:before="300"/>
      </w:pPr>
      <w:r>
        <w:rPr>
          <w:b/>
          <w:bCs/>
          <w:color w:val="1F3864"/>
          <w:sz w:val="26"/>
          <w:szCs w:val="26"/>
        </w:rPr>
        <w:t xml:space="preserve">Peer Comparison</w:t>
      </w:r>
    </w:p>
    <w:p>
      <w:pPr>
        <w:spacing w:after="140" w:line="276"/>
        <w:jc w:val="both"/>
      </w:pPr>
      <w:r>
        <w:rPr>
          <w:b w:val="false"/>
          <w:bCs w:val="false"/>
          <w:i w:val="false"/>
          <w:iCs w:val="false"/>
          <w:sz w:val="20"/>
          <w:szCs w:val="20"/>
        </w:rPr>
        <w:t xml:space="preserve">HDFC Bank trades at a discount to ICICI Bank on both P/E and P/B despite comparable or better asset quality, reflecting the market's concern over near-term margin trajectory and slower earnings growth. State Bank of India and the mid-sized private banks (Axis, Kotak) trade at lower or comparable multiples but on structurally lower ROE profiles.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60"/>
        <w:gridCol w:w="1460"/>
        <w:gridCol w:w="2060"/>
        <w:gridCol w:w="1360"/>
        <w:gridCol w:w="1360"/>
        <w:gridCol w:w="1340"/>
      </w:tblGrid>
      <w:tr>
        <w:trPr>
          <w:tblHeader/>
        </w:trPr>
        <w:tc>
          <w:tcPr>
            <w:tcW w:type="dxa" w:w="2660"/>
            <w:shd w:fill="1F3864" w:val="clear"/>
            <w:tcMar>
              <w:top w:type="dxa" w:w="60"/>
              <w:left w:type="dxa" w:w="90"/>
              <w:bottom w:type="dxa" w:w="60"/>
              <w:right w:type="dxa" w:w="90"/>
            </w:tcMar>
            <w:vAlign w:val="center"/>
          </w:tcPr>
          <w:p>
            <w:pPr>
              <w:jc w:val="center"/>
            </w:pPr>
            <w:r>
              <w:rPr>
                <w:b/>
                <w:bCs/>
                <w:color w:val="FFFFFF"/>
                <w:sz w:val="16"/>
                <w:szCs w:val="16"/>
              </w:rPr>
              <w:t xml:space="preserve">Company</w:t>
            </w:r>
          </w:p>
        </w:tc>
        <w:tc>
          <w:tcPr>
            <w:tcW w:type="dxa" w:w="1460"/>
            <w:shd w:fill="1F3864" w:val="clear"/>
            <w:tcMar>
              <w:top w:type="dxa" w:w="60"/>
              <w:left w:type="dxa" w:w="90"/>
              <w:bottom w:type="dxa" w:w="60"/>
              <w:right w:type="dxa" w:w="90"/>
            </w:tcMar>
            <w:vAlign w:val="center"/>
          </w:tcPr>
          <w:p>
            <w:pPr>
              <w:jc w:val="center"/>
            </w:pPr>
            <w:r>
              <w:rPr>
                <w:b/>
                <w:bCs/>
                <w:color w:val="FFFFFF"/>
                <w:sz w:val="16"/>
                <w:szCs w:val="16"/>
              </w:rPr>
              <w:t xml:space="preserve">CMP (Rs)</w:t>
            </w:r>
          </w:p>
        </w:tc>
        <w:tc>
          <w:tcPr>
            <w:tcW w:type="dxa" w:w="2060"/>
            <w:shd w:fill="1F3864" w:val="clear"/>
            <w:tcMar>
              <w:top w:type="dxa" w:w="60"/>
              <w:left w:type="dxa" w:w="90"/>
              <w:bottom w:type="dxa" w:w="60"/>
              <w:right w:type="dxa" w:w="90"/>
            </w:tcMar>
            <w:vAlign w:val="center"/>
          </w:tcPr>
          <w:p>
            <w:pPr>
              <w:jc w:val="center"/>
            </w:pPr>
            <w:r>
              <w:rPr>
                <w:b/>
                <w:bCs/>
                <w:color w:val="FFFFFF"/>
                <w:sz w:val="16"/>
                <w:szCs w:val="16"/>
              </w:rPr>
              <w:t xml:space="preserve">Mkt Cap (Rs cr)</w:t>
            </w:r>
          </w:p>
        </w:tc>
        <w:tc>
          <w:tcPr>
            <w:tcW w:type="dxa" w:w="1360"/>
            <w:shd w:fill="1F3864" w:val="clear"/>
            <w:tcMar>
              <w:top w:type="dxa" w:w="60"/>
              <w:left w:type="dxa" w:w="90"/>
              <w:bottom w:type="dxa" w:w="60"/>
              <w:right w:type="dxa" w:w="90"/>
            </w:tcMar>
            <w:vAlign w:val="center"/>
          </w:tcPr>
          <w:p>
            <w:pPr>
              <w:jc w:val="center"/>
            </w:pPr>
            <w:r>
              <w:rPr>
                <w:b/>
                <w:bCs/>
                <w:color w:val="FFFFFF"/>
                <w:sz w:val="16"/>
                <w:szCs w:val="16"/>
              </w:rPr>
              <w:t xml:space="preserve">P/E (x)</w:t>
            </w:r>
          </w:p>
        </w:tc>
        <w:tc>
          <w:tcPr>
            <w:tcW w:type="dxa" w:w="1360"/>
            <w:shd w:fill="1F3864" w:val="clear"/>
            <w:tcMar>
              <w:top w:type="dxa" w:w="60"/>
              <w:left w:type="dxa" w:w="90"/>
              <w:bottom w:type="dxa" w:w="60"/>
              <w:right w:type="dxa" w:w="90"/>
            </w:tcMar>
            <w:vAlign w:val="center"/>
          </w:tcPr>
          <w:p>
            <w:pPr>
              <w:jc w:val="center"/>
            </w:pPr>
            <w:r>
              <w:rPr>
                <w:b/>
                <w:bCs/>
                <w:color w:val="FFFFFF"/>
                <w:sz w:val="16"/>
                <w:szCs w:val="16"/>
              </w:rPr>
              <w:t xml:space="preserve">P/B (x)</w:t>
            </w:r>
          </w:p>
        </w:tc>
        <w:tc>
          <w:tcPr>
            <w:tcW w:type="dxa" w:w="1340"/>
            <w:shd w:fill="1F3864" w:val="clear"/>
            <w:tcMar>
              <w:top w:type="dxa" w:w="60"/>
              <w:left w:type="dxa" w:w="90"/>
              <w:bottom w:type="dxa" w:w="60"/>
              <w:right w:type="dxa" w:w="90"/>
            </w:tcMar>
            <w:vAlign w:val="center"/>
          </w:tcPr>
          <w:p>
            <w:pPr>
              <w:jc w:val="center"/>
            </w:pPr>
            <w:r>
              <w:rPr>
                <w:b/>
                <w:bCs/>
                <w:color w:val="FFFFFF"/>
                <w:sz w:val="16"/>
                <w:szCs w:val="16"/>
              </w:rPr>
              <w:t xml:space="preserve">ROE (%)</w:t>
            </w:r>
          </w:p>
        </w:tc>
      </w:tr>
      <w:tr>
        <w:tc>
          <w:tcPr>
            <w:tcW w:type="dxa" w:w="2660"/>
            <w:shd w:fill="FFFFFF" w:val="clear"/>
            <w:tcMar>
              <w:top w:type="dxa" w:w="60"/>
              <w:left w:type="dxa" w:w="90"/>
              <w:bottom w:type="dxa" w:w="60"/>
              <w:right w:type="dxa" w:w="90"/>
            </w:tcMar>
            <w:vAlign w:val="center"/>
          </w:tcPr>
          <w:p>
            <w:pPr>
              <w:jc w:val="left"/>
            </w:pPr>
            <w:r>
              <w:rPr>
                <w:b w:val="false"/>
                <w:bCs w:val="false"/>
                <w:color w:val="000000"/>
                <w:sz w:val="17"/>
                <w:szCs w:val="17"/>
              </w:rPr>
              <w:t xml:space="preserve">HDFC Bank</w:t>
            </w:r>
          </w:p>
        </w:tc>
        <w:tc>
          <w:tcPr>
            <w:tcW w:type="dxa" w:w="146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748</w:t>
            </w:r>
          </w:p>
        </w:tc>
        <w:tc>
          <w:tcPr>
            <w:tcW w:type="dxa" w:w="206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11,52,536</w:t>
            </w:r>
          </w:p>
        </w:tc>
        <w:tc>
          <w:tcPr>
            <w:tcW w:type="dxa" w:w="136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14.6x</w:t>
            </w:r>
          </w:p>
        </w:tc>
        <w:tc>
          <w:tcPr>
            <w:tcW w:type="dxa" w:w="136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1.9x</w:t>
            </w:r>
          </w:p>
        </w:tc>
        <w:tc>
          <w:tcPr>
            <w:tcW w:type="dxa" w:w="13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13.0%</w:t>
            </w:r>
          </w:p>
        </w:tc>
      </w:tr>
      <w:tr>
        <w:tc>
          <w:tcPr>
            <w:tcW w:type="dxa" w:w="2660"/>
            <w:shd w:fill="F2F2F2" w:val="clear"/>
            <w:tcMar>
              <w:top w:type="dxa" w:w="60"/>
              <w:left w:type="dxa" w:w="90"/>
              <w:bottom w:type="dxa" w:w="60"/>
              <w:right w:type="dxa" w:w="90"/>
            </w:tcMar>
            <w:vAlign w:val="center"/>
          </w:tcPr>
          <w:p>
            <w:pPr>
              <w:jc w:val="left"/>
            </w:pPr>
            <w:r>
              <w:rPr>
                <w:b w:val="false"/>
                <w:bCs w:val="false"/>
                <w:color w:val="000000"/>
                <w:sz w:val="17"/>
                <w:szCs w:val="17"/>
              </w:rPr>
              <w:t xml:space="preserve">ICICI Bank</w:t>
            </w:r>
          </w:p>
        </w:tc>
        <w:tc>
          <w:tcPr>
            <w:tcW w:type="dxa" w:w="146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1,435</w:t>
            </w:r>
          </w:p>
        </w:tc>
        <w:tc>
          <w:tcPr>
            <w:tcW w:type="dxa" w:w="206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10,29,986</w:t>
            </w:r>
          </w:p>
        </w:tc>
        <w:tc>
          <w:tcPr>
            <w:tcW w:type="dxa" w:w="136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18.4x</w:t>
            </w:r>
          </w:p>
        </w:tc>
        <w:tc>
          <w:tcPr>
            <w:tcW w:type="dxa" w:w="136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2.7x</w:t>
            </w:r>
          </w:p>
        </w:tc>
        <w:tc>
          <w:tcPr>
            <w:tcW w:type="dxa" w:w="13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15.4%</w:t>
            </w:r>
          </w:p>
        </w:tc>
      </w:tr>
      <w:tr>
        <w:tc>
          <w:tcPr>
            <w:tcW w:type="dxa" w:w="2660"/>
            <w:shd w:fill="FFFFFF" w:val="clear"/>
            <w:tcMar>
              <w:top w:type="dxa" w:w="60"/>
              <w:left w:type="dxa" w:w="90"/>
              <w:bottom w:type="dxa" w:w="60"/>
              <w:right w:type="dxa" w:w="90"/>
            </w:tcMar>
            <w:vAlign w:val="center"/>
          </w:tcPr>
          <w:p>
            <w:pPr>
              <w:jc w:val="left"/>
            </w:pPr>
            <w:r>
              <w:rPr>
                <w:b w:val="false"/>
                <w:bCs w:val="false"/>
                <w:color w:val="000000"/>
                <w:sz w:val="17"/>
                <w:szCs w:val="17"/>
              </w:rPr>
              <w:t xml:space="preserve">State Bank of India</w:t>
            </w:r>
          </w:p>
        </w:tc>
        <w:tc>
          <w:tcPr>
            <w:tcW w:type="dxa" w:w="146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1,027</w:t>
            </w:r>
          </w:p>
        </w:tc>
        <w:tc>
          <w:tcPr>
            <w:tcW w:type="dxa" w:w="206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9,48,354</w:t>
            </w:r>
          </w:p>
        </w:tc>
        <w:tc>
          <w:tcPr>
            <w:tcW w:type="dxa" w:w="136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11.4x</w:t>
            </w:r>
          </w:p>
        </w:tc>
        <w:tc>
          <w:tcPr>
            <w:tcW w:type="dxa" w:w="136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1.65x</w:t>
            </w:r>
          </w:p>
        </w:tc>
        <w:tc>
          <w:tcPr>
            <w:tcW w:type="dxa" w:w="13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14.5%</w:t>
            </w:r>
          </w:p>
        </w:tc>
      </w:tr>
      <w:tr>
        <w:tc>
          <w:tcPr>
            <w:tcW w:type="dxa" w:w="2660"/>
            <w:shd w:fill="F2F2F2" w:val="clear"/>
            <w:tcMar>
              <w:top w:type="dxa" w:w="60"/>
              <w:left w:type="dxa" w:w="90"/>
              <w:bottom w:type="dxa" w:w="60"/>
              <w:right w:type="dxa" w:w="90"/>
            </w:tcMar>
            <w:vAlign w:val="center"/>
          </w:tcPr>
          <w:p>
            <w:pPr>
              <w:jc w:val="left"/>
            </w:pPr>
            <w:r>
              <w:rPr>
                <w:b w:val="false"/>
                <w:bCs w:val="false"/>
                <w:color w:val="000000"/>
                <w:sz w:val="17"/>
                <w:szCs w:val="17"/>
              </w:rPr>
              <w:t xml:space="preserve">Kotak Mahindra Bank</w:t>
            </w:r>
          </w:p>
        </w:tc>
        <w:tc>
          <w:tcPr>
            <w:tcW w:type="dxa" w:w="146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390</w:t>
            </w:r>
          </w:p>
        </w:tc>
        <w:tc>
          <w:tcPr>
            <w:tcW w:type="dxa" w:w="206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3,88,246</w:t>
            </w:r>
          </w:p>
        </w:tc>
        <w:tc>
          <w:tcPr>
            <w:tcW w:type="dxa" w:w="136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19.4x</w:t>
            </w:r>
          </w:p>
        </w:tc>
        <w:tc>
          <w:tcPr>
            <w:tcW w:type="dxa" w:w="136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2.25x</w:t>
            </w:r>
          </w:p>
        </w:tc>
        <w:tc>
          <w:tcPr>
            <w:tcW w:type="dxa" w:w="13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10.9%</w:t>
            </w:r>
          </w:p>
        </w:tc>
      </w:tr>
      <w:tr>
        <w:tc>
          <w:tcPr>
            <w:tcW w:type="dxa" w:w="2660"/>
            <w:shd w:fill="FFFFFF" w:val="clear"/>
            <w:tcMar>
              <w:top w:type="dxa" w:w="60"/>
              <w:left w:type="dxa" w:w="90"/>
              <w:bottom w:type="dxa" w:w="60"/>
              <w:right w:type="dxa" w:w="90"/>
            </w:tcMar>
            <w:vAlign w:val="center"/>
          </w:tcPr>
          <w:p>
            <w:pPr>
              <w:jc w:val="left"/>
            </w:pPr>
            <w:r>
              <w:rPr>
                <w:b w:val="false"/>
                <w:bCs w:val="false"/>
                <w:color w:val="000000"/>
                <w:sz w:val="17"/>
                <w:szCs w:val="17"/>
              </w:rPr>
              <w:t xml:space="preserve">Axis Bank</w:t>
            </w:r>
          </w:p>
        </w:tc>
        <w:tc>
          <w:tcPr>
            <w:tcW w:type="dxa" w:w="146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1,230</w:t>
            </w:r>
          </w:p>
        </w:tc>
        <w:tc>
          <w:tcPr>
            <w:tcW w:type="dxa" w:w="206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3,82,542</w:t>
            </w:r>
          </w:p>
        </w:tc>
        <w:tc>
          <w:tcPr>
            <w:tcW w:type="dxa" w:w="136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14.0x</w:t>
            </w:r>
          </w:p>
        </w:tc>
        <w:tc>
          <w:tcPr>
            <w:tcW w:type="dxa" w:w="136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1.77x</w:t>
            </w:r>
          </w:p>
        </w:tc>
        <w:tc>
          <w:tcPr>
            <w:tcW w:type="dxa" w:w="13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12.4%</w:t>
            </w:r>
          </w:p>
        </w:tc>
      </w:tr>
    </w:tbl>
    <w:p>
      <w:pPr>
        <w:spacing w:after="120"/>
      </w:pPr>
    </w:p>
    <w:p>
      <w:pPr>
        <w:spacing w:after="140" w:line="276"/>
        <w:jc w:val="both"/>
      </w:pPr>
      <w:r>
        <w:rPr>
          <w:b w:val="false"/>
          <w:bCs w:val="false"/>
          <w:i w:val="false"/>
          <w:iCs w:val="false"/>
          <w:sz w:val="20"/>
          <w:szCs w:val="20"/>
        </w:rPr>
        <w:t xml:space="preserve">HDFC Bank's ROE of ~13.0% (TTM) sits below both ICICI Bank and SBI, largely a residual effect of absorbing HDFC Ltd's lower-yielding, longer-duration mortgage book onto the combined balance sheet. Management's stated ambition is to lift ROA/ROE from ~1.8%/14.0% (FY26A) to ~2.2%/17.6% by FY29E as the loan mix normalises and merger-related cost synergies are realised — if achieved, this would justify a meaningful re-rating from current multiples.</w:t>
      </w:r>
    </w:p>
    <w:p>
      <w:pPr>
        <w:pStyle w:val="Heading1"/>
        <w:pBdr>
          <w:bottom w:val="single" w:color="1F3864" w:sz="4" w:space="4"/>
        </w:pBdr>
        <w:spacing w:after="150" w:before="300"/>
      </w:pPr>
      <w:r>
        <w:rPr>
          <w:b/>
          <w:bCs/>
          <w:color w:val="1F3864"/>
          <w:sz w:val="26"/>
          <w:szCs w:val="26"/>
        </w:rPr>
        <w:t xml:space="preserve">Forecasts</w:t>
      </w:r>
    </w:p>
    <w:p>
      <w:pPr>
        <w:spacing w:after="140" w:line="276"/>
        <w:jc w:val="both"/>
      </w:pPr>
      <w:r>
        <w:rPr>
          <w:b w:val="false"/>
          <w:bCs w:val="false"/>
          <w:i w:val="false"/>
          <w:iCs w:val="false"/>
          <w:sz w:val="20"/>
          <w:szCs w:val="20"/>
        </w:rPr>
        <w:t xml:space="preserve">We present FY27E-FY28E figures as sourced from, and cross-validated against, two independent sell-side estimates (Arihant Capital Markets and BOB Capital Markets, both dated April 2026), rather than building an independent multi-line forecast model — for a bank with hundreds of interacting balance-sheet and provisioning assumptions, this is a case where citing and understanding credible third-party estimates is more honest and more useful than fabricating false precision. The two sources arrive at closely aligned figures (FY28E NII of Rs 1,79,202 crore and Rs 1,73,800 crore respectively; FY28E PAT of Rs 1,01,802 crore and Rs 1,01,500 crore respectively), which gives reasonable confidence in the range.</w:t>
      </w:r>
    </w:p>
    <w:tbl>
      <w:tblPr>
        <w:tblW w:type="dxa" w:w="9790"/>
        <w:tblBorders>
          <w:top w:val="single" w:color="auto" w:sz="4"/>
          <w:left w:val="single" w:color="auto" w:sz="4"/>
          <w:bottom w:val="single" w:color="auto" w:sz="4"/>
          <w:right w:val="single" w:color="auto" w:sz="4"/>
          <w:insideH w:val="single" w:color="auto" w:sz="4"/>
          <w:insideV w:val="single" w:color="auto" w:sz="4"/>
        </w:tblBorders>
      </w:tblPr>
      <w:tblGrid>
        <w:gridCol w:w="3400"/>
        <w:gridCol w:w="2130"/>
        <w:gridCol w:w="2130"/>
        <w:gridCol w:w="2130"/>
      </w:tblGrid>
      <w:tr>
        <w:trPr>
          <w:tblHeader/>
        </w:trPr>
        <w:tc>
          <w:tcPr>
            <w:tcW w:type="dxa" w:w="3400"/>
            <w:shd w:fill="1F3864" w:val="clear"/>
            <w:tcMar>
              <w:top w:type="dxa" w:w="60"/>
              <w:left w:type="dxa" w:w="90"/>
              <w:bottom w:type="dxa" w:w="60"/>
              <w:right w:type="dxa" w:w="90"/>
            </w:tcMar>
            <w:vAlign w:val="center"/>
          </w:tcPr>
          <w:p>
            <w:pPr>
              <w:jc w:val="center"/>
            </w:pPr>
            <w:r>
              <w:rPr>
                <w:b/>
                <w:bCs/>
                <w:color w:val="FFFFFF"/>
                <w:sz w:val="16"/>
                <w:szCs w:val="16"/>
              </w:rPr>
              <w:t xml:space="preserve">Y/E Mar (Rs cr)</w:t>
            </w:r>
          </w:p>
        </w:tc>
        <w:tc>
          <w:tcPr>
            <w:tcW w:type="dxa" w:w="2130"/>
            <w:shd w:fill="1F3864" w:val="clear"/>
            <w:tcMar>
              <w:top w:type="dxa" w:w="60"/>
              <w:left w:type="dxa" w:w="90"/>
              <w:bottom w:type="dxa" w:w="60"/>
              <w:right w:type="dxa" w:w="90"/>
            </w:tcMar>
            <w:vAlign w:val="center"/>
          </w:tcPr>
          <w:p>
            <w:pPr>
              <w:jc w:val="center"/>
            </w:pPr>
            <w:r>
              <w:rPr>
                <w:b/>
                <w:bCs/>
                <w:color w:val="FFFFFF"/>
                <w:sz w:val="16"/>
                <w:szCs w:val="16"/>
              </w:rPr>
              <w:t xml:space="preserve">FY26A</w:t>
            </w:r>
          </w:p>
        </w:tc>
        <w:tc>
          <w:tcPr>
            <w:tcW w:type="dxa" w:w="2130"/>
            <w:shd w:fill="1F3864" w:val="clear"/>
            <w:tcMar>
              <w:top w:type="dxa" w:w="60"/>
              <w:left w:type="dxa" w:w="90"/>
              <w:bottom w:type="dxa" w:w="60"/>
              <w:right w:type="dxa" w:w="90"/>
            </w:tcMar>
            <w:vAlign w:val="center"/>
          </w:tcPr>
          <w:p>
            <w:pPr>
              <w:jc w:val="center"/>
            </w:pPr>
            <w:r>
              <w:rPr>
                <w:b/>
                <w:bCs/>
                <w:color w:val="FFFFFF"/>
                <w:sz w:val="16"/>
                <w:szCs w:val="16"/>
              </w:rPr>
              <w:t xml:space="preserve">FY27E</w:t>
            </w:r>
          </w:p>
        </w:tc>
        <w:tc>
          <w:tcPr>
            <w:tcW w:type="dxa" w:w="2130"/>
            <w:shd w:fill="1F3864" w:val="clear"/>
            <w:tcMar>
              <w:top w:type="dxa" w:w="60"/>
              <w:left w:type="dxa" w:w="90"/>
              <w:bottom w:type="dxa" w:w="60"/>
              <w:right w:type="dxa" w:w="90"/>
            </w:tcMar>
            <w:vAlign w:val="center"/>
          </w:tcPr>
          <w:p>
            <w:pPr>
              <w:jc w:val="center"/>
            </w:pPr>
            <w:r>
              <w:rPr>
                <w:b/>
                <w:bCs/>
                <w:color w:val="FFFFFF"/>
                <w:sz w:val="16"/>
                <w:szCs w:val="16"/>
              </w:rPr>
              <w:t xml:space="preserve">FY28E</w:t>
            </w:r>
          </w:p>
        </w:tc>
      </w:tr>
      <w:tr>
        <w:tc>
          <w:tcPr>
            <w:tcW w:type="dxa" w:w="3400"/>
            <w:shd w:fill="FFFFFF" w:val="clear"/>
            <w:tcMar>
              <w:top w:type="dxa" w:w="60"/>
              <w:left w:type="dxa" w:w="90"/>
              <w:bottom w:type="dxa" w:w="60"/>
              <w:right w:type="dxa" w:w="90"/>
            </w:tcMar>
            <w:vAlign w:val="center"/>
          </w:tcPr>
          <w:p>
            <w:pPr>
              <w:jc w:val="left"/>
            </w:pPr>
            <w:r>
              <w:rPr>
                <w:b w:val="false"/>
                <w:bCs w:val="false"/>
                <w:color w:val="000000"/>
                <w:sz w:val="17"/>
                <w:szCs w:val="17"/>
              </w:rPr>
              <w:t xml:space="preserve">Net Interest Income</w:t>
            </w:r>
          </w:p>
        </w:tc>
        <w:tc>
          <w:tcPr>
            <w:tcW w:type="dxa" w:w="213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1,28,686</w:t>
            </w:r>
          </w:p>
        </w:tc>
        <w:tc>
          <w:tcPr>
            <w:tcW w:type="dxa" w:w="213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1,53,144</w:t>
            </w:r>
          </w:p>
        </w:tc>
        <w:tc>
          <w:tcPr>
            <w:tcW w:type="dxa" w:w="213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1,79,202</w:t>
            </w:r>
          </w:p>
        </w:tc>
      </w:tr>
      <w:tr>
        <w:tc>
          <w:tcPr>
            <w:tcW w:type="dxa" w:w="3400"/>
            <w:shd w:fill="F2F2F2" w:val="clear"/>
            <w:tcMar>
              <w:top w:type="dxa" w:w="60"/>
              <w:left w:type="dxa" w:w="90"/>
              <w:bottom w:type="dxa" w:w="60"/>
              <w:right w:type="dxa" w:w="90"/>
            </w:tcMar>
            <w:vAlign w:val="center"/>
          </w:tcPr>
          <w:p>
            <w:pPr>
              <w:jc w:val="left"/>
            </w:pPr>
            <w:r>
              <w:rPr>
                <w:b w:val="false"/>
                <w:bCs w:val="false"/>
                <w:color w:val="000000"/>
                <w:sz w:val="17"/>
                <w:szCs w:val="17"/>
              </w:rPr>
              <w:t xml:space="preserve">Net Profit (PAT)</w:t>
            </w:r>
          </w:p>
        </w:tc>
        <w:tc>
          <w:tcPr>
            <w:tcW w:type="dxa" w:w="213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74,671</w:t>
            </w:r>
          </w:p>
        </w:tc>
        <w:tc>
          <w:tcPr>
            <w:tcW w:type="dxa" w:w="213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88,133</w:t>
            </w:r>
          </w:p>
        </w:tc>
        <w:tc>
          <w:tcPr>
            <w:tcW w:type="dxa" w:w="213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1,01,802</w:t>
            </w:r>
          </w:p>
        </w:tc>
      </w:tr>
      <w:tr>
        <w:tc>
          <w:tcPr>
            <w:tcW w:type="dxa" w:w="3400"/>
            <w:shd w:fill="FFFFFF" w:val="clear"/>
            <w:tcMar>
              <w:top w:type="dxa" w:w="60"/>
              <w:left w:type="dxa" w:w="90"/>
              <w:bottom w:type="dxa" w:w="60"/>
              <w:right w:type="dxa" w:w="90"/>
            </w:tcMar>
            <w:vAlign w:val="center"/>
          </w:tcPr>
          <w:p>
            <w:pPr>
              <w:jc w:val="left"/>
            </w:pPr>
            <w:r>
              <w:rPr>
                <w:b w:val="false"/>
                <w:bCs w:val="false"/>
                <w:color w:val="000000"/>
                <w:sz w:val="17"/>
                <w:szCs w:val="17"/>
              </w:rPr>
              <w:t xml:space="preserve">EPS (Rs)</w:t>
            </w:r>
          </w:p>
        </w:tc>
        <w:tc>
          <w:tcPr>
            <w:tcW w:type="dxa" w:w="213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48.6</w:t>
            </w:r>
          </w:p>
        </w:tc>
        <w:tc>
          <w:tcPr>
            <w:tcW w:type="dxa" w:w="213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57.3</w:t>
            </w:r>
          </w:p>
        </w:tc>
        <w:tc>
          <w:tcPr>
            <w:tcW w:type="dxa" w:w="213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66.1</w:t>
            </w:r>
          </w:p>
        </w:tc>
      </w:tr>
      <w:tr>
        <w:tc>
          <w:tcPr>
            <w:tcW w:type="dxa" w:w="3400"/>
            <w:shd w:fill="F2F2F2" w:val="clear"/>
            <w:tcMar>
              <w:top w:type="dxa" w:w="60"/>
              <w:left w:type="dxa" w:w="90"/>
              <w:bottom w:type="dxa" w:w="60"/>
              <w:right w:type="dxa" w:w="90"/>
            </w:tcMar>
            <w:vAlign w:val="center"/>
          </w:tcPr>
          <w:p>
            <w:pPr>
              <w:jc w:val="left"/>
            </w:pPr>
            <w:r>
              <w:rPr>
                <w:b w:val="false"/>
                <w:bCs w:val="false"/>
                <w:color w:val="000000"/>
                <w:sz w:val="17"/>
                <w:szCs w:val="17"/>
              </w:rPr>
              <w:t xml:space="preserve">ROA (%)</w:t>
            </w:r>
          </w:p>
        </w:tc>
        <w:tc>
          <w:tcPr>
            <w:tcW w:type="dxa" w:w="213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1.8%</w:t>
            </w:r>
          </w:p>
        </w:tc>
        <w:tc>
          <w:tcPr>
            <w:tcW w:type="dxa" w:w="213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1.9%</w:t>
            </w:r>
          </w:p>
        </w:tc>
        <w:tc>
          <w:tcPr>
            <w:tcW w:type="dxa" w:w="213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1.9%</w:t>
            </w:r>
          </w:p>
        </w:tc>
      </w:tr>
      <w:tr>
        <w:tc>
          <w:tcPr>
            <w:tcW w:type="dxa" w:w="3400"/>
            <w:shd w:fill="FFFFFF" w:val="clear"/>
            <w:tcMar>
              <w:top w:type="dxa" w:w="60"/>
              <w:left w:type="dxa" w:w="90"/>
              <w:bottom w:type="dxa" w:w="60"/>
              <w:right w:type="dxa" w:w="90"/>
            </w:tcMar>
            <w:vAlign w:val="center"/>
          </w:tcPr>
          <w:p>
            <w:pPr>
              <w:jc w:val="left"/>
            </w:pPr>
            <w:r>
              <w:rPr>
                <w:b w:val="false"/>
                <w:bCs w:val="false"/>
                <w:color w:val="000000"/>
                <w:sz w:val="17"/>
                <w:szCs w:val="17"/>
              </w:rPr>
              <w:t xml:space="preserve">ROE (%)</w:t>
            </w:r>
          </w:p>
        </w:tc>
        <w:tc>
          <w:tcPr>
            <w:tcW w:type="dxa" w:w="213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14.0%</w:t>
            </w:r>
          </w:p>
        </w:tc>
        <w:tc>
          <w:tcPr>
            <w:tcW w:type="dxa" w:w="213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14.8%</w:t>
            </w:r>
          </w:p>
        </w:tc>
        <w:tc>
          <w:tcPr>
            <w:tcW w:type="dxa" w:w="213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15.3%</w:t>
            </w:r>
          </w:p>
        </w:tc>
      </w:tr>
    </w:tbl>
    <w:p>
      <w:pPr>
        <w:spacing w:after="120"/>
      </w:pPr>
    </w:p>
    <w:p>
      <w:pPr>
        <w:spacing w:after="140" w:line="276"/>
        <w:jc w:val="both"/>
      </w:pPr>
      <w:r>
        <w:rPr>
          <w:b w:val="false"/>
          <w:bCs w:val="false"/>
          <w:i w:val="false"/>
          <w:iCs w:val="false"/>
          <w:sz w:val="20"/>
          <w:szCs w:val="20"/>
        </w:rPr>
        <w:t xml:space="preserve">The key drivers implicit in these estimates are: (i) advances growth sustaining in the 13-15% range, broadly in line with the recent trend; (ii) a gradual NIM recovery from the current 3.26-3.38% range as CASA stabilises and the home-loan book re-prices; (iii) credit costs remaining benign given the bank's strong provisioning buffers; and (iv) continued modest cost-to-income improvement from operating leverage. We do not extend this table to FY29E given widening estimation uncertainty two years out — instead, we simply note that management's own medium-term aspiration, as cited by analysts covering the stock, is to reach ROA/ROE of approximately 2.2%/17.6% by FY29E, which we treat as a directional target rather than a number to forecast precisely.</w:t>
      </w:r>
    </w:p>
    <w:p>
      <w:pPr>
        <w:pStyle w:val="Heading1"/>
        <w:pBdr>
          <w:bottom w:val="single" w:color="1F3864" w:sz="4" w:space="4"/>
        </w:pBdr>
        <w:spacing w:after="150" w:before="300"/>
      </w:pPr>
      <w:r>
        <w:rPr>
          <w:b/>
          <w:bCs/>
          <w:color w:val="1F3864"/>
          <w:sz w:val="26"/>
          <w:szCs w:val="26"/>
        </w:rPr>
        <w:t xml:space="preserve">Valuation</w:t>
      </w:r>
    </w:p>
    <w:p>
      <w:pPr>
        <w:spacing w:after="140" w:line="276"/>
        <w:jc w:val="both"/>
      </w:pPr>
      <w:r>
        <w:rPr>
          <w:b w:val="false"/>
          <w:bCs w:val="false"/>
          <w:i w:val="false"/>
          <w:iCs w:val="false"/>
          <w:sz w:val="20"/>
          <w:szCs w:val="20"/>
        </w:rPr>
        <w:t xml:space="preserve">Given HDFC Bank's status as a mature, deposit-funded bank, we value the stock using two complementary approaches: (i) a justified Price-to-Book multiple derived from the Gordon Growth relationship between sustainable ROE, cost of equity, and long-term growth, and (ii) a forward Price-to-Earnings multiple benchmarked against the bank's own history and peer set.</w:t>
      </w:r>
    </w:p>
    <w:p>
      <w:pPr>
        <w:spacing w:after="100" w:before="200"/>
      </w:pPr>
      <w:r>
        <w:rPr>
          <w:b/>
          <w:bCs/>
          <w:color w:val="1F3864"/>
          <w:sz w:val="22"/>
          <w:szCs w:val="22"/>
        </w:rPr>
        <w:t xml:space="preserve">Method 1: Justified Price-to-Book</w:t>
      </w:r>
    </w:p>
    <w:p>
      <w:pPr>
        <w:spacing w:after="140" w:line="276"/>
        <w:jc w:val="both"/>
      </w:pPr>
      <w:r>
        <w:rPr>
          <w:b w:val="false"/>
          <w:bCs w:val="false"/>
          <w:i w:val="false"/>
          <w:iCs w:val="false"/>
          <w:sz w:val="20"/>
          <w:szCs w:val="20"/>
        </w:rPr>
        <w:t xml:space="preserve">The theoretical justified P/B for a bank is given by (ROE - g) / (Ke - g), where Ke is the cost of equity and g is the long-term sustainable growth rate of book value.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60"/>
        <w:gridCol w:w="1480"/>
        <w:gridCol w:w="6200"/>
      </w:tblGrid>
      <w:tr>
        <w:trPr>
          <w:tblHeader/>
        </w:trPr>
        <w:tc>
          <w:tcPr>
            <w:tcW w:type="dxa" w:w="2560"/>
            <w:shd w:fill="1F3864" w:val="clear"/>
            <w:tcMar>
              <w:top w:type="dxa" w:w="60"/>
              <w:left w:type="dxa" w:w="90"/>
              <w:bottom w:type="dxa" w:w="60"/>
              <w:right w:type="dxa" w:w="90"/>
            </w:tcMar>
            <w:vAlign w:val="center"/>
          </w:tcPr>
          <w:p>
            <w:pPr>
              <w:jc w:val="center"/>
            </w:pPr>
            <w:r>
              <w:rPr>
                <w:b/>
                <w:bCs/>
                <w:color w:val="FFFFFF"/>
                <w:sz w:val="16"/>
                <w:szCs w:val="16"/>
              </w:rPr>
              <w:t xml:space="preserve">Input</w:t>
            </w:r>
          </w:p>
        </w:tc>
        <w:tc>
          <w:tcPr>
            <w:tcW w:type="dxa" w:w="1480"/>
            <w:shd w:fill="1F3864" w:val="clear"/>
            <w:tcMar>
              <w:top w:type="dxa" w:w="60"/>
              <w:left w:type="dxa" w:w="90"/>
              <w:bottom w:type="dxa" w:w="60"/>
              <w:right w:type="dxa" w:w="90"/>
            </w:tcMar>
            <w:vAlign w:val="center"/>
          </w:tcPr>
          <w:p>
            <w:pPr>
              <w:jc w:val="center"/>
            </w:pPr>
            <w:r>
              <w:rPr>
                <w:b/>
                <w:bCs/>
                <w:color w:val="FFFFFF"/>
                <w:sz w:val="16"/>
                <w:szCs w:val="16"/>
              </w:rPr>
              <w:t xml:space="preserve">Value</w:t>
            </w:r>
          </w:p>
        </w:tc>
        <w:tc>
          <w:tcPr>
            <w:tcW w:type="dxa" w:w="6200"/>
            <w:shd w:fill="1F3864" w:val="clear"/>
            <w:tcMar>
              <w:top w:type="dxa" w:w="60"/>
              <w:left w:type="dxa" w:w="90"/>
              <w:bottom w:type="dxa" w:w="60"/>
              <w:right w:type="dxa" w:w="90"/>
            </w:tcMar>
            <w:vAlign w:val="center"/>
          </w:tcPr>
          <w:p>
            <w:pPr>
              <w:jc w:val="center"/>
            </w:pPr>
            <w:r>
              <w:rPr>
                <w:b/>
                <w:bCs/>
                <w:color w:val="FFFFFF"/>
                <w:sz w:val="16"/>
                <w:szCs w:val="16"/>
              </w:rPr>
              <w:t xml:space="preserve">Basis</w:t>
            </w:r>
          </w:p>
        </w:tc>
      </w:tr>
      <w:tr>
        <w:tc>
          <w:tcPr>
            <w:tcW w:type="dxa" w:w="2560"/>
            <w:shd w:fill="FFFFFF" w:val="clear"/>
            <w:tcMar>
              <w:top w:type="dxa" w:w="60"/>
              <w:left w:type="dxa" w:w="90"/>
              <w:bottom w:type="dxa" w:w="60"/>
              <w:right w:type="dxa" w:w="90"/>
            </w:tcMar>
            <w:vAlign w:val="center"/>
          </w:tcPr>
          <w:p>
            <w:pPr>
              <w:jc w:val="left"/>
            </w:pPr>
            <w:r>
              <w:rPr>
                <w:b w:val="false"/>
                <w:bCs w:val="false"/>
                <w:color w:val="000000"/>
                <w:sz w:val="17"/>
                <w:szCs w:val="17"/>
              </w:rPr>
              <w:t xml:space="preserve">Cost of equity (Ke)</w:t>
            </w:r>
          </w:p>
        </w:tc>
        <w:tc>
          <w:tcPr>
            <w:tcW w:type="dxa" w:w="148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13.0%</w:t>
            </w:r>
          </w:p>
        </w:tc>
        <w:tc>
          <w:tcPr>
            <w:tcW w:type="dxa" w:w="620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CAPM: risk-free rate 7.0% (10Y G-Sec) + beta 0.95 x equity risk premium 6.5%</w:t>
            </w:r>
          </w:p>
        </w:tc>
      </w:tr>
      <w:tr>
        <w:tc>
          <w:tcPr>
            <w:tcW w:type="dxa" w:w="2560"/>
            <w:shd w:fill="F2F2F2" w:val="clear"/>
            <w:tcMar>
              <w:top w:type="dxa" w:w="60"/>
              <w:left w:type="dxa" w:w="90"/>
              <w:bottom w:type="dxa" w:w="60"/>
              <w:right w:type="dxa" w:w="90"/>
            </w:tcMar>
            <w:vAlign w:val="center"/>
          </w:tcPr>
          <w:p>
            <w:pPr>
              <w:jc w:val="left"/>
            </w:pPr>
            <w:r>
              <w:rPr>
                <w:b w:val="false"/>
                <w:bCs w:val="false"/>
                <w:color w:val="000000"/>
                <w:sz w:val="17"/>
                <w:szCs w:val="17"/>
              </w:rPr>
              <w:t xml:space="preserve">Sustainable ROE</w:t>
            </w:r>
          </w:p>
        </w:tc>
        <w:tc>
          <w:tcPr>
            <w:tcW w:type="dxa" w:w="148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15.5%</w:t>
            </w:r>
          </w:p>
        </w:tc>
        <w:tc>
          <w:tcPr>
            <w:tcW w:type="dxa" w:w="620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Midpoint of FY26A actual (14.0%) and FY29E management/analyst target (17.6%)</w:t>
            </w:r>
          </w:p>
        </w:tc>
      </w:tr>
      <w:tr>
        <w:tc>
          <w:tcPr>
            <w:tcW w:type="dxa" w:w="2560"/>
            <w:shd w:fill="FFFFFF" w:val="clear"/>
            <w:tcMar>
              <w:top w:type="dxa" w:w="60"/>
              <w:left w:type="dxa" w:w="90"/>
              <w:bottom w:type="dxa" w:w="60"/>
              <w:right w:type="dxa" w:w="90"/>
            </w:tcMar>
            <w:vAlign w:val="center"/>
          </w:tcPr>
          <w:p>
            <w:pPr>
              <w:jc w:val="left"/>
            </w:pPr>
            <w:r>
              <w:rPr>
                <w:b w:val="false"/>
                <w:bCs w:val="false"/>
                <w:color w:val="000000"/>
                <w:sz w:val="17"/>
                <w:szCs w:val="17"/>
              </w:rPr>
              <w:t xml:space="preserve">Long-term growth (g)</w:t>
            </w:r>
          </w:p>
        </w:tc>
        <w:tc>
          <w:tcPr>
            <w:tcW w:type="dxa" w:w="148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11.0%</w:t>
            </w:r>
          </w:p>
        </w:tc>
        <w:tc>
          <w:tcPr>
            <w:tcW w:type="dxa" w:w="620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Proxy for nominal GDP growth (real GDP ~6.5-7% + inflation ~4%)</w:t>
            </w:r>
          </w:p>
        </w:tc>
      </w:tr>
      <w:tr>
        <w:tc>
          <w:tcPr>
            <w:tcW w:type="dxa" w:w="2560"/>
            <w:shd w:fill="F2F2F2" w:val="clear"/>
            <w:tcMar>
              <w:top w:type="dxa" w:w="60"/>
              <w:left w:type="dxa" w:w="90"/>
              <w:bottom w:type="dxa" w:w="60"/>
              <w:right w:type="dxa" w:w="90"/>
            </w:tcMar>
            <w:vAlign w:val="center"/>
          </w:tcPr>
          <w:p>
            <w:pPr>
              <w:jc w:val="left"/>
            </w:pPr>
            <w:r>
              <w:rPr>
                <w:b w:val="false"/>
                <w:bCs w:val="false"/>
                <w:color w:val="000000"/>
                <w:sz w:val="17"/>
                <w:szCs w:val="17"/>
              </w:rPr>
              <w:t xml:space="preserve">Justified P/B</w:t>
            </w:r>
          </w:p>
        </w:tc>
        <w:tc>
          <w:tcPr>
            <w:tcW w:type="dxa" w:w="148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2.25x</w:t>
            </w:r>
          </w:p>
        </w:tc>
        <w:tc>
          <w:tcPr>
            <w:tcW w:type="dxa" w:w="620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(15.5% - 11.0%) / (13.0% - 11.0%)</w:t>
            </w:r>
          </w:p>
        </w:tc>
      </w:tr>
      <w:tr>
        <w:tc>
          <w:tcPr>
            <w:tcW w:type="dxa" w:w="2560"/>
            <w:shd w:fill="FFFFFF" w:val="clear"/>
            <w:tcMar>
              <w:top w:type="dxa" w:w="60"/>
              <w:left w:type="dxa" w:w="90"/>
              <w:bottom w:type="dxa" w:w="60"/>
              <w:right w:type="dxa" w:w="90"/>
            </w:tcMar>
            <w:vAlign w:val="center"/>
          </w:tcPr>
          <w:p>
            <w:pPr>
              <w:jc w:val="left"/>
            </w:pPr>
            <w:r>
              <w:rPr>
                <w:b w:val="false"/>
                <w:bCs w:val="false"/>
                <w:color w:val="000000"/>
                <w:sz w:val="17"/>
                <w:szCs w:val="17"/>
              </w:rPr>
              <w:t xml:space="preserve">FY26A Adj. BVPS (Rs)</w:t>
            </w:r>
          </w:p>
        </w:tc>
        <w:tc>
          <w:tcPr>
            <w:tcW w:type="dxa" w:w="148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354</w:t>
            </w:r>
          </w:p>
        </w:tc>
        <w:tc>
          <w:tcPr>
            <w:tcW w:type="dxa" w:w="620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Company financials</w:t>
            </w:r>
          </w:p>
        </w:tc>
      </w:tr>
      <w:tr>
        <w:tc>
          <w:tcPr>
            <w:tcW w:type="dxa" w:w="2560"/>
            <w:shd w:fill="F2F2F2" w:val="clear"/>
            <w:tcMar>
              <w:top w:type="dxa" w:w="60"/>
              <w:left w:type="dxa" w:w="90"/>
              <w:bottom w:type="dxa" w:w="60"/>
              <w:right w:type="dxa" w:w="90"/>
            </w:tcMar>
            <w:vAlign w:val="center"/>
          </w:tcPr>
          <w:p>
            <w:pPr>
              <w:jc w:val="left"/>
            </w:pPr>
            <w:r>
              <w:rPr>
                <w:b w:val="false"/>
                <w:bCs w:val="false"/>
                <w:color w:val="000000"/>
                <w:sz w:val="17"/>
                <w:szCs w:val="17"/>
              </w:rPr>
              <w:t xml:space="preserve">Implied value (Rs)</w:t>
            </w:r>
          </w:p>
        </w:tc>
        <w:tc>
          <w:tcPr>
            <w:tcW w:type="dxa" w:w="148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797</w:t>
            </w:r>
          </w:p>
        </w:tc>
        <w:tc>
          <w:tcPr>
            <w:tcW w:type="dxa" w:w="620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2.25x x Rs 354</w:t>
            </w:r>
          </w:p>
        </w:tc>
      </w:tr>
    </w:tbl>
    <w:p>
      <w:pPr>
        <w:spacing w:after="150"/>
      </w:pPr>
    </w:p>
    <w:p>
      <w:pPr>
        <w:spacing w:after="100" w:before="200"/>
      </w:pPr>
      <w:r>
        <w:rPr>
          <w:b/>
          <w:bCs/>
          <w:color w:val="1F3864"/>
          <w:sz w:val="22"/>
          <w:szCs w:val="22"/>
        </w:rPr>
        <w:t xml:space="preserve">Method 2: Forward Price-to-Earnings</w:t>
      </w:r>
    </w:p>
    <w:p>
      <w:pPr>
        <w:spacing w:after="140" w:line="276"/>
        <w:jc w:val="both"/>
      </w:pPr>
      <w:r>
        <w:rPr>
          <w:b w:val="false"/>
          <w:bCs w:val="false"/>
          <w:i w:val="false"/>
          <w:iCs w:val="false"/>
          <w:sz w:val="20"/>
          <w:szCs w:val="20"/>
        </w:rPr>
        <w:t xml:space="preserve">We apply a target forward P/E of 15.5x — between HDFC Bank's current trailing multiple of 14.6x and its long-run historical average of ~18-20x, reflecting partial but not full multiple recovery as margin pressure persists near-term — to consensus FY27E EPS of Rs 57.3.</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620"/>
        <w:gridCol w:w="5620"/>
      </w:tblGrid>
      <w:tr>
        <w:trPr>
          <w:tblHeader/>
        </w:trPr>
        <w:tc>
          <w:tcPr>
            <w:tcW w:type="dxa" w:w="4620"/>
            <w:shd w:fill="1F3864" w:val="clear"/>
            <w:tcMar>
              <w:top w:type="dxa" w:w="60"/>
              <w:left w:type="dxa" w:w="90"/>
              <w:bottom w:type="dxa" w:w="60"/>
              <w:right w:type="dxa" w:w="90"/>
            </w:tcMar>
            <w:vAlign w:val="center"/>
          </w:tcPr>
          <w:p>
            <w:pPr>
              <w:jc w:val="center"/>
            </w:pPr>
            <w:r>
              <w:rPr>
                <w:b/>
                <w:bCs/>
                <w:color w:val="FFFFFF"/>
                <w:sz w:val="16"/>
                <w:szCs w:val="16"/>
              </w:rPr>
              <w:t xml:space="preserve">Input</w:t>
            </w:r>
          </w:p>
        </w:tc>
        <w:tc>
          <w:tcPr>
            <w:tcW w:type="dxa" w:w="5620"/>
            <w:shd w:fill="1F3864" w:val="clear"/>
            <w:tcMar>
              <w:top w:type="dxa" w:w="60"/>
              <w:left w:type="dxa" w:w="90"/>
              <w:bottom w:type="dxa" w:w="60"/>
              <w:right w:type="dxa" w:w="90"/>
            </w:tcMar>
            <w:vAlign w:val="center"/>
          </w:tcPr>
          <w:p>
            <w:pPr>
              <w:jc w:val="center"/>
            </w:pPr>
            <w:r>
              <w:rPr>
                <w:b/>
                <w:bCs/>
                <w:color w:val="FFFFFF"/>
                <w:sz w:val="16"/>
                <w:szCs w:val="16"/>
              </w:rPr>
              <w:t xml:space="preserve">Value</w:t>
            </w:r>
          </w:p>
        </w:tc>
      </w:tr>
      <w:tr>
        <w:tc>
          <w:tcPr>
            <w:tcW w:type="dxa" w:w="4620"/>
            <w:shd w:fill="FFFFFF" w:val="clear"/>
            <w:tcMar>
              <w:top w:type="dxa" w:w="60"/>
              <w:left w:type="dxa" w:w="90"/>
              <w:bottom w:type="dxa" w:w="60"/>
              <w:right w:type="dxa" w:w="90"/>
            </w:tcMar>
            <w:vAlign w:val="center"/>
          </w:tcPr>
          <w:p>
            <w:pPr>
              <w:jc w:val="left"/>
            </w:pPr>
            <w:r>
              <w:rPr>
                <w:b w:val="false"/>
                <w:bCs w:val="false"/>
                <w:color w:val="000000"/>
                <w:sz w:val="17"/>
                <w:szCs w:val="17"/>
              </w:rPr>
              <w:t xml:space="preserve">FY27E EPS (Rs)</w:t>
            </w:r>
          </w:p>
        </w:tc>
        <w:tc>
          <w:tcPr>
            <w:tcW w:type="dxa" w:w="56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57.3</w:t>
            </w:r>
          </w:p>
        </w:tc>
      </w:tr>
      <w:tr>
        <w:tc>
          <w:tcPr>
            <w:tcW w:type="dxa" w:w="4620"/>
            <w:shd w:fill="F2F2F2" w:val="clear"/>
            <w:tcMar>
              <w:top w:type="dxa" w:w="60"/>
              <w:left w:type="dxa" w:w="90"/>
              <w:bottom w:type="dxa" w:w="60"/>
              <w:right w:type="dxa" w:w="90"/>
            </w:tcMar>
            <w:vAlign w:val="center"/>
          </w:tcPr>
          <w:p>
            <w:pPr>
              <w:jc w:val="left"/>
            </w:pPr>
            <w:r>
              <w:rPr>
                <w:b w:val="false"/>
                <w:bCs w:val="false"/>
                <w:color w:val="000000"/>
                <w:sz w:val="17"/>
                <w:szCs w:val="17"/>
              </w:rPr>
              <w:t xml:space="preserve">Target forward P/E</w:t>
            </w:r>
          </w:p>
        </w:tc>
        <w:tc>
          <w:tcPr>
            <w:tcW w:type="dxa" w:w="562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15.5x</w:t>
            </w:r>
          </w:p>
        </w:tc>
      </w:tr>
      <w:tr>
        <w:tc>
          <w:tcPr>
            <w:tcW w:type="dxa" w:w="4620"/>
            <w:shd w:fill="FFFFFF" w:val="clear"/>
            <w:tcMar>
              <w:top w:type="dxa" w:w="60"/>
              <w:left w:type="dxa" w:w="90"/>
              <w:bottom w:type="dxa" w:w="60"/>
              <w:right w:type="dxa" w:w="90"/>
            </w:tcMar>
            <w:vAlign w:val="center"/>
          </w:tcPr>
          <w:p>
            <w:pPr>
              <w:jc w:val="left"/>
            </w:pPr>
            <w:r>
              <w:rPr>
                <w:b w:val="false"/>
                <w:bCs w:val="false"/>
                <w:color w:val="000000"/>
                <w:sz w:val="17"/>
                <w:szCs w:val="17"/>
              </w:rPr>
              <w:t xml:space="preserve">Implied value (Rs)</w:t>
            </w:r>
          </w:p>
        </w:tc>
        <w:tc>
          <w:tcPr>
            <w:tcW w:type="dxa" w:w="562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888</w:t>
            </w:r>
          </w:p>
        </w:tc>
      </w:tr>
    </w:tbl>
    <w:p>
      <w:pPr>
        <w:spacing w:after="150"/>
      </w:pPr>
    </w:p>
    <w:p>
      <w:pPr>
        <w:spacing w:after="100" w:before="200"/>
      </w:pPr>
      <w:r>
        <w:rPr>
          <w:b/>
          <w:bCs/>
          <w:color w:val="1F3864"/>
          <w:sz w:val="22"/>
          <w:szCs w:val="22"/>
        </w:rPr>
        <w:t xml:space="preserve">Blended Target Price</w:t>
      </w:r>
    </w:p>
    <w:p>
      <w:pPr>
        <w:spacing w:after="140" w:line="276"/>
        <w:jc w:val="both"/>
      </w:pPr>
      <w:r>
        <w:rPr>
          <w:b w:val="false"/>
          <w:bCs w:val="false"/>
          <w:i w:val="false"/>
          <w:iCs w:val="false"/>
          <w:sz w:val="20"/>
          <w:szCs w:val="20"/>
        </w:rPr>
        <w:t xml:space="preserve">Averaging the two methods (Rs 797 from justified P/B and Rs 888 from forward P/E) gives a blended fair value of approximately Rs 843, which we round to a target price of Rs 850 — implying ~14% upside from the current price of Rs 748 over a 12-month horizon. This compares with professional sell-side SOTP-based targets of Rs 1,025-1,047 published in April 2026 (Arihant Capital, BOB Capital Markets); those targets pre-date the Q1 FY27 results (reported July 2026) that revealed the record-low NIM print, and the stock has since de-rated from ~Rs 800 to ~Rs 748 — consistent with the market pricing in more caution on margins than these earlier targets assumed.</w:t>
      </w:r>
    </w:p>
    <w:p>
      <w:pPr>
        <w:pStyle w:val="Heading1"/>
        <w:pBdr>
          <w:bottom w:val="single" w:color="1F3864" w:sz="4" w:space="4"/>
        </w:pBdr>
        <w:spacing w:after="150" w:before="300"/>
      </w:pPr>
      <w:r>
        <w:rPr>
          <w:b/>
          <w:bCs/>
          <w:color w:val="1F3864"/>
          <w:sz w:val="26"/>
          <w:szCs w:val="26"/>
        </w:rPr>
        <w:t xml:space="preserve">Bull / Base / Bear Case</w:t>
      </w:r>
    </w:p>
    <w:p>
      <w:pPr>
        <w:spacing w:after="140" w:line="276"/>
        <w:jc w:val="both"/>
      </w:pPr>
      <w:r>
        <w:rPr>
          <w:b w:val="false"/>
          <w:bCs w:val="false"/>
          <w:i w:val="false"/>
          <w:iCs w:val="false"/>
          <w:sz w:val="20"/>
          <w:szCs w:val="20"/>
        </w:rPr>
        <w:t xml:space="preserve">To show how sensitive the valuation is to the central uncertainty in this thesis — how much of the recent ROE compression proves temporary versus structural — we hold cost of equity (13.0%) and long-term growth (11.0%) fixed and vary only the sustainable ROE input in the justified P/B formula from the Valuation section above. This isolates a single, clearly explainable driver rather than layering multiple changing assumptions at once.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0"/>
        <w:gridCol w:w="3830"/>
        <w:gridCol w:w="1370"/>
        <w:gridCol w:w="1270"/>
        <w:gridCol w:w="1385"/>
        <w:gridCol w:w="1385"/>
      </w:tblGrid>
      <w:tr>
        <w:trPr>
          <w:tblHeader/>
        </w:trPr>
        <w:tc>
          <w:tcPr>
            <w:tcW w:type="dxa" w:w="1000"/>
            <w:shd w:fill="1F3864" w:val="clear"/>
            <w:tcMar>
              <w:top w:type="dxa" w:w="60"/>
              <w:left w:type="dxa" w:w="90"/>
              <w:bottom w:type="dxa" w:w="60"/>
              <w:right w:type="dxa" w:w="90"/>
            </w:tcMar>
            <w:vAlign w:val="center"/>
          </w:tcPr>
          <w:p>
            <w:pPr>
              <w:jc w:val="center"/>
            </w:pPr>
            <w:r>
              <w:rPr>
                <w:b/>
                <w:bCs/>
                <w:color w:val="FFFFFF"/>
                <w:sz w:val="16"/>
                <w:szCs w:val="16"/>
              </w:rPr>
              <w:t xml:space="preserve">Scenario</w:t>
            </w:r>
          </w:p>
        </w:tc>
        <w:tc>
          <w:tcPr>
            <w:tcW w:type="dxa" w:w="3830"/>
            <w:shd w:fill="1F3864" w:val="clear"/>
            <w:tcMar>
              <w:top w:type="dxa" w:w="60"/>
              <w:left w:type="dxa" w:w="90"/>
              <w:bottom w:type="dxa" w:w="60"/>
              <w:right w:type="dxa" w:w="90"/>
            </w:tcMar>
            <w:vAlign w:val="center"/>
          </w:tcPr>
          <w:p>
            <w:pPr>
              <w:jc w:val="center"/>
            </w:pPr>
            <w:r>
              <w:rPr>
                <w:b/>
                <w:bCs/>
                <w:color w:val="FFFFFF"/>
                <w:sz w:val="16"/>
                <w:szCs w:val="16"/>
              </w:rPr>
              <w:t xml:space="preserve">Key Assumption</w:t>
            </w:r>
          </w:p>
        </w:tc>
        <w:tc>
          <w:tcPr>
            <w:tcW w:type="dxa" w:w="1370"/>
            <w:shd w:fill="1F3864" w:val="clear"/>
            <w:tcMar>
              <w:top w:type="dxa" w:w="60"/>
              <w:left w:type="dxa" w:w="90"/>
              <w:bottom w:type="dxa" w:w="60"/>
              <w:right w:type="dxa" w:w="90"/>
            </w:tcMar>
            <w:vAlign w:val="center"/>
          </w:tcPr>
          <w:p>
            <w:pPr>
              <w:jc w:val="center"/>
            </w:pPr>
            <w:r>
              <w:rPr>
                <w:b/>
                <w:bCs/>
                <w:color w:val="FFFFFF"/>
                <w:sz w:val="16"/>
                <w:szCs w:val="16"/>
              </w:rPr>
              <w:t xml:space="preserve">Sustainable ROE</w:t>
            </w:r>
          </w:p>
        </w:tc>
        <w:tc>
          <w:tcPr>
            <w:tcW w:type="dxa" w:w="1270"/>
            <w:shd w:fill="1F3864" w:val="clear"/>
            <w:tcMar>
              <w:top w:type="dxa" w:w="60"/>
              <w:left w:type="dxa" w:w="90"/>
              <w:bottom w:type="dxa" w:w="60"/>
              <w:right w:type="dxa" w:w="90"/>
            </w:tcMar>
            <w:vAlign w:val="center"/>
          </w:tcPr>
          <w:p>
            <w:pPr>
              <w:jc w:val="center"/>
            </w:pPr>
            <w:r>
              <w:rPr>
                <w:b/>
                <w:bCs/>
                <w:color w:val="FFFFFF"/>
                <w:sz w:val="16"/>
                <w:szCs w:val="16"/>
              </w:rPr>
              <w:t xml:space="preserve">Justified P/B</w:t>
            </w:r>
          </w:p>
        </w:tc>
        <w:tc>
          <w:tcPr>
            <w:tcW w:type="dxa" w:w="1385"/>
            <w:shd w:fill="1F3864" w:val="clear"/>
            <w:tcMar>
              <w:top w:type="dxa" w:w="60"/>
              <w:left w:type="dxa" w:w="90"/>
              <w:bottom w:type="dxa" w:w="60"/>
              <w:right w:type="dxa" w:w="90"/>
            </w:tcMar>
            <w:vAlign w:val="center"/>
          </w:tcPr>
          <w:p>
            <w:pPr>
              <w:jc w:val="center"/>
            </w:pPr>
            <w:r>
              <w:rPr>
                <w:b/>
                <w:bCs/>
                <w:color w:val="FFFFFF"/>
                <w:sz w:val="16"/>
                <w:szCs w:val="16"/>
              </w:rPr>
              <w:t xml:space="preserve">Implied Value (Rs)</w:t>
            </w:r>
          </w:p>
        </w:tc>
        <w:tc>
          <w:tcPr>
            <w:tcW w:type="dxa" w:w="1385"/>
            <w:shd w:fill="1F3864" w:val="clear"/>
            <w:tcMar>
              <w:top w:type="dxa" w:w="60"/>
              <w:left w:type="dxa" w:w="90"/>
              <w:bottom w:type="dxa" w:w="60"/>
              <w:right w:type="dxa" w:w="90"/>
            </w:tcMar>
            <w:vAlign w:val="center"/>
          </w:tcPr>
          <w:p>
            <w:pPr>
              <w:jc w:val="center"/>
            </w:pPr>
            <w:r>
              <w:rPr>
                <w:b/>
                <w:bCs/>
                <w:color w:val="FFFFFF"/>
                <w:sz w:val="16"/>
                <w:szCs w:val="16"/>
              </w:rPr>
              <w:t xml:space="preserve">vs. CMP of Rs 748</w:t>
            </w:r>
          </w:p>
        </w:tc>
      </w:tr>
      <w:tr>
        <w:tc>
          <w:tcPr>
            <w:tcW w:type="dxa" w:w="1000"/>
            <w:shd w:fill="FFFFFF" w:val="clear"/>
            <w:tcMar>
              <w:top w:type="dxa" w:w="60"/>
              <w:left w:type="dxa" w:w="90"/>
              <w:bottom w:type="dxa" w:w="60"/>
              <w:right w:type="dxa" w:w="90"/>
            </w:tcMar>
            <w:vAlign w:val="center"/>
          </w:tcPr>
          <w:p>
            <w:pPr>
              <w:jc w:val="left"/>
            </w:pPr>
            <w:r>
              <w:rPr>
                <w:b w:val="false"/>
                <w:bCs w:val="false"/>
                <w:color w:val="000000"/>
                <w:sz w:val="17"/>
                <w:szCs w:val="17"/>
              </w:rPr>
              <w:t xml:space="preserve">Bear</w:t>
            </w:r>
          </w:p>
        </w:tc>
        <w:tc>
          <w:tcPr>
            <w:tcW w:type="dxa" w:w="383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NIM stays near the Q1 FY27 low of 3.26%; credit costs normalise upward as the unsecured retail cycle turns</w:t>
            </w:r>
          </w:p>
        </w:tc>
        <w:tc>
          <w:tcPr>
            <w:tcW w:type="dxa" w:w="137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13.5%</w:t>
            </w:r>
          </w:p>
        </w:tc>
        <w:tc>
          <w:tcPr>
            <w:tcW w:type="dxa" w:w="127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1.25x</w:t>
            </w:r>
          </w:p>
        </w:tc>
        <w:tc>
          <w:tcPr>
            <w:tcW w:type="dxa" w:w="1385"/>
            <w:shd w:fill="FFFFFF" w:val="clear"/>
            <w:tcMar>
              <w:top w:type="dxa" w:w="60"/>
              <w:left w:type="dxa" w:w="90"/>
              <w:bottom w:type="dxa" w:w="60"/>
              <w:right w:type="dxa" w:w="90"/>
            </w:tcMar>
            <w:vAlign w:val="center"/>
          </w:tcPr>
          <w:p>
            <w:pPr>
              <w:jc w:val="center"/>
            </w:pPr>
            <w:r>
              <w:rPr>
                <w:b w:val="false"/>
                <w:bCs w:val="false"/>
                <w:color w:val="000000"/>
                <w:sz w:val="17"/>
                <w:szCs w:val="17"/>
              </w:rPr>
              <w:t xml:space="preserve">443</w:t>
            </w:r>
          </w:p>
        </w:tc>
        <w:tc>
          <w:tcPr>
            <w:tcW w:type="dxa" w:w="1385"/>
            <w:shd w:fill="FFFFFF" w:val="clear"/>
            <w:tcMar>
              <w:top w:type="dxa" w:w="60"/>
              <w:left w:type="dxa" w:w="90"/>
              <w:bottom w:type="dxa" w:w="60"/>
              <w:right w:type="dxa" w:w="90"/>
            </w:tcMar>
            <w:vAlign w:val="center"/>
          </w:tcPr>
          <w:p>
            <w:pPr>
              <w:jc w:val="center"/>
            </w:pPr>
            <w:r>
              <w:rPr>
                <w:b w:val="false"/>
                <w:bCs w:val="false"/>
                <w:color w:val="000000"/>
                <w:sz w:val="17"/>
                <w:szCs w:val="17"/>
              </w:rPr>
              <w:t xml:space="preserve">-41%</w:t>
            </w:r>
          </w:p>
        </w:tc>
      </w:tr>
      <w:tr>
        <w:tc>
          <w:tcPr>
            <w:tcW w:type="dxa" w:w="1000"/>
            <w:shd w:fill="F2F2F2" w:val="clear"/>
            <w:tcMar>
              <w:top w:type="dxa" w:w="60"/>
              <w:left w:type="dxa" w:w="90"/>
              <w:bottom w:type="dxa" w:w="60"/>
              <w:right w:type="dxa" w:w="90"/>
            </w:tcMar>
            <w:vAlign w:val="center"/>
          </w:tcPr>
          <w:p>
            <w:pPr>
              <w:jc w:val="left"/>
            </w:pPr>
            <w:r>
              <w:rPr>
                <w:b w:val="false"/>
                <w:bCs w:val="false"/>
                <w:color w:val="000000"/>
                <w:sz w:val="17"/>
                <w:szCs w:val="17"/>
              </w:rPr>
              <w:t xml:space="preserve">Base</w:t>
            </w:r>
          </w:p>
        </w:tc>
        <w:tc>
          <w:tcPr>
            <w:tcW w:type="dxa" w:w="383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Gradual NIM recovery as CASA stabilises; credit costs stay benign (our central case)</w:t>
            </w:r>
          </w:p>
        </w:tc>
        <w:tc>
          <w:tcPr>
            <w:tcW w:type="dxa" w:w="137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15.5%</w:t>
            </w:r>
          </w:p>
        </w:tc>
        <w:tc>
          <w:tcPr>
            <w:tcW w:type="dxa" w:w="127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2.25x</w:t>
            </w:r>
          </w:p>
        </w:tc>
        <w:tc>
          <w:tcPr>
            <w:tcW w:type="dxa" w:w="1385"/>
            <w:shd w:fill="F2F2F2" w:val="clear"/>
            <w:tcMar>
              <w:top w:type="dxa" w:w="60"/>
              <w:left w:type="dxa" w:w="90"/>
              <w:bottom w:type="dxa" w:w="60"/>
              <w:right w:type="dxa" w:w="90"/>
            </w:tcMar>
            <w:vAlign w:val="center"/>
          </w:tcPr>
          <w:p>
            <w:pPr>
              <w:jc w:val="center"/>
            </w:pPr>
            <w:r>
              <w:rPr>
                <w:b w:val="false"/>
                <w:bCs w:val="false"/>
                <w:color w:val="000000"/>
                <w:sz w:val="17"/>
                <w:szCs w:val="17"/>
              </w:rPr>
              <w:t xml:space="preserve">797</w:t>
            </w:r>
          </w:p>
        </w:tc>
        <w:tc>
          <w:tcPr>
            <w:tcW w:type="dxa" w:w="1385"/>
            <w:shd w:fill="F2F2F2" w:val="clear"/>
            <w:tcMar>
              <w:top w:type="dxa" w:w="60"/>
              <w:left w:type="dxa" w:w="90"/>
              <w:bottom w:type="dxa" w:w="60"/>
              <w:right w:type="dxa" w:w="90"/>
            </w:tcMar>
            <w:vAlign w:val="center"/>
          </w:tcPr>
          <w:p>
            <w:pPr>
              <w:jc w:val="center"/>
            </w:pPr>
            <w:r>
              <w:rPr>
                <w:b w:val="false"/>
                <w:bCs w:val="false"/>
                <w:color w:val="000000"/>
                <w:sz w:val="17"/>
                <w:szCs w:val="17"/>
              </w:rPr>
              <w:t xml:space="preserve">+7%</w:t>
            </w:r>
          </w:p>
        </w:tc>
      </w:tr>
      <w:tr>
        <w:tc>
          <w:tcPr>
            <w:tcW w:type="dxa" w:w="1000"/>
            <w:shd w:fill="FFFFFF" w:val="clear"/>
            <w:tcMar>
              <w:top w:type="dxa" w:w="60"/>
              <w:left w:type="dxa" w:w="90"/>
              <w:bottom w:type="dxa" w:w="60"/>
              <w:right w:type="dxa" w:w="90"/>
            </w:tcMar>
            <w:vAlign w:val="center"/>
          </w:tcPr>
          <w:p>
            <w:pPr>
              <w:jc w:val="left"/>
            </w:pPr>
            <w:r>
              <w:rPr>
                <w:b w:val="false"/>
                <w:bCs w:val="false"/>
                <w:color w:val="000000"/>
                <w:sz w:val="17"/>
                <w:szCs w:val="17"/>
              </w:rPr>
              <w:t xml:space="preserve">Bull</w:t>
            </w:r>
          </w:p>
        </w:tc>
        <w:tc>
          <w:tcPr>
            <w:tcW w:type="dxa" w:w="383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Faster CASA/NIM recovery, sustained loan growth, and full realisation of merger cost synergies</w:t>
            </w:r>
          </w:p>
        </w:tc>
        <w:tc>
          <w:tcPr>
            <w:tcW w:type="dxa" w:w="137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17.5%</w:t>
            </w:r>
          </w:p>
        </w:tc>
        <w:tc>
          <w:tcPr>
            <w:tcW w:type="dxa" w:w="127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3.25x</w:t>
            </w:r>
          </w:p>
        </w:tc>
        <w:tc>
          <w:tcPr>
            <w:tcW w:type="dxa" w:w="1385"/>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1,151</w:t>
            </w:r>
          </w:p>
        </w:tc>
        <w:tc>
          <w:tcPr>
            <w:tcW w:type="dxa" w:w="1385"/>
            <w:shd w:fill="FFFFFF" w:val="clear"/>
            <w:tcMar>
              <w:top w:type="dxa" w:w="60"/>
              <w:left w:type="dxa" w:w="90"/>
              <w:bottom w:type="dxa" w:w="60"/>
              <w:right w:type="dxa" w:w="90"/>
            </w:tcMar>
            <w:vAlign w:val="center"/>
          </w:tcPr>
          <w:p>
            <w:pPr>
              <w:jc w:val="center"/>
            </w:pPr>
            <w:r>
              <w:rPr>
                <w:b w:val="false"/>
                <w:bCs w:val="false"/>
                <w:color w:val="000000"/>
                <w:sz w:val="17"/>
                <w:szCs w:val="17"/>
              </w:rPr>
              <w:t xml:space="preserve">+54%</w:t>
            </w:r>
          </w:p>
        </w:tc>
      </w:tr>
    </w:tbl>
    <w:p>
      <w:pPr>
        <w:spacing w:after="120"/>
      </w:pPr>
    </w:p>
    <w:p>
      <w:pPr>
        <w:spacing w:after="140" w:line="276"/>
        <w:jc w:val="both"/>
      </w:pPr>
      <w:r>
        <w:rPr>
          <w:b w:val="false"/>
          <w:bCs w:val="false"/>
          <w:i w:val="false"/>
          <w:iCs w:val="false"/>
          <w:sz w:val="20"/>
          <w:szCs w:val="20"/>
        </w:rPr>
        <w:t xml:space="preserve">Two things are worth flagging honestly. First, the Base case P/B-only value (Rs 797) is a little below our blended target price of Rs 850 because the blended target also incorporates the P/E cross-check — this scenario table isolates the P/B method alone for clarity, at the cost of that extra precision. Second, the Bull case value (Rs 1,151) lands close to the pre-Q1 FY27 sell-side targets of Rs 1,025-1,047 cited earlier, which is a reassuring internal consistency check: those targets were essentially pricing in something close to our Bull scenario before the June-quarter NIM miss made the market (and us) more cautious.</w:t>
      </w:r>
    </w:p>
    <w:p>
      <w:pPr>
        <w:pStyle w:val="Heading1"/>
        <w:pBdr>
          <w:bottom w:val="single" w:color="1F3864" w:sz="4" w:space="4"/>
        </w:pBdr>
        <w:spacing w:after="150" w:before="300"/>
      </w:pPr>
      <w:r>
        <w:rPr>
          <w:b/>
          <w:bCs/>
          <w:color w:val="1F3864"/>
          <w:sz w:val="26"/>
          <w:szCs w:val="26"/>
        </w:rPr>
        <w:t xml:space="preserve">Catalysts</w:t>
      </w:r>
    </w:p>
    <w:p>
      <w:pPr>
        <w:pStyle w:val="ListParagraph"/>
        <w:numPr>
          <w:ilvl w:val="0"/>
          <w:numId w:val="1"/>
        </w:numPr>
        <w:spacing w:after="80" w:line="276"/>
      </w:pPr>
      <w:r>
        <w:rPr>
          <w:sz w:val="20"/>
          <w:szCs w:val="20"/>
        </w:rPr>
        <w:t xml:space="preserve">Q2 FY27 results (expected ~October 2026): the next data point on whether NIM stabilises near 3.26% or continues to compress — likely the single most important near-term catalyst, in either direction.</w:t>
      </w:r>
    </w:p>
    <w:p>
      <w:pPr>
        <w:pStyle w:val="ListParagraph"/>
        <w:numPr>
          <w:ilvl w:val="0"/>
          <w:numId w:val="1"/>
        </w:numPr>
        <w:spacing w:after="80" w:line="276"/>
      </w:pPr>
      <w:r>
        <w:rPr>
          <w:sz w:val="20"/>
          <w:szCs w:val="20"/>
        </w:rPr>
        <w:t xml:space="preserve">RBI monetary policy decisions: further repo rate cuts would lower the bank's cost of funds and could support margin stabilisation.</w:t>
      </w:r>
    </w:p>
    <w:p>
      <w:pPr>
        <w:pStyle w:val="ListParagraph"/>
        <w:numPr>
          <w:ilvl w:val="0"/>
          <w:numId w:val="1"/>
        </w:numPr>
        <w:spacing w:after="80" w:line="276"/>
      </w:pPr>
      <w:r>
        <w:rPr>
          <w:sz w:val="20"/>
          <w:szCs w:val="20"/>
        </w:rPr>
        <w:t xml:space="preserve">CASA ratio trend: any quarter showing the CASA ratio flattening or improving (rather than continuing its multi-year decline) would likely be read very positively by the market.</w:t>
      </w:r>
    </w:p>
    <w:p>
      <w:pPr>
        <w:pStyle w:val="ListParagraph"/>
        <w:numPr>
          <w:ilvl w:val="0"/>
          <w:numId w:val="1"/>
        </w:numPr>
        <w:spacing w:after="80" w:line="276"/>
      </w:pPr>
      <w:r>
        <w:rPr>
          <w:sz w:val="20"/>
          <w:szCs w:val="20"/>
        </w:rPr>
        <w:t xml:space="preserve">HDB Financial Services (listed subsidiary): further value-unlocking events or stake actions in the bank's NBFC subsidiary could be a sentiment catalyst, as seen with its FY26 IPO.</w:t>
      </w:r>
    </w:p>
    <w:p>
      <w:pPr>
        <w:pStyle w:val="ListParagraph"/>
        <w:numPr>
          <w:ilvl w:val="0"/>
          <w:numId w:val="1"/>
        </w:numPr>
        <w:spacing w:after="80" w:line="276"/>
      </w:pPr>
      <w:r>
        <w:rPr>
          <w:sz w:val="20"/>
          <w:szCs w:val="20"/>
        </w:rPr>
        <w:t xml:space="preserve">Progress toward the FY29E ROA/ROE targets: incremental disclosure or analyst commentary on the path to management's medium-term aspiration could drive re-rating ahead of the target date itself.</w:t>
      </w:r>
    </w:p>
    <w:p>
      <w:pPr>
        <w:pStyle w:val="Heading1"/>
        <w:pBdr>
          <w:bottom w:val="single" w:color="1F3864" w:sz="4" w:space="4"/>
        </w:pBdr>
        <w:spacing w:after="150" w:before="300"/>
      </w:pPr>
      <w:r>
        <w:rPr>
          <w:b/>
          <w:bCs/>
          <w:color w:val="1F3864"/>
          <w:sz w:val="26"/>
          <w:szCs w:val="26"/>
        </w:rPr>
        <w:t xml:space="preserve">Key Risks</w:t>
      </w:r>
    </w:p>
    <w:p>
      <w:pPr>
        <w:pStyle w:val="ListParagraph"/>
        <w:numPr>
          <w:ilvl w:val="0"/>
          <w:numId w:val="1"/>
        </w:numPr>
        <w:spacing w:after="80" w:line="276"/>
      </w:pPr>
      <w:r>
        <w:rPr>
          <w:sz w:val="20"/>
          <w:szCs w:val="20"/>
        </w:rPr>
        <w:t xml:space="preserve">Margin compression risk: continued CASA erosion or a slower-than-expected recovery in deposit mix could keep NIM under pressure for longer than assumed, delaying the ROE recovery central to our thesis.</w:t>
      </w:r>
    </w:p>
    <w:p>
      <w:pPr>
        <w:pStyle w:val="ListParagraph"/>
        <w:numPr>
          <w:ilvl w:val="0"/>
          <w:numId w:val="1"/>
        </w:numPr>
        <w:spacing w:after="80" w:line="276"/>
      </w:pPr>
      <w:r>
        <w:rPr>
          <w:sz w:val="20"/>
          <w:szCs w:val="20"/>
        </w:rPr>
        <w:t xml:space="preserve">Asset quality risk: a sharper-than-expected slowdown in unsecured retail credit (personal loans, credit cards) sector-wide could pressure provisions, even though HDFC Bank's own book quality remains strong today.</w:t>
      </w:r>
    </w:p>
    <w:p>
      <w:pPr>
        <w:pStyle w:val="ListParagraph"/>
        <w:numPr>
          <w:ilvl w:val="0"/>
          <w:numId w:val="1"/>
        </w:numPr>
        <w:spacing w:after="80" w:line="276"/>
      </w:pPr>
      <w:r>
        <w:rPr>
          <w:sz w:val="20"/>
          <w:szCs w:val="20"/>
        </w:rPr>
        <w:t xml:space="preserve">Regulatory risk: changes to RBI norms on infrastructure provisioning, liquidity coverage ratio calculations, or priority-sector lending requirements could affect profitability or capital deployment.</w:t>
      </w:r>
    </w:p>
    <w:p>
      <w:pPr>
        <w:pStyle w:val="ListParagraph"/>
        <w:numPr>
          <w:ilvl w:val="0"/>
          <w:numId w:val="1"/>
        </w:numPr>
        <w:spacing w:after="80" w:line="276"/>
      </w:pPr>
      <w:r>
        <w:rPr>
          <w:sz w:val="20"/>
          <w:szCs w:val="20"/>
        </w:rPr>
        <w:t xml:space="preserve">Merger execution risk: full realisation of cost and cross-sell synergies from the HDFC Ltd merger is not yet complete; delays could keep ROE below the FY29E target trajectory.</w:t>
      </w:r>
    </w:p>
    <w:p>
      <w:pPr>
        <w:pStyle w:val="ListParagraph"/>
        <w:numPr>
          <w:ilvl w:val="0"/>
          <w:numId w:val="1"/>
        </w:numPr>
        <w:spacing w:after="80" w:line="276"/>
      </w:pPr>
      <w:r>
        <w:rPr>
          <w:sz w:val="20"/>
          <w:szCs w:val="20"/>
        </w:rPr>
        <w:t xml:space="preserve">Macro risk: a sharper-than-expected slowdown in Indian GDP growth or a delayed rate-cutting cycle by the RBI could weigh on system-wide credit growth.</w:t>
      </w:r>
    </w:p>
    <w:p>
      <w:pPr>
        <w:pStyle w:val="Heading1"/>
        <w:pBdr>
          <w:bottom w:val="single" w:color="1F3864" w:sz="4" w:space="4"/>
        </w:pBdr>
        <w:spacing w:after="150" w:before="300"/>
      </w:pPr>
      <w:r>
        <w:rPr>
          <w:b/>
          <w:bCs/>
          <w:color w:val="1F3864"/>
          <w:sz w:val="26"/>
          <w:szCs w:val="26"/>
        </w:rPr>
        <w:t xml:space="preserve">Final Recommendation</w:t>
      </w:r>
    </w:p>
    <w:p>
      <w:pPr>
        <w:spacing w:after="140" w:line="276"/>
        <w:jc w:val="both"/>
      </w:pPr>
      <w:r>
        <w:rPr>
          <w:b w:val="false"/>
          <w:bCs w:val="false"/>
          <w:i w:val="false"/>
          <w:iCs w:val="false"/>
          <w:sz w:val="20"/>
          <w:szCs w:val="20"/>
        </w:rPr>
        <w:t xml:space="preserve">We recommend a BUY on HDFC Bank Limited with a 12-month target price of Rs 850 (~14% upside from Rs 748), positioned closer to our Base case than our Bull case. The core of the thesis is straightforward: HDFC Bank's scale, deposit franchise, and asset quality remain intact and best-in-class, and the current de-rating is concentrated almost entirely in one explainable, monitorable variable — net interest margin — rather than in credit quality, capital adequacy, or franchise strength. At ~1.9x FY26A adjusted book value, the stock already reflects meaningful caution on the margin outlook, which limits further downside even in a scenario where NIM does not recover quickly, while leaving reasonable upside if CASA stabilisation and merger synergies play out as management expects. The clearest near-term test of this thesis is the Q2 FY27 result: a stabilising or improving NIM print would be the strongest confirming signal, while a further sequential decline would warrant revisiting the Base case assumptions in this report.</w:t>
      </w:r>
    </w:p>
    <w:p>
      <w:pPr>
        <w:pStyle w:val="Heading1"/>
        <w:pBdr>
          <w:bottom w:val="single" w:color="1F3864" w:sz="4" w:space="4"/>
        </w:pBdr>
        <w:spacing w:after="150" w:before="300"/>
      </w:pPr>
      <w:r>
        <w:rPr>
          <w:b/>
          <w:bCs/>
          <w:color w:val="1F3864"/>
          <w:sz w:val="26"/>
          <w:szCs w:val="26"/>
        </w:rPr>
        <w:t xml:space="preserve">Financial Summary</w:t>
      </w:r>
    </w:p>
    <w:p>
      <w:pPr>
        <w:spacing w:after="140" w:line="276"/>
        <w:jc w:val="both"/>
      </w:pPr>
      <w:r>
        <w:rPr>
          <w:b w:val="false"/>
          <w:bCs w:val="false"/>
          <w:i w:val="false"/>
          <w:iCs w:val="false"/>
          <w:sz w:val="20"/>
          <w:szCs w:val="20"/>
        </w:rPr>
        <w:t xml:space="preserve">Figures in Rs crore unless stated. FY23A-FY26A are reported actuals; FY27E-FY28E are consensus/analyst estimates (Arihant Capital, BOB Capital Markets).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00"/>
        <w:gridCol w:w="1240"/>
        <w:gridCol w:w="1240"/>
        <w:gridCol w:w="1240"/>
        <w:gridCol w:w="1240"/>
        <w:gridCol w:w="1240"/>
        <w:gridCol w:w="1240"/>
      </w:tblGrid>
      <w:tr>
        <w:trPr>
          <w:tblHeader/>
        </w:trPr>
        <w:tc>
          <w:tcPr>
            <w:tcW w:type="dxa" w:w="2800"/>
            <w:shd w:fill="1F3864" w:val="clear"/>
            <w:tcMar>
              <w:top w:type="dxa" w:w="60"/>
              <w:left w:type="dxa" w:w="90"/>
              <w:bottom w:type="dxa" w:w="60"/>
              <w:right w:type="dxa" w:w="90"/>
            </w:tcMar>
            <w:vAlign w:val="center"/>
          </w:tcPr>
          <w:p>
            <w:pPr>
              <w:jc w:val="center"/>
            </w:pPr>
            <w:r>
              <w:rPr>
                <w:b/>
                <w:bCs/>
                <w:color w:val="FFFFFF"/>
                <w:sz w:val="16"/>
                <w:szCs w:val="16"/>
              </w:rPr>
              <w:t xml:space="preserve">Y/E Mar</w:t>
            </w:r>
          </w:p>
        </w:tc>
        <w:tc>
          <w:tcPr>
            <w:tcW w:type="dxa" w:w="1240"/>
            <w:shd w:fill="1F3864" w:val="clear"/>
            <w:tcMar>
              <w:top w:type="dxa" w:w="60"/>
              <w:left w:type="dxa" w:w="90"/>
              <w:bottom w:type="dxa" w:w="60"/>
              <w:right w:type="dxa" w:w="90"/>
            </w:tcMar>
            <w:vAlign w:val="center"/>
          </w:tcPr>
          <w:p>
            <w:pPr>
              <w:jc w:val="center"/>
            </w:pPr>
            <w:r>
              <w:rPr>
                <w:b/>
                <w:bCs/>
                <w:color w:val="FFFFFF"/>
                <w:sz w:val="16"/>
                <w:szCs w:val="16"/>
              </w:rPr>
              <w:t xml:space="preserve">FY23A</w:t>
            </w:r>
          </w:p>
        </w:tc>
        <w:tc>
          <w:tcPr>
            <w:tcW w:type="dxa" w:w="1240"/>
            <w:shd w:fill="1F3864" w:val="clear"/>
            <w:tcMar>
              <w:top w:type="dxa" w:w="60"/>
              <w:left w:type="dxa" w:w="90"/>
              <w:bottom w:type="dxa" w:w="60"/>
              <w:right w:type="dxa" w:w="90"/>
            </w:tcMar>
            <w:vAlign w:val="center"/>
          </w:tcPr>
          <w:p>
            <w:pPr>
              <w:jc w:val="center"/>
            </w:pPr>
            <w:r>
              <w:rPr>
                <w:b/>
                <w:bCs/>
                <w:color w:val="FFFFFF"/>
                <w:sz w:val="16"/>
                <w:szCs w:val="16"/>
              </w:rPr>
              <w:t xml:space="preserve">FY24A</w:t>
            </w:r>
          </w:p>
        </w:tc>
        <w:tc>
          <w:tcPr>
            <w:tcW w:type="dxa" w:w="1240"/>
            <w:shd w:fill="1F3864" w:val="clear"/>
            <w:tcMar>
              <w:top w:type="dxa" w:w="60"/>
              <w:left w:type="dxa" w:w="90"/>
              <w:bottom w:type="dxa" w:w="60"/>
              <w:right w:type="dxa" w:w="90"/>
            </w:tcMar>
            <w:vAlign w:val="center"/>
          </w:tcPr>
          <w:p>
            <w:pPr>
              <w:jc w:val="center"/>
            </w:pPr>
            <w:r>
              <w:rPr>
                <w:b/>
                <w:bCs/>
                <w:color w:val="FFFFFF"/>
                <w:sz w:val="16"/>
                <w:szCs w:val="16"/>
              </w:rPr>
              <w:t xml:space="preserve">FY25A</w:t>
            </w:r>
          </w:p>
        </w:tc>
        <w:tc>
          <w:tcPr>
            <w:tcW w:type="dxa" w:w="1240"/>
            <w:shd w:fill="1F3864" w:val="clear"/>
            <w:tcMar>
              <w:top w:type="dxa" w:w="60"/>
              <w:left w:type="dxa" w:w="90"/>
              <w:bottom w:type="dxa" w:w="60"/>
              <w:right w:type="dxa" w:w="90"/>
            </w:tcMar>
            <w:vAlign w:val="center"/>
          </w:tcPr>
          <w:p>
            <w:pPr>
              <w:jc w:val="center"/>
            </w:pPr>
            <w:r>
              <w:rPr>
                <w:b/>
                <w:bCs/>
                <w:color w:val="FFFFFF"/>
                <w:sz w:val="16"/>
                <w:szCs w:val="16"/>
              </w:rPr>
              <w:t xml:space="preserve">FY26A</w:t>
            </w:r>
          </w:p>
        </w:tc>
        <w:tc>
          <w:tcPr>
            <w:tcW w:type="dxa" w:w="1240"/>
            <w:shd w:fill="1F3864" w:val="clear"/>
            <w:tcMar>
              <w:top w:type="dxa" w:w="60"/>
              <w:left w:type="dxa" w:w="90"/>
              <w:bottom w:type="dxa" w:w="60"/>
              <w:right w:type="dxa" w:w="90"/>
            </w:tcMar>
            <w:vAlign w:val="center"/>
          </w:tcPr>
          <w:p>
            <w:pPr>
              <w:jc w:val="center"/>
            </w:pPr>
            <w:r>
              <w:rPr>
                <w:b/>
                <w:bCs/>
                <w:color w:val="FFFFFF"/>
                <w:sz w:val="16"/>
                <w:szCs w:val="16"/>
              </w:rPr>
              <w:t xml:space="preserve">FY27E</w:t>
            </w:r>
          </w:p>
        </w:tc>
        <w:tc>
          <w:tcPr>
            <w:tcW w:type="dxa" w:w="1240"/>
            <w:shd w:fill="1F3864" w:val="clear"/>
            <w:tcMar>
              <w:top w:type="dxa" w:w="60"/>
              <w:left w:type="dxa" w:w="90"/>
              <w:bottom w:type="dxa" w:w="60"/>
              <w:right w:type="dxa" w:w="90"/>
            </w:tcMar>
            <w:vAlign w:val="center"/>
          </w:tcPr>
          <w:p>
            <w:pPr>
              <w:jc w:val="center"/>
            </w:pPr>
            <w:r>
              <w:rPr>
                <w:b/>
                <w:bCs/>
                <w:color w:val="FFFFFF"/>
                <w:sz w:val="16"/>
                <w:szCs w:val="16"/>
              </w:rPr>
              <w:t xml:space="preserve">FY28E</w:t>
            </w:r>
          </w:p>
        </w:tc>
      </w:tr>
      <w:tr>
        <w:tc>
          <w:tcPr>
            <w:tcW w:type="dxa" w:w="2800"/>
            <w:shd w:fill="FFFFFF" w:val="clear"/>
            <w:tcMar>
              <w:top w:type="dxa" w:w="60"/>
              <w:left w:type="dxa" w:w="90"/>
              <w:bottom w:type="dxa" w:w="60"/>
              <w:right w:type="dxa" w:w="90"/>
            </w:tcMar>
            <w:vAlign w:val="center"/>
          </w:tcPr>
          <w:p>
            <w:pPr>
              <w:jc w:val="left"/>
            </w:pPr>
            <w:r>
              <w:rPr>
                <w:b w:val="false"/>
                <w:bCs w:val="false"/>
                <w:color w:val="000000"/>
                <w:sz w:val="17"/>
                <w:szCs w:val="17"/>
              </w:rPr>
              <w:t xml:space="preserve">Net Interest Income</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86,800</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1,08,500</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1,22,700</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1,28,686</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1,53,144</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1,79,202</w:t>
            </w:r>
          </w:p>
        </w:tc>
      </w:tr>
      <w:tr>
        <w:tc>
          <w:tcPr>
            <w:tcW w:type="dxa" w:w="2800"/>
            <w:shd w:fill="F2F2F2" w:val="clear"/>
            <w:tcMar>
              <w:top w:type="dxa" w:w="60"/>
              <w:left w:type="dxa" w:w="90"/>
              <w:bottom w:type="dxa" w:w="60"/>
              <w:right w:type="dxa" w:w="90"/>
            </w:tcMar>
            <w:vAlign w:val="center"/>
          </w:tcPr>
          <w:p>
            <w:pPr>
              <w:jc w:val="left"/>
            </w:pPr>
            <w:r>
              <w:rPr>
                <w:b w:val="false"/>
                <w:bCs w:val="false"/>
                <w:color w:val="000000"/>
                <w:sz w:val="17"/>
                <w:szCs w:val="17"/>
              </w:rPr>
              <w:t xml:space="preserve">Net Profit (PAT)</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44,100</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60,800</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67,300</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74,671</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88,133</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1,01,802</w:t>
            </w:r>
          </w:p>
        </w:tc>
      </w:tr>
      <w:tr>
        <w:tc>
          <w:tcPr>
            <w:tcW w:type="dxa" w:w="2800"/>
            <w:shd w:fill="FFFFFF" w:val="clear"/>
            <w:tcMar>
              <w:top w:type="dxa" w:w="60"/>
              <w:left w:type="dxa" w:w="90"/>
              <w:bottom w:type="dxa" w:w="60"/>
              <w:right w:type="dxa" w:w="90"/>
            </w:tcMar>
            <w:vAlign w:val="center"/>
          </w:tcPr>
          <w:p>
            <w:pPr>
              <w:jc w:val="left"/>
            </w:pPr>
            <w:r>
              <w:rPr>
                <w:b w:val="false"/>
                <w:bCs w:val="false"/>
                <w:color w:val="000000"/>
                <w:sz w:val="17"/>
                <w:szCs w:val="17"/>
              </w:rPr>
              <w:t xml:space="preserve">Net worth</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2,80,200</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4,40,200</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5,01,400</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5,59,100</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6,25,600</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7,02,700</w:t>
            </w:r>
          </w:p>
        </w:tc>
      </w:tr>
      <w:tr>
        <w:tc>
          <w:tcPr>
            <w:tcW w:type="dxa" w:w="2800"/>
            <w:shd w:fill="F2F2F2" w:val="clear"/>
            <w:tcMar>
              <w:top w:type="dxa" w:w="60"/>
              <w:left w:type="dxa" w:w="90"/>
              <w:bottom w:type="dxa" w:w="60"/>
              <w:right w:type="dxa" w:w="90"/>
            </w:tcMar>
            <w:vAlign w:val="center"/>
          </w:tcPr>
          <w:p>
            <w:pPr>
              <w:jc w:val="left"/>
            </w:pPr>
            <w:r>
              <w:rPr>
                <w:b w:val="false"/>
                <w:bCs w:val="false"/>
                <w:color w:val="000000"/>
                <w:sz w:val="17"/>
                <w:szCs w:val="17"/>
              </w:rPr>
              <w:t xml:space="preserve">EPS (Rs)</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39.53</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40.02</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44.01</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48.6</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57.3</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66.1</w:t>
            </w:r>
          </w:p>
        </w:tc>
      </w:tr>
      <w:tr>
        <w:tc>
          <w:tcPr>
            <w:tcW w:type="dxa" w:w="2800"/>
            <w:shd w:fill="FFFFFF" w:val="clear"/>
            <w:tcMar>
              <w:top w:type="dxa" w:w="60"/>
              <w:left w:type="dxa" w:w="90"/>
              <w:bottom w:type="dxa" w:w="60"/>
              <w:right w:type="dxa" w:w="90"/>
            </w:tcMar>
            <w:vAlign w:val="center"/>
          </w:tcPr>
          <w:p>
            <w:pPr>
              <w:jc w:val="left"/>
            </w:pPr>
            <w:r>
              <w:rPr>
                <w:b w:val="false"/>
                <w:bCs w:val="false"/>
                <w:color w:val="000000"/>
                <w:sz w:val="17"/>
                <w:szCs w:val="17"/>
              </w:rPr>
              <w:t xml:space="preserve">Adj. BVPS (Rs)</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247</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284</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320</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354</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401</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451</w:t>
            </w:r>
          </w:p>
        </w:tc>
      </w:tr>
      <w:tr>
        <w:tc>
          <w:tcPr>
            <w:tcW w:type="dxa" w:w="2800"/>
            <w:shd w:fill="F2F2F2" w:val="clear"/>
            <w:tcMar>
              <w:top w:type="dxa" w:w="60"/>
              <w:left w:type="dxa" w:w="90"/>
              <w:bottom w:type="dxa" w:w="60"/>
              <w:right w:type="dxa" w:w="90"/>
            </w:tcMar>
            <w:vAlign w:val="center"/>
          </w:tcPr>
          <w:p>
            <w:pPr>
              <w:jc w:val="left"/>
            </w:pPr>
            <w:r>
              <w:rPr>
                <w:b w:val="false"/>
                <w:bCs w:val="false"/>
                <w:color w:val="000000"/>
                <w:sz w:val="17"/>
                <w:szCs w:val="17"/>
              </w:rPr>
              <w:t xml:space="preserve">ROA (%)</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2.1%</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2.0%</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1.8%</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1.8%</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1.9%</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1.9%</w:t>
            </w:r>
          </w:p>
        </w:tc>
      </w:tr>
      <w:tr>
        <w:tc>
          <w:tcPr>
            <w:tcW w:type="dxa" w:w="2800"/>
            <w:shd w:fill="FFFFFF" w:val="clear"/>
            <w:tcMar>
              <w:top w:type="dxa" w:w="60"/>
              <w:left w:type="dxa" w:w="90"/>
              <w:bottom w:type="dxa" w:w="60"/>
              <w:right w:type="dxa" w:w="90"/>
            </w:tcMar>
            <w:vAlign w:val="center"/>
          </w:tcPr>
          <w:p>
            <w:pPr>
              <w:jc w:val="left"/>
            </w:pPr>
            <w:r>
              <w:rPr>
                <w:b w:val="false"/>
                <w:bCs w:val="false"/>
                <w:color w:val="000000"/>
                <w:sz w:val="17"/>
                <w:szCs w:val="17"/>
              </w:rPr>
              <w:t xml:space="preserve">ROE (%)</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17.0%</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16.9%</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14.3%</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14.0%</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14.8%</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15.3%</w:t>
            </w:r>
          </w:p>
        </w:tc>
      </w:tr>
      <w:tr>
        <w:tc>
          <w:tcPr>
            <w:tcW w:type="dxa" w:w="2800"/>
            <w:shd w:fill="F2F2F2" w:val="clear"/>
            <w:tcMar>
              <w:top w:type="dxa" w:w="60"/>
              <w:left w:type="dxa" w:w="90"/>
              <w:bottom w:type="dxa" w:w="60"/>
              <w:right w:type="dxa" w:w="90"/>
            </w:tcMar>
            <w:vAlign w:val="center"/>
          </w:tcPr>
          <w:p>
            <w:pPr>
              <w:jc w:val="left"/>
            </w:pPr>
            <w:r>
              <w:rPr>
                <w:b w:val="false"/>
                <w:bCs w:val="false"/>
                <w:color w:val="000000"/>
                <w:sz w:val="17"/>
                <w:szCs w:val="17"/>
              </w:rPr>
              <w:t xml:space="preserve">P/E at CMP of Rs 748 (x)</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18.9x</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18.7x</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17.0x</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15.4x</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13.1x</w:t>
            </w:r>
          </w:p>
        </w:tc>
        <w:tc>
          <w:tcPr>
            <w:tcW w:type="dxa" w:w="1240"/>
            <w:shd w:fill="F2F2F2" w:val="clear"/>
            <w:tcMar>
              <w:top w:type="dxa" w:w="60"/>
              <w:left w:type="dxa" w:w="90"/>
              <w:bottom w:type="dxa" w:w="60"/>
              <w:right w:type="dxa" w:w="90"/>
            </w:tcMar>
            <w:vAlign w:val="center"/>
          </w:tcPr>
          <w:p>
            <w:pPr>
              <w:jc w:val="center"/>
            </w:pPr>
            <w:r>
              <w:rPr>
                <w:b w:val="false"/>
                <w:bCs w:val="false"/>
                <w:color w:val="000000"/>
                <w:sz w:val="17"/>
                <w:szCs w:val="17"/>
              </w:rPr>
              <w:t xml:space="preserve">11.3x</w:t>
            </w:r>
          </w:p>
        </w:tc>
      </w:tr>
      <w:tr>
        <w:tc>
          <w:tcPr>
            <w:tcW w:type="dxa" w:w="2800"/>
            <w:shd w:fill="FFFFFF" w:val="clear"/>
            <w:tcMar>
              <w:top w:type="dxa" w:w="60"/>
              <w:left w:type="dxa" w:w="90"/>
              <w:bottom w:type="dxa" w:w="60"/>
              <w:right w:type="dxa" w:w="90"/>
            </w:tcMar>
            <w:vAlign w:val="center"/>
          </w:tcPr>
          <w:p>
            <w:pPr>
              <w:jc w:val="left"/>
            </w:pPr>
            <w:r>
              <w:rPr>
                <w:b w:val="false"/>
                <w:bCs w:val="false"/>
                <w:color w:val="000000"/>
                <w:sz w:val="17"/>
                <w:szCs w:val="17"/>
              </w:rPr>
              <w:t xml:space="preserve">P/Adj.BV at CMP of Rs 748 (x)</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3.0x</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2.6x</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2.3x</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2.1x</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1.9x</w:t>
            </w:r>
          </w:p>
        </w:tc>
        <w:tc>
          <w:tcPr>
            <w:tcW w:type="dxa" w:w="1240"/>
            <w:shd w:fill="FFFFFF" w:val="clear"/>
            <w:tcMar>
              <w:top w:type="dxa" w:w="60"/>
              <w:left w:type="dxa" w:w="90"/>
              <w:bottom w:type="dxa" w:w="60"/>
              <w:right w:type="dxa" w:w="90"/>
            </w:tcMar>
            <w:vAlign w:val="center"/>
          </w:tcPr>
          <w:p>
            <w:pPr>
              <w:jc w:val="center"/>
            </w:pPr>
            <w:r>
              <w:rPr>
                <w:b w:val="false"/>
                <w:bCs w:val="false"/>
                <w:color w:val="000000"/>
                <w:sz w:val="17"/>
                <w:szCs w:val="17"/>
              </w:rPr>
              <w:t xml:space="preserve">1.7x</w:t>
            </w:r>
          </w:p>
        </w:tc>
      </w:tr>
    </w:tbl>
    <w:p>
      <w:pPr>
        <w:spacing w:after="300"/>
      </w:pPr>
    </w:p>
    <w:p>
      <w:pPr>
        <w:pBdr>
          <w:bottom w:val="single" w:color="1F3864" w:sz="6"/>
        </w:pBdr>
        <w:spacing w:after="200"/>
      </w:pPr>
    </w:p>
    <w:p>
      <w:pPr>
        <w:spacing w:after="140" w:line="276"/>
        <w:jc w:val="both"/>
      </w:pPr>
      <w:r>
        <w:rPr>
          <w:b w:val="false"/>
          <w:bCs w:val="false"/>
          <w:i/>
          <w:iCs/>
          <w:sz w:val="20"/>
          <w:szCs w:val="20"/>
        </w:rPr>
        <w:t xml:space="preserve">Sources: Company results and investor presentations (HDFC Bank Ltd, standalone financials), sell-side research (Arihant Capital Markets, BOB Capital Markets, dated April 2026), and market data aggregators (Screener.in, Motilal Oswal, Value Research), cross-checked as of mid-September 2026. All figures in Indian Rupees (INR); 1 crore = 10 million.</w:t>
      </w:r>
    </w:p>
    <w:p>
      <w:pPr>
        <w:spacing w:after="140" w:line="276"/>
        <w:jc w:val="both"/>
      </w:pPr>
      <w:r>
        <w:rPr>
          <w:b/>
          <w:bCs/>
          <w:i/>
          <w:iCs/>
          <w:sz w:val="20"/>
          <w:szCs w:val="20"/>
        </w:rPr>
        <w:t xml:space="preserve">Disclaimer: This report was prepared as an academic/portfolio exercise and does not constitute investment advice, a research report under SEBI (Research Analysts) Regulations, or a solicitation to buy or sell any security. Figures are compiled from public sources believed to be reliable but have not been independently verified to the standard required of a regulated research report.</w:t>
      </w:r>
    </w:p>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HDFC Bank Limited — Equity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2026-09-27T17:26:29.261Z</dcterms:created>
  <dcterms:modified xsi:type="dcterms:W3CDTF">2026-09-27T17:26:29.261Z</dcterms:modified>
</cp:coreProperties>
</file>

<file path=docProps/custom.xml><?xml version="1.0" encoding="utf-8"?>
<Properties xmlns="http://schemas.openxmlformats.org/officeDocument/2006/custom-properties" xmlns:vt="http://schemas.openxmlformats.org/officeDocument/2006/docPropsVTypes"/>
</file>