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Understanding 100% Coverage for Commerce LLM Evaluation</w:t>
      </w:r>
    </w:p>
    <w:p>
      <w:r>
        <w:t>This document explains, in simple and non-technical language, what is meant by ‘100% coverage’ when evaluating a Large Language Model (LLM) such as Gemini for commerce and merchant applications.</w:t>
      </w:r>
    </w:p>
    <w:p>
      <w:pPr>
        <w:pStyle w:val="Heading2"/>
      </w:pPr>
      <w:r>
        <w:t>Why 100% Coverage Is Needed</w:t>
      </w:r>
    </w:p>
    <w:p>
      <w:r>
        <w:t>Commerce applications are complex. Users can search for products, compare prices, place orders, request refunds, contact support, and sellers can manage inventory and sales. An LLM used in such an application must behave correctly across all these situations. Missing even one area can lead to poor customer experience, financial loss, or compliance risks.</w:t>
      </w:r>
    </w:p>
    <w:p>
      <w:pPr>
        <w:pStyle w:val="Heading2"/>
      </w:pPr>
      <w:r>
        <w:t>The 14 Commerce Domains</w:t>
      </w:r>
    </w:p>
    <w:p>
      <w:r>
        <w:t>To ensure full functional coverage, the commerce application is divided into 14 core domains:</w:t>
        <w:br/>
        <w:br/>
        <w:t>1. Product Discovery &amp; Search</w:t>
        <w:br/>
        <w:t>2. Product Details &amp; Content</w:t>
        <w:br/>
        <w:t>3. Recommendations &amp; Ranking</w:t>
        <w:br/>
        <w:t>4. Pricing, Offers &amp; Promotions</w:t>
        <w:br/>
        <w:t>5. Cart Management</w:t>
        <w:br/>
        <w:t>6. Checkout &amp; Payments</w:t>
        <w:br/>
        <w:t>7. Order Management</w:t>
        <w:br/>
        <w:t>8. Shipping &amp; Delivery</w:t>
        <w:br/>
        <w:t>9. Returns, Refunds &amp; Exchanges</w:t>
        <w:br/>
        <w:t>10. Customer Support &amp; Escalations</w:t>
        <w:br/>
        <w:t>11. User Account &amp; Preferences</w:t>
        <w:br/>
        <w:t>12. Trust, Safety &amp; Fraud</w:t>
        <w:br/>
        <w:t>13. Merchant / Seller Operations</w:t>
        <w:br/>
        <w:t>14. System Awareness &amp; Failure Handling</w:t>
        <w:br/>
        <w:br/>
        <w:t>Together, these domains represent the complete lifecycle of a commerce platform.</w:t>
      </w:r>
    </w:p>
    <w:p>
      <w:pPr>
        <w:pStyle w:val="Heading2"/>
      </w:pPr>
      <w:r>
        <w:t>The 6 Behaviour Classes</w:t>
      </w:r>
    </w:p>
    <w:p>
      <w:r>
        <w:t>Each domain can fail in different ways depending on how a user interacts with the system. To capture this, every domain is tested across six mandatory behaviour classes:</w:t>
        <w:br/>
        <w:br/>
        <w:t>1. Happy Path – normal, expected user behaviour</w:t>
        <w:br/>
        <w:t>2. Constraint-heavy Queries – budget limits, brand filters, availability constraints</w:t>
        <w:br/>
        <w:t>3. Ambiguous Queries – incomplete or unclear user intent</w:t>
        <w:br/>
        <w:t>4. Multi-turn Conversations – context carried across multiple turns</w:t>
        <w:br/>
        <w:t>5. User Corrections – changes or reversals of earlier instructions</w:t>
        <w:br/>
        <w:t>6. Adversarial / Trap Queries – hallucination, policy, or misuse attempts</w:t>
        <w:br/>
        <w:br/>
        <w:t>These six behaviours ensure that both normal usage and failure conditions are tested.</w:t>
      </w:r>
    </w:p>
    <w:p>
      <w:pPr>
        <w:pStyle w:val="Heading2"/>
      </w:pPr>
      <w:r>
        <w:t>Why 4 Variations Per Behaviour</w:t>
      </w:r>
    </w:p>
    <w:p>
      <w:r>
        <w:t>Real users do not ask questions in only one way. The same intent can appear with different wording, different priorities, or different constraints. To reflect this, each behaviour class is tested using four realistic variations.</w:t>
        <w:br/>
        <w:br/>
        <w:t>These variations typically represent differences in:</w:t>
        <w:br/>
        <w:t>- Price sensitivity</w:t>
        <w:br/>
        <w:t>- Brand or preference bias</w:t>
        <w:br/>
        <w:t>- Availability or stock conditions</w:t>
        <w:br/>
        <w:t>- Policy or compliance boundaries</w:t>
        <w:br/>
        <w:br/>
        <w:t>Four variations are sufficient to expose most real-world failure patterns without unnecessary duplication.</w:t>
      </w:r>
    </w:p>
    <w:p>
      <w:pPr>
        <w:pStyle w:val="Heading2"/>
      </w:pPr>
      <w:r>
        <w:t>How the Numbers Add Up</w:t>
      </w:r>
    </w:p>
    <w:p>
      <w:r>
        <w:t>The full coverage calculation is straightforward:</w:t>
        <w:br/>
        <w:br/>
        <w:t>14 domains × 6 behaviour classes × 4 variations = 336 golden prompts</w:t>
        <w:br/>
        <w:br/>
        <w:t>This number is not arbitrary. It represents the minimum set required to exercise every capability surface and every major failure mode of a commerce LLM.</w:t>
      </w:r>
    </w:p>
    <w:p>
      <w:pPr>
        <w:pStyle w:val="Heading2"/>
      </w:pPr>
      <w:r>
        <w:t>What 100% Coverage Means in Practice</w:t>
      </w:r>
    </w:p>
    <w:p>
      <w:r>
        <w:t>Achieving 100% coverage does not mean the LLM will never make mistakes. It means that the evaluation has systematically tested all important areas where mistakes are known to occur.</w:t>
        <w:br/>
        <w:br/>
        <w:t>If an LLM performs well across all 336 prompts, it demonstrates:</w:t>
        <w:br/>
        <w:t>- Correct understanding of commerce intent</w:t>
        <w:br/>
        <w:t>- Reliable multi-turn context handling</w:t>
        <w:br/>
        <w:t>- Strong resistance to hallucination</w:t>
        <w:br/>
        <w:t>- Safe and policy-compliant behaviour</w:t>
        <w:br/>
        <w:t>- Consistent support for both buyers and merchants</w:t>
        <w:br/>
        <w:br/>
        <w:t>This level of evaluation is considered audit-grade and enterprise-ready.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