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360"/>
      </w:pPr>
      <w:r>
        <w:rPr>
          <w:rFonts w:ascii="Aptos Display" w:hAnsi="Aptos Display"/>
          <w:b/>
          <w:color w:val="0A5B62"/>
          <w:sz w:val="26"/>
        </w:rPr>
        <w:t>PAQRAP EN RUTA</w:t>
      </w:r>
    </w:p>
    <w:p>
      <w:pPr>
        <w:pStyle w:val="Title"/>
      </w:pPr>
      <w:r>
        <w:t>Estándares de interfaz gráfica de usuario GUI del prototipo PaqRap en Ruta</w:t>
      </w:r>
    </w:p>
    <w:p>
      <w:pPr>
        <w:spacing w:after="600"/>
      </w:pPr>
      <w:r>
        <w:rPr>
          <w:rFonts w:ascii="Aptos Display" w:hAnsi="Aptos Display"/>
          <w:color w:val="3F544C"/>
          <w:sz w:val="30"/>
        </w:rPr>
        <w:t>Normas de diseño visual, interacción, operación logística y accesibilidad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7128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9"/>
              </w:rPr>
              <w:t>Versión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223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9"/>
              </w:rPr>
              <w:t>Fecha de evaluación</w:t>
            </w:r>
          </w:p>
        </w:tc>
        <w:tc>
          <w:tcPr>
            <w:tcW w:type="dxa" w:w="712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9"/>
              </w:rPr>
              <w:t>15 de septiembre de 2026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9"/>
              </w:rPr>
              <w:t>Prototipo evaluado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9"/>
              </w:rPr>
              <w:t>PaqRap en Ruta - centro de operaciones</w:t>
            </w:r>
          </w:p>
        </w:tc>
      </w:tr>
      <w:tr>
        <w:trPr>
          <w:cantSplit/>
        </w:trPr>
        <w:tc>
          <w:tcPr>
            <w:tcW w:type="dxa" w:w="223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9"/>
              </w:rPr>
              <w:t>Equipo</w:t>
            </w:r>
          </w:p>
        </w:tc>
        <w:tc>
          <w:tcPr>
            <w:tcW w:type="dxa" w:w="712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9"/>
              </w:rPr>
              <w:t>H983-Eq6F - Desarrollo de Proyectos 1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9"/>
              </w:rPr>
              <w:t>Estado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9"/>
              </w:rPr>
              <w:t>Línea base propuesta para implementación y validación</w:t>
            </w:r>
          </w:p>
        </w:tc>
      </w:tr>
    </w:tbl>
    <w:p>
      <w:pPr>
        <w:spacing w:after="20"/>
      </w:pPr>
    </w:p>
    <w:p>
      <w:pPr>
        <w:spacing w:before="360"/>
      </w:pPr>
      <w:r>
        <w:rPr>
          <w:rFonts w:ascii="Aptos" w:hAnsi="Aptos"/>
          <w:b/>
          <w:color w:val="000000"/>
          <w:sz w:val="22"/>
        </w:rPr>
        <w:t>Resultado general</w:t>
      </w:r>
    </w:p>
    <w:p>
      <w:r>
        <w:t>El prototipo presenta una identidad visual consistente y una arquitectura funcional clara para mapa, pedidos, incidencias e indicadores. La conformidad es parcial porque la accesibilidad del lienzo cartográfico, el foco de teclado, el contraste de textos secundarios, la semántica de acciones y la adaptación a pantallas estrechas todavía requieren normalización.</w:t>
      </w:r>
    </w:p>
    <w:p>
      <w:r>
        <w:br w:type="page"/>
      </w:r>
    </w:p>
    <w:p>
      <w:pPr>
        <w:pStyle w:val="Heading1"/>
        <w:keepNext/>
        <w:keepLines/>
      </w:pPr>
      <w:r>
        <w:t>Contenido</w:t>
      </w:r>
    </w:p>
    <w:p>
      <w:pPr>
        <w:spacing w:after="140"/>
        <w:ind w:left="259"/>
      </w:pPr>
      <w:r>
        <w:rPr>
          <w:rFonts w:ascii="Aptos" w:hAnsi="Aptos"/>
          <w:b/>
          <w:color w:val="12211D"/>
          <w:sz w:val="22"/>
        </w:rPr>
        <w:t>1. Introducción</w:t>
      </w:r>
    </w:p>
    <w:p>
      <w:pPr>
        <w:spacing w:after="140"/>
        <w:ind w:left="259"/>
      </w:pPr>
      <w:r>
        <w:rPr>
          <w:rFonts w:ascii="Aptos" w:hAnsi="Aptos"/>
          <w:b/>
          <w:color w:val="12211D"/>
          <w:sz w:val="22"/>
        </w:rPr>
        <w:t>2. Descripción general</w:t>
      </w:r>
    </w:p>
    <w:p>
      <w:pPr>
        <w:spacing w:after="140"/>
        <w:ind w:left="259"/>
      </w:pPr>
      <w:r>
        <w:rPr>
          <w:rFonts w:ascii="Aptos" w:hAnsi="Aptos"/>
          <w:b/>
          <w:color w:val="12211D"/>
          <w:sz w:val="22"/>
        </w:rPr>
        <w:t>3. Normas generales de diseño visual y experiencia de usuario UX</w:t>
      </w:r>
    </w:p>
    <w:p>
      <w:pPr>
        <w:spacing w:after="140"/>
        <w:ind w:left="259"/>
      </w:pPr>
      <w:r>
        <w:rPr>
          <w:rFonts w:ascii="Aptos" w:hAnsi="Aptos"/>
          <w:b/>
          <w:color w:val="12211D"/>
          <w:sz w:val="22"/>
        </w:rPr>
        <w:t>4. Componentes y elementos de interfaz UI</w:t>
      </w:r>
    </w:p>
    <w:p>
      <w:pPr>
        <w:spacing w:after="140"/>
        <w:ind w:left="259"/>
      </w:pPr>
      <w:r>
        <w:rPr>
          <w:rFonts w:ascii="Aptos" w:hAnsi="Aptos"/>
          <w:b/>
          <w:color w:val="12211D"/>
          <w:sz w:val="22"/>
        </w:rPr>
        <w:t>5. Estándares de visualización de la operación logística</w:t>
      </w:r>
    </w:p>
    <w:p>
      <w:pPr>
        <w:spacing w:after="140"/>
        <w:ind w:left="259"/>
      </w:pPr>
      <w:r>
        <w:rPr>
          <w:rFonts w:ascii="Aptos" w:hAnsi="Aptos"/>
          <w:b/>
          <w:color w:val="12211D"/>
          <w:sz w:val="22"/>
        </w:rPr>
        <w:t>6. Estados y comportamiento de la interfaz</w:t>
      </w:r>
    </w:p>
    <w:p>
      <w:pPr>
        <w:spacing w:after="140"/>
        <w:ind w:left="259"/>
      </w:pPr>
      <w:r>
        <w:rPr>
          <w:rFonts w:ascii="Aptos" w:hAnsi="Aptos"/>
          <w:b/>
          <w:color w:val="12211D"/>
          <w:sz w:val="22"/>
        </w:rPr>
        <w:t>7. Accesibilidad y consistencia</w:t>
      </w:r>
    </w:p>
    <w:p>
      <w:pPr>
        <w:pStyle w:val="Heading2"/>
        <w:keepNext/>
        <w:keepLines/>
      </w:pPr>
      <w:r>
        <w:t>Resumen de evaluación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944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Área evaluada</w:t>
            </w:r>
          </w:p>
        </w:tc>
        <w:tc>
          <w:tcPr>
            <w:tcW w:type="dxa" w:w="1224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240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Evidencia del prototipo</w:t>
            </w:r>
          </w:p>
        </w:tc>
        <w:tc>
          <w:tcPr>
            <w:tcW w:type="dxa" w:w="3384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Acción requerida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Identidad visual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E9E5B"/>
                <w:sz w:val="17"/>
              </w:rPr>
              <w:t>Implementado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Tokens cromáticos, tipografías y radios están centralizados en CSS.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Mantener los tokens como fuente única y documentar versiones.</w:t>
            </w:r>
          </w:p>
        </w:tc>
      </w:tr>
      <w:tr>
        <w:trPr>
          <w:cantSplit/>
        </w:trPr>
        <w:tc>
          <w:tcPr>
            <w:tcW w:type="dxa" w:w="194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Estructura y navegación</w:t>
            </w:r>
          </w:p>
        </w:tc>
        <w:tc>
          <w:tcPr>
            <w:tcW w:type="dxa" w:w="122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B9821B"/>
                <w:sz w:val="17"/>
              </w:rPr>
              <w:t>Parcial</w:t>
            </w:r>
          </w:p>
        </w:tc>
        <w:tc>
          <w:tcPr>
            <w:tcW w:type="dxa" w:w="324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Cabecera persistente, selector de módulo y mapa principal.</w:t>
            </w:r>
          </w:p>
        </w:tc>
        <w:tc>
          <w:tcPr>
            <w:tcW w:type="dxa" w:w="338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Definir orden de foco, navegación por teclado y conducta en 320-768 px.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Formularios y tablas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B9821B"/>
                <w:sz w:val="17"/>
              </w:rPr>
              <w:t>Parcial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Campos etiquetados, confirmaciones y tablas de datos.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Unificar validación, estados deshabilitados, ayudas y lectura por tecnologías de asistencia.</w:t>
            </w:r>
          </w:p>
        </w:tc>
      </w:tr>
      <w:tr>
        <w:trPr>
          <w:cantSplit/>
        </w:trPr>
        <w:tc>
          <w:tcPr>
            <w:tcW w:type="dxa" w:w="194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Mapa logístico</w:t>
            </w:r>
          </w:p>
        </w:tc>
        <w:tc>
          <w:tcPr>
            <w:tcW w:type="dxa" w:w="122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B9821B"/>
                <w:sz w:val="17"/>
              </w:rPr>
              <w:t>Parcial</w:t>
            </w:r>
          </w:p>
        </w:tc>
        <w:tc>
          <w:tcPr>
            <w:tcW w:type="dxa" w:w="324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Retícula, almacenes, vehículos, rutas, pedidos, bloqueos y zoom.</w:t>
            </w:r>
          </w:p>
        </w:tc>
        <w:tc>
          <w:tcPr>
            <w:tcW w:type="dxa" w:w="338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Añadir equivalente textual, patrón no dependiente del color y controles accesibles.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Estados operativos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2E9E5B"/>
                <w:sz w:val="17"/>
              </w:rPr>
              <w:t>Implementado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Semáforo configurable, estados de pedido, averías y registro de eventos.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Normalizar nombres, prioridades y anuncios de actualización.</w:t>
            </w:r>
          </w:p>
        </w:tc>
      </w:tr>
      <w:tr>
        <w:trPr>
          <w:cantSplit/>
        </w:trPr>
        <w:tc>
          <w:tcPr>
            <w:tcW w:type="dxa" w:w="194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Accesibilidad</w:t>
            </w:r>
          </w:p>
        </w:tc>
        <w:tc>
          <w:tcPr>
            <w:tcW w:type="dxa" w:w="122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C94040"/>
                <w:sz w:val="17"/>
              </w:rPr>
              <w:t>Pendiente</w:t>
            </w:r>
          </w:p>
        </w:tc>
        <w:tc>
          <w:tcPr>
            <w:tcW w:type="dxa" w:w="324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Hay etiquetas y reducción de movimiento en partes del sistema.</w:t>
            </w:r>
          </w:p>
        </w:tc>
        <w:tc>
          <w:tcPr>
            <w:tcW w:type="dxa" w:w="338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Cumplir WCAG 2.2 AA, foco visible completo, objetivos táctiles y contraste.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Adaptación de pantalla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B9821B"/>
                <w:sz w:val="17"/>
              </w:rPr>
              <w:t>Parcial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Cabecera flexible y panel lateral adaptable a menos de 700 px.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Diseñar vistas específicas para tableta y móvil; evitar desbordamiento horizontal.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1. Introducción</w:t>
      </w:r>
    </w:p>
    <w:p>
      <w:pPr>
        <w:pStyle w:val="Heading2"/>
        <w:keepNext/>
        <w:keepLines/>
      </w:pPr>
      <w:r>
        <w:t>1.1. Propósito</w:t>
      </w:r>
    </w:p>
    <w:p>
      <w:r>
        <w:t>Este documento establece la línea base de diseño e interacción para PaqRap en Ruta. Su propósito es convertir las decisiones visibles del prototipo en reglas verificables que orienten el diseño, desarrollo, pruebas y mantenimiento de la interfaz del centro de operaciones logísticas.</w:t>
      </w:r>
    </w:p>
    <w:p>
      <w:r>
        <w:t>Las reglas se aplican tanto a la interfaz actual como a nuevas pantallas. Cuando el prototipo contradiga una regla de este documento, prevalece el estándar y la diferencia debe registrarse como deuda de interfaz.</w:t>
      </w:r>
    </w:p>
    <w:p>
      <w:pPr>
        <w:pStyle w:val="Heading2"/>
        <w:keepNext/>
        <w:keepLines/>
      </w:pPr>
      <w:r>
        <w:t>1.2. Alcance</w:t>
      </w:r>
    </w:p>
    <w:p>
      <w:r>
        <w:t>El alcance comprende los siguientes módulos y superficies:</w:t>
      </w:r>
    </w:p>
    <w:p>
      <w:pPr>
        <w:pStyle w:val="ListBullet"/>
        <w:spacing w:after="60"/>
      </w:pPr>
      <w:r>
        <w:t>Cabecera de operación, selector de módulo, controles de ejecución, reloj, turno y accesos a configuración.</w:t>
      </w:r>
    </w:p>
    <w:p>
      <w:pPr>
        <w:pStyle w:val="ListBullet"/>
        <w:spacing w:after="60"/>
      </w:pPr>
      <w:r>
        <w:t>Mapa de simulación con retícula urbana, almacenes, clientes, pedidos, vehículos, rutas, bloqueos y averías.</w:t>
      </w:r>
    </w:p>
    <w:p>
      <w:pPr>
        <w:pStyle w:val="ListBullet"/>
        <w:spacing w:after="60"/>
      </w:pPr>
      <w:r>
        <w:t>Panel de indicadores, registro de eventos y paneles de detalle de entidades.</w:t>
      </w:r>
    </w:p>
    <w:p>
      <w:pPr>
        <w:pStyle w:val="ListBullet"/>
        <w:spacing w:after="60"/>
      </w:pPr>
      <w:r>
        <w:t>Registro manual y masivo de pedidos, filtros, tablas, mensajes y confirmaciones.</w:t>
      </w:r>
    </w:p>
    <w:p>
      <w:pPr>
        <w:pStyle w:val="ListBullet"/>
        <w:spacing w:after="60"/>
      </w:pPr>
      <w:r>
        <w:t>Registro de incidencias, averías y bloqueos.</w:t>
      </w:r>
    </w:p>
    <w:p>
      <w:pPr>
        <w:pStyle w:val="ListBullet"/>
        <w:spacing w:after="60"/>
      </w:pPr>
      <w:r>
        <w:t>Modos claro y oscuro, comportamiento adaptable y requisitos de accesibilidad.</w:t>
      </w:r>
    </w:p>
    <w:p>
      <w:r>
        <w:t>No se definen aquí algoritmos de asignación, reglas de optimización ni formatos de integración salvo cuando afectan la presentación o la interacción.</w:t>
      </w:r>
    </w:p>
    <w:p>
      <w:pPr>
        <w:pStyle w:val="Heading2"/>
        <w:keepNext/>
        <w:keepLines/>
      </w:pPr>
      <w:r>
        <w:t>1.3. Definiciones, siglas y abreviaturas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00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7560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GUI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Interfaz gráfica de usuario.</w:t>
            </w:r>
          </w:p>
        </w:tc>
      </w:tr>
      <w:tr>
        <w:trPr>
          <w:cantSplit/>
        </w:trPr>
        <w:tc>
          <w:tcPr>
            <w:tcW w:type="dxa" w:w="180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UI</w:t>
            </w:r>
          </w:p>
        </w:tc>
        <w:tc>
          <w:tcPr>
            <w:tcW w:type="dxa" w:w="756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Elementos visuales e interactivos de la interfaz.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UX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Experiencia resultante del uso del sistema.</w:t>
            </w:r>
          </w:p>
        </w:tc>
      </w:tr>
      <w:tr>
        <w:trPr>
          <w:cantSplit/>
        </w:trPr>
        <w:tc>
          <w:tcPr>
            <w:tcW w:type="dxa" w:w="180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SLA</w:t>
            </w:r>
          </w:p>
        </w:tc>
        <w:tc>
          <w:tcPr>
            <w:tcW w:type="dxa" w:w="756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Compromiso de tiempo de entrega asociado al pedido.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KPI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Indicador clave de desempeño.</w:t>
            </w:r>
          </w:p>
        </w:tc>
      </w:tr>
      <w:tr>
        <w:trPr>
          <w:cantSplit/>
        </w:trPr>
        <w:tc>
          <w:tcPr>
            <w:tcW w:type="dxa" w:w="180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Estado semántico</w:t>
            </w:r>
          </w:p>
        </w:tc>
        <w:tc>
          <w:tcPr>
            <w:tcW w:type="dxa" w:w="756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Condición comunicada mediante texto, icono, forma y color.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Retícula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Representación cartesiana de 70 km por 50 km con nodos cada 1 km.</w:t>
            </w:r>
          </w:p>
        </w:tc>
      </w:tr>
      <w:tr>
        <w:trPr>
          <w:cantSplit/>
        </w:trPr>
        <w:tc>
          <w:tcPr>
            <w:tcW w:type="dxa" w:w="180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Foco</w:t>
            </w:r>
          </w:p>
        </w:tc>
        <w:tc>
          <w:tcPr>
            <w:tcW w:type="dxa" w:w="756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Indicador visual del elemento que recibe interacción por teclado.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AA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Nivel objetivo de conformidad con WCAG 2.2.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keepLines/>
      </w:pPr>
      <w:r>
        <w:t>1.4. Referencias documentales</w:t>
      </w:r>
    </w:p>
    <w:p>
      <w:pPr>
        <w:pStyle w:val="ListBullet"/>
        <w:spacing w:after="60"/>
      </w:pPr>
      <w:r>
        <w:t>Código fuente del prototipo: README.md, index.html, css/styles.css y módulos JavaScript de core, sim y ui, evaluados el 15 de septiembre de 2026.</w:t>
      </w:r>
    </w:p>
    <w:p>
      <w:pPr>
        <w:pStyle w:val="ListBullet"/>
        <w:spacing w:after="60"/>
      </w:pPr>
      <w:r>
        <w:t>W3C. Web Content Accessibility Guidelines WCAG 2.2. Recomendación W3C. https://www.w3.org/TR/WCAG22/</w:t>
      </w:r>
    </w:p>
    <w:p>
      <w:pPr>
        <w:pStyle w:val="ListBullet"/>
        <w:spacing w:after="60"/>
      </w:pPr>
      <w:r>
        <w:t>W3C WAI. ARIA Authoring Practices Guide. https://www.w3.org/WAI/ARIA/apg/</w:t>
      </w:r>
    </w:p>
    <w:p>
      <w:pPr>
        <w:pStyle w:val="ListBullet"/>
        <w:spacing w:after="60"/>
      </w:pPr>
      <w:r>
        <w:t>ISO 9241-210:2019. Ergonomics of human-system interaction - Human-centred design for interactive systems. Edición confirmada vigente en 2025.</w:t>
      </w:r>
    </w:p>
    <w:p>
      <w:pPr>
        <w:pStyle w:val="Heading1"/>
        <w:keepNext/>
        <w:keepLines/>
      </w:pPr>
      <w:r>
        <w:t>2. Descripción general</w:t>
      </w:r>
    </w:p>
    <w:p>
      <w:pPr>
        <w:pStyle w:val="Heading2"/>
        <w:keepNext/>
        <w:keepLines/>
      </w:pPr>
      <w:r>
        <w:t>2.1. Definición</w:t>
      </w:r>
    </w:p>
    <w:p>
      <w:r>
        <w:t>PaqRap en Ruta es un prototipo web de planificación y monitoreo de entregas. Integra tres escenarios de ejecución: operación diaria, simulación de cinco días y simulación hasta el colapso. La interfaz permite configurar la flota y los turnos, registrar pedidos e incidencias, y observar la evolución de la operación sobre un mapa cartesiano.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683000"/>
            <wp:docPr id="1" name="Picture 1" descr="Figura 1. Vista del mapa con panel de indicadores superpuesto." title="prototype-dashboar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GUI"/>
        <w:jc w:val="center"/>
      </w:pPr>
      <w:r>
        <w:t>Figura 1. Vista del mapa con panel de indicadores superpuesto.</w:t>
      </w:r>
    </w:p>
    <w:p>
      <w:pPr>
        <w:pStyle w:val="Heading2"/>
        <w:keepNext/>
        <w:keepLines/>
      </w:pPr>
      <w:r>
        <w:t>2.2. Propósito y beneficios</w:t>
      </w:r>
    </w:p>
    <w:p>
      <w:r>
        <w:t>La interfaz debe permitir que un operador:</w:t>
      </w:r>
    </w:p>
    <w:p>
      <w:pPr>
        <w:pStyle w:val="ListBullet"/>
        <w:spacing w:after="60"/>
      </w:pPr>
      <w:r>
        <w:t>Reconozca de inmediato el escenario, fecha, hora, turno y estado de ejecución.</w:t>
      </w:r>
    </w:p>
    <w:p>
      <w:pPr>
        <w:pStyle w:val="ListBullet"/>
        <w:spacing w:after="60"/>
      </w:pPr>
      <w:r>
        <w:t>Detecte pedidos en riesgo, vehículos afectados, bloqueos y niveles de inventario.</w:t>
      </w:r>
    </w:p>
    <w:p>
      <w:pPr>
        <w:pStyle w:val="ListBullet"/>
        <w:spacing w:after="60"/>
      </w:pPr>
      <w:r>
        <w:t>Registre pedidos o incidencias con validación previa y confirmación cuando corresponda.</w:t>
      </w:r>
    </w:p>
    <w:p>
      <w:pPr>
        <w:pStyle w:val="ListBullet"/>
        <w:spacing w:after="60"/>
      </w:pPr>
      <w:r>
        <w:t>Interprete rutas y estados sin depender exclusivamente del color.</w:t>
      </w:r>
    </w:p>
    <w:p>
      <w:pPr>
        <w:pStyle w:val="ListBullet"/>
        <w:spacing w:after="60"/>
      </w:pPr>
      <w:r>
        <w:t>Recupere el contexto después de pausar, reiniciar o cambiar de módulo.</w:t>
      </w:r>
    </w:p>
    <w:p>
      <w:pPr>
        <w:pStyle w:val="Heading2"/>
        <w:keepNext/>
        <w:keepLines/>
      </w:pPr>
      <w:r>
        <w:t>2.3. Convenciones de especificación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00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Palabra</w:t>
            </w:r>
          </w:p>
        </w:tc>
        <w:tc>
          <w:tcPr>
            <w:tcW w:type="dxa" w:w="7560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Interpretación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DEBE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Requisito obligatorio para considerar conforme la interfaz.</w:t>
            </w:r>
          </w:p>
        </w:tc>
      </w:tr>
      <w:tr>
        <w:trPr>
          <w:cantSplit/>
        </w:trPr>
        <w:tc>
          <w:tcPr>
            <w:tcW w:type="dxa" w:w="180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NO DEBE</w:t>
            </w:r>
          </w:p>
        </w:tc>
        <w:tc>
          <w:tcPr>
            <w:tcW w:type="dxa" w:w="756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Comportamiento prohibido por riesgo de error, inconsistencia o inaccesibilidad.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DEBERÍA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Recomendación que puede omitirse solo con justificación documentada.</w:t>
            </w:r>
          </w:p>
        </w:tc>
      </w:tr>
      <w:tr>
        <w:trPr>
          <w:cantSplit/>
        </w:trPr>
        <w:tc>
          <w:tcPr>
            <w:tcW w:type="dxa" w:w="180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PUEDE</w:t>
            </w:r>
          </w:p>
        </w:tc>
        <w:tc>
          <w:tcPr>
            <w:tcW w:type="dxa" w:w="756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Alternativa permitida que no altera la conformidad.</w:t>
            </w:r>
          </w:p>
        </w:tc>
      </w:tr>
    </w:tbl>
    <w:p>
      <w:pPr>
        <w:spacing w:after="20"/>
      </w:pPr>
    </w:p>
    <w:p>
      <w:r>
        <w:t>Los estados de evaluación usados en este documento son Implementado, Parcial y Pendiente. El estado describe el prototipo revisado y no reemplaza las pruebas funcionales, de usabilidad o accesibilidad.</w:t>
      </w:r>
    </w:p>
    <w:p>
      <w:pPr>
        <w:pStyle w:val="Heading1"/>
        <w:keepNext/>
        <w:keepLines/>
      </w:pPr>
      <w:r>
        <w:t>3. Normas generales de diseño visual y experiencia de usuario UX</w:t>
      </w:r>
    </w:p>
    <w:p>
      <w:pPr>
        <w:pStyle w:val="Heading2"/>
        <w:keepNext/>
        <w:keepLines/>
      </w:pPr>
      <w:r>
        <w:t>3.1. Estructura y distribución de pantallas</w:t>
      </w:r>
    </w:p>
    <w:p>
      <w:r>
        <w:t>La arquitectura principal se compone de cabecera persistente, área de trabajo y superficies superpuestas. Se establecen las siguientes reglas:</w:t>
      </w:r>
    </w:p>
    <w:p>
      <w:pPr>
        <w:pStyle w:val="ListBullet"/>
        <w:spacing w:after="60"/>
      </w:pPr>
      <w:r>
        <w:t>La cabecera DEBE conservar en una sola zona el módulo activo, el escenario, el control iniciar o detener, la duración, la fecha, la hora y el turno.</w:t>
      </w:r>
    </w:p>
    <w:p>
      <w:pPr>
        <w:pStyle w:val="ListBullet"/>
        <w:spacing w:after="60"/>
      </w:pPr>
      <w:r>
        <w:t>El mapa DEBE ocupar el área disponible y la leyenda DEBE permanecer fuera del lienzo para no ocultar información operativa.</w:t>
      </w:r>
    </w:p>
    <w:p>
      <w:pPr>
        <w:pStyle w:val="ListBullet"/>
        <w:spacing w:after="60"/>
      </w:pPr>
      <w:r>
        <w:t>Los paneles flotantes DEBEN poder cerrarse y NO DEBEN ocultar controles críticos ni más del 35 por ciento del mapa en escritorio.</w:t>
      </w:r>
    </w:p>
    <w:p>
      <w:pPr>
        <w:pStyle w:val="ListBullet"/>
        <w:spacing w:after="60"/>
      </w:pPr>
      <w:r>
        <w:t>Los módulos de pedidos e incidencias DEBEN usar una secuencia vertical: título, instrucciones, formulario, filtros y resultados.</w:t>
      </w:r>
    </w:p>
    <w:p>
      <w:pPr>
        <w:pStyle w:val="ListBullet"/>
        <w:spacing w:after="60"/>
      </w:pPr>
      <w:r>
        <w:t>En anchuras menores de 768 px, la cabecera DEBE priorizar estado, reloj y acción principal; los controles secundarios DEBEN agruparse en un menú accesible.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2" name="Picture 2" descr="Figura 2. Módulo de pedidos con formulario, carga masiva, filtros y tabla." title="prototype-order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ord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GUI"/>
        <w:jc w:val="center"/>
      </w:pPr>
      <w:r>
        <w:t>Figura 2. Módulo de pedidos con formulario, carga masiva, filtros y tabla.</w:t>
      </w:r>
    </w:p>
    <w:p>
      <w:r>
        <w:t>Evaluación: la jerarquía de escritorio es clara. La adaptación es parcial porque solo el panel de indicadores posee una regla específica para menos de 700 px; formularios, leyenda y cabecera dependen principalmente del ajuste automático.</w:t>
      </w:r>
    </w:p>
    <w:p>
      <w:pPr>
        <w:pStyle w:val="Heading2"/>
        <w:keepNext/>
        <w:keepLines/>
      </w:pPr>
      <w:r>
        <w:t>3.2. Estándar cromático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512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Claro</w:t>
            </w:r>
          </w:p>
        </w:tc>
        <w:tc>
          <w:tcPr>
            <w:tcW w:type="dxa" w:w="6048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Uso normativo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Fondo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#EEF2F0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Fondo general de módulos.</w:t>
            </w:r>
          </w:p>
        </w:tc>
      </w:tr>
      <w:tr>
        <w:trPr>
          <w:cantSplit/>
        </w:trPr>
        <w:tc>
          <w:tcPr>
            <w:tcW w:type="dxa" w:w="180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Superficie</w:t>
            </w:r>
          </w:p>
        </w:tc>
        <w:tc>
          <w:tcPr>
            <w:tcW w:type="dxa" w:w="151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#FFFFFF</w:t>
            </w:r>
          </w:p>
        </w:tc>
        <w:tc>
          <w:tcPr>
            <w:tcW w:type="dxa" w:w="604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Tarjetas, formularios, modales y paneles.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Texto principal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#12211D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Títulos, valores y contenido esencial.</w:t>
            </w:r>
          </w:p>
        </w:tc>
      </w:tr>
      <w:tr>
        <w:trPr>
          <w:cantSplit/>
        </w:trPr>
        <w:tc>
          <w:tcPr>
            <w:tcW w:type="dxa" w:w="180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Texto secundario</w:t>
            </w:r>
          </w:p>
        </w:tc>
        <w:tc>
          <w:tcPr>
            <w:tcW w:type="dxa" w:w="151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#3F544C</w:t>
            </w:r>
          </w:p>
        </w:tc>
        <w:tc>
          <w:tcPr>
            <w:tcW w:type="dxa" w:w="604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Etiquetas y descripciones.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Texto terciario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#71857D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Metadatos; usar solo si alcanza contraste suficiente.</w:t>
            </w:r>
          </w:p>
        </w:tc>
      </w:tr>
      <w:tr>
        <w:trPr>
          <w:cantSplit/>
        </w:trPr>
        <w:tc>
          <w:tcPr>
            <w:tcW w:type="dxa" w:w="180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Acento</w:t>
            </w:r>
          </w:p>
        </w:tc>
        <w:tc>
          <w:tcPr>
            <w:tcW w:type="dxa" w:w="151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#0E7C86</w:t>
            </w:r>
          </w:p>
        </w:tc>
        <w:tc>
          <w:tcPr>
            <w:tcW w:type="dxa" w:w="604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Selección, vínculos, acciones primarias y almacenes.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Correcto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#2E9E5B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Estado satisfactorio o acción de inicio.</w:t>
            </w:r>
          </w:p>
        </w:tc>
      </w:tr>
      <w:tr>
        <w:trPr>
          <w:cantSplit/>
        </w:trPr>
        <w:tc>
          <w:tcPr>
            <w:tcW w:type="dxa" w:w="180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Advertencia</w:t>
            </w:r>
          </w:p>
        </w:tc>
        <w:tc>
          <w:tcPr>
            <w:tcW w:type="dxa" w:w="151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#B9821B</w:t>
            </w:r>
          </w:p>
        </w:tc>
        <w:tc>
          <w:tcPr>
            <w:tcW w:type="dxa" w:w="604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Riesgo, pausa o condición que requiere atención.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Crítico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#C94040</w:t>
            </w:r>
          </w:p>
        </w:tc>
        <w:tc>
          <w:tcPr>
            <w:tcW w:type="dxa" w:w="60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Error, incumplimiento, bloqueo o acción destructiva.</w:t>
            </w:r>
          </w:p>
        </w:tc>
      </w:tr>
      <w:tr>
        <w:trPr>
          <w:cantSplit/>
        </w:trPr>
        <w:tc>
          <w:tcPr>
            <w:tcW w:type="dxa" w:w="180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Vía arterial</w:t>
            </w:r>
          </w:p>
        </w:tc>
        <w:tc>
          <w:tcPr>
            <w:tcW w:type="dxa" w:w="151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#D9A83E</w:t>
            </w:r>
          </w:p>
        </w:tc>
        <w:tc>
          <w:tcPr>
            <w:tcW w:type="dxa" w:w="604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Jerarquía principal de calles en el mapa.</w:t>
            </w:r>
          </w:p>
        </w:tc>
      </w:tr>
    </w:tbl>
    <w:p>
      <w:pPr>
        <w:spacing w:after="20"/>
      </w:pPr>
    </w:p>
    <w:p>
      <w:r>
        <w:t>El modo oscuro ya dispone de tokens equivalentes. Todo nuevo componente DEBE usar tokens y NO DEBE introducir colores literales sin registrar su función. Los estados NO DEBEN comunicarse solo por color; deben incluir nombre, icono, patrón o forma.</w:t>
      </w:r>
    </w:p>
    <w:p>
      <w:r>
        <w:t>Evaluación de contraste sobre superficie blanca: texto principal 16.65:1, texto secundario 8.13:1, acento 4.95:1 y crítico 4.89:1 cumplen para texto normal. El texto terciario alcanza aproximadamente 3.92:1; verde correcto 3.41:1 y ámbar 3.35:1 no deben usarse como texto pequeño sobre blanco.</w:t>
      </w:r>
    </w:p>
    <w:p>
      <w:pPr>
        <w:pStyle w:val="Heading2"/>
        <w:keepNext/>
        <w:keepLines/>
      </w:pPr>
      <w:r>
        <w:t>3.3. Tipografía y jerarquía de texto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232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3096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Familia</w:t>
            </w:r>
          </w:p>
        </w:tc>
        <w:tc>
          <w:tcPr>
            <w:tcW w:type="dxa" w:w="1800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Tamaño mínimo</w:t>
            </w:r>
          </w:p>
        </w:tc>
        <w:tc>
          <w:tcPr>
            <w:tcW w:type="dxa" w:w="1656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Peso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Marca y títulos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Sora o equivalente sans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16 px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600-700</w:t>
            </w:r>
          </w:p>
        </w:tc>
      </w:tr>
      <w:tr>
        <w:trPr>
          <w:cantSplit/>
        </w:trPr>
        <w:tc>
          <w:tcPr>
            <w:tcW w:type="dxa" w:w="223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Texto y controles</w:t>
            </w:r>
          </w:p>
        </w:tc>
        <w:tc>
          <w:tcPr>
            <w:tcW w:type="dxa" w:w="3096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Manrope o equivalente sans</w:t>
            </w:r>
          </w:p>
        </w:tc>
        <w:tc>
          <w:tcPr>
            <w:tcW w:type="dxa" w:w="180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14 px</w:t>
            </w:r>
          </w:p>
        </w:tc>
        <w:tc>
          <w:tcPr>
            <w:tcW w:type="dxa" w:w="1656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400-600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Datos, reloj y códigos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IBM Plex Mono o equivalente mono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12 px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400-600</w:t>
            </w:r>
          </w:p>
        </w:tc>
      </w:tr>
      <w:tr>
        <w:trPr>
          <w:cantSplit/>
        </w:trPr>
        <w:tc>
          <w:tcPr>
            <w:tcW w:type="dxa" w:w="223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Metadatos no esenciales</w:t>
            </w:r>
          </w:p>
        </w:tc>
        <w:tc>
          <w:tcPr>
            <w:tcW w:type="dxa" w:w="3096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Manrope</w:t>
            </w:r>
          </w:p>
        </w:tc>
        <w:tc>
          <w:tcPr>
            <w:tcW w:type="dxa" w:w="180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12 px</w:t>
            </w:r>
          </w:p>
        </w:tc>
        <w:tc>
          <w:tcPr>
            <w:tcW w:type="dxa" w:w="1656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400-500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Valores KPI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IBM Plex Mono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20 px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600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El tamaño base recomendado es 16 px; los controles operativos no deben ser menores de 14 px.</w:t>
      </w:r>
    </w:p>
    <w:p>
      <w:pPr>
        <w:pStyle w:val="ListBullet"/>
        <w:spacing w:after="60"/>
      </w:pPr>
      <w:r>
        <w:t>No se permite texto esencial menor de 12 px. El prototipo usa valores entre 8.5 y 10.5 px en la cabecera y leyendas; deben incrementarse.</w:t>
      </w:r>
    </w:p>
    <w:p>
      <w:pPr>
        <w:pStyle w:val="ListBullet"/>
        <w:spacing w:after="60"/>
      </w:pPr>
      <w:r>
        <w:t>Los datos tabulares DEBEN usar números tabulares para evitar saltos visuales durante la simulación.</w:t>
      </w:r>
    </w:p>
    <w:p>
      <w:pPr>
        <w:pStyle w:val="ListBullet"/>
        <w:spacing w:after="60"/>
      </w:pPr>
      <w:r>
        <w:t>Las mayúsculas sostenidas se reservan para rótulos cortos y deben tener separación de letras suficiente.</w:t>
      </w:r>
    </w:p>
    <w:p>
      <w:r>
        <w:br w:type="page"/>
      </w:r>
    </w:p>
    <w:p>
      <w:pPr>
        <w:pStyle w:val="Heading2"/>
        <w:keepNext/>
        <w:keepLines/>
      </w:pPr>
      <w:r>
        <w:t>3.4. Espaciado, alineación y dimensiones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128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Regla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Unidad base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Múltiplos de 4 px; preferencia por 8, 12, 16 y 24 px.</w:t>
            </w:r>
          </w:p>
        </w:tc>
      </w:tr>
      <w:tr>
        <w:trPr>
          <w:cantSplit/>
        </w:trPr>
        <w:tc>
          <w:tcPr>
            <w:tcW w:type="dxa" w:w="223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Margen de módulo</w:t>
            </w:r>
          </w:p>
        </w:tc>
        <w:tc>
          <w:tcPr>
            <w:tcW w:type="dxa" w:w="712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24 px en escritorio; 16 px en tableta; 12 px en móvil.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Separación de campos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8-12 px entre controles relacionados; 16-24 px entre grupos.</w:t>
            </w:r>
          </w:p>
        </w:tc>
      </w:tr>
      <w:tr>
        <w:trPr>
          <w:cantSplit/>
        </w:trPr>
        <w:tc>
          <w:tcPr>
            <w:tcW w:type="dxa" w:w="223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Altura interactiva</w:t>
            </w:r>
          </w:p>
        </w:tc>
        <w:tc>
          <w:tcPr>
            <w:tcW w:type="dxa" w:w="712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Mínimo 40 px en escritorio y 44 px en interfaces táctiles.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Radio</w:t>
            </w:r>
          </w:p>
        </w:tc>
        <w:tc>
          <w:tcPr>
            <w:tcW w:type="dxa" w:w="71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6 px controles, 10 px paneles y 16 px contenedores principales.</w:t>
            </w:r>
          </w:p>
        </w:tc>
      </w:tr>
      <w:tr>
        <w:trPr>
          <w:cantSplit/>
        </w:trPr>
        <w:tc>
          <w:tcPr>
            <w:tcW w:type="dxa" w:w="223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Alineación</w:t>
            </w:r>
          </w:p>
        </w:tc>
        <w:tc>
          <w:tcPr>
            <w:tcW w:type="dxa" w:w="712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Etiquetas y textos a la izquierda; números y tiempos alineados por columna.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3.5. Navegación y retroalimentación al usuario</w:t>
      </w:r>
    </w:p>
    <w:p>
      <w:pPr>
        <w:pStyle w:val="ListBullet"/>
        <w:spacing w:after="60"/>
      </w:pPr>
      <w:r>
        <w:t>El selector de módulo DEBE reflejar siempre la vista visible y conservar el contexto de la ejecución.</w:t>
      </w:r>
    </w:p>
    <w:p>
      <w:pPr>
        <w:pStyle w:val="ListBullet"/>
        <w:spacing w:after="60"/>
      </w:pPr>
      <w:r>
        <w:t>Toda acción DEBE producir respuesta perceptible en menos de 100 ms; si tarda más de un segundo, debe mostrar progreso y permitir identificar la operación en curso.</w:t>
      </w:r>
    </w:p>
    <w:p>
      <w:pPr>
        <w:pStyle w:val="ListBullet"/>
        <w:spacing w:after="60"/>
      </w:pPr>
      <w:r>
        <w:t>El foco DEBE moverse al título del módulo después de un cambio de vista y al encabezado del modal cuando este se abre.</w:t>
      </w:r>
    </w:p>
    <w:p>
      <w:pPr>
        <w:pStyle w:val="ListBullet"/>
        <w:spacing w:after="60"/>
      </w:pPr>
      <w:r>
        <w:t>Los cambios de estado de la simulación DEBEN actualizar texto e icono, no solo el color del botón.</w:t>
      </w:r>
    </w:p>
    <w:p>
      <w:pPr>
        <w:pStyle w:val="ListBullet"/>
        <w:spacing w:after="60"/>
      </w:pPr>
      <w:r>
        <w:t>El registro de eventos DEBE preservar orden temporal, severidad y hora, y las actualizaciones relevantes deben anunciarse mediante una región aria-live de prioridad adecuada.</w:t>
      </w:r>
    </w:p>
    <w:p>
      <w:pPr>
        <w:pStyle w:val="Heading1"/>
        <w:keepNext/>
        <w:keepLines/>
      </w:pPr>
      <w:r>
        <w:t>4. Componentes y elementos de interfaz UI</w:t>
      </w:r>
    </w:p>
    <w:p>
      <w:pPr>
        <w:pStyle w:val="Heading2"/>
        <w:keepNext/>
        <w:keepLines/>
      </w:pPr>
      <w:r>
        <w:t>4.1. Botones y controles de acción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Variante</w:t>
            </w:r>
          </w:p>
        </w:tc>
        <w:tc>
          <w:tcPr>
            <w:tcW w:type="dxa" w:w="3168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  <w:tc>
          <w:tcPr>
            <w:tcW w:type="dxa" w:w="4392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Tratamiento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Primaria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Confirmar, registrar o iniciar una tarea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Acento sólido, texto blanco y una sola acción primaria por grupo.</w:t>
            </w:r>
          </w:p>
        </w:tc>
      </w:tr>
      <w:tr>
        <w:trPr>
          <w:cantSplit/>
        </w:trPr>
        <w:tc>
          <w:tcPr>
            <w:tcW w:type="dxa" w:w="180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Secundaria</w:t>
            </w:r>
          </w:p>
        </w:tc>
        <w:tc>
          <w:tcPr>
            <w:tcW w:type="dxa" w:w="316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Cancelar, cerrar o acción complementaria</w:t>
            </w:r>
          </w:p>
        </w:tc>
        <w:tc>
          <w:tcPr>
            <w:tcW w:type="dxa" w:w="439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Superficie neutra, borde visible y texto principal.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Estado de ejecución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Iniciar o detener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Verde para iniciar y ámbar para detener; texto e icono deben cambiar.</w:t>
            </w:r>
          </w:p>
        </w:tc>
      </w:tr>
      <w:tr>
        <w:trPr>
          <w:cantSplit/>
        </w:trPr>
        <w:tc>
          <w:tcPr>
            <w:tcW w:type="dxa" w:w="180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Destructiva</w:t>
            </w:r>
          </w:p>
        </w:tc>
        <w:tc>
          <w:tcPr>
            <w:tcW w:type="dxa" w:w="316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Reiniciar, eliminar o descartar datos</w:t>
            </w:r>
          </w:p>
        </w:tc>
        <w:tc>
          <w:tcPr>
            <w:tcW w:type="dxa" w:w="439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Crítico; requiere confirmación y descripción de consecuencias.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Icono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Zoom, configuración y cierre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Nombre accesible, área mínima 40 por 40 px y tooltip complementario.</w:t>
            </w:r>
          </w:p>
        </w:tc>
      </w:tr>
    </w:tbl>
    <w:p>
      <w:pPr>
        <w:spacing w:after="20"/>
      </w:pPr>
    </w:p>
    <w:p>
      <w:r>
        <w:t>Evaluación: iniciar, detener y reiniciar comunican bien su estado. Los botones Registrar pedido, Cargar lote y Registrar incidencia usan el color crítico aunque no destruyen datos; deben migrar a la variante primaria de acento.</w:t>
      </w:r>
    </w:p>
    <w:p>
      <w:pPr>
        <w:pStyle w:val="Heading2"/>
        <w:keepNext/>
        <w:keepLines/>
      </w:pPr>
      <w:r>
        <w:t>4.2. Formularios y campos de entrada</w:t>
      </w:r>
    </w:p>
    <w:p>
      <w:pPr>
        <w:pStyle w:val="ListBullet"/>
        <w:spacing w:after="60"/>
      </w:pPr>
      <w:r>
        <w:t>Cada control DEBE tener etiqueta persistente asociada programáticamente; el placeholder no reemplaza la etiqueta.</w:t>
      </w:r>
    </w:p>
    <w:p>
      <w:pPr>
        <w:pStyle w:val="ListBullet"/>
        <w:spacing w:after="60"/>
      </w:pPr>
      <w:r>
        <w:t>Los rangos y unidades DEBEN figurar junto a la etiqueta: cantidad 1-24, coordenadas X 0-70, Y 0-50 y duración en horas.</w:t>
      </w:r>
    </w:p>
    <w:p>
      <w:pPr>
        <w:pStyle w:val="ListBullet"/>
        <w:spacing w:after="60"/>
      </w:pPr>
      <w:r>
        <w:t>La validación DEBE ejecutarse al perder el foco y al enviar. El mensaje debe indicar qué ocurrió y cómo corregirlo.</w:t>
      </w:r>
    </w:p>
    <w:p>
      <w:pPr>
        <w:pStyle w:val="ListBullet"/>
        <w:spacing w:after="60"/>
      </w:pPr>
      <w:r>
        <w:t>Los errores DEBEN vincularse al campo mediante aria-describedby y conservar los datos válidos ya ingresados.</w:t>
      </w:r>
    </w:p>
    <w:p>
      <w:pPr>
        <w:pStyle w:val="ListBullet"/>
        <w:spacing w:after="60"/>
      </w:pPr>
      <w:r>
        <w:t>La carga masiva DEBE ofrecer ejemplo, recuento de líneas válidas y errores por línea antes de confirmar.</w:t>
      </w:r>
    </w:p>
    <w:p>
      <w:pPr>
        <w:pStyle w:val="ListBullet"/>
        <w:spacing w:after="60"/>
      </w:pPr>
      <w:r>
        <w:t>Los campos deshabilitados DEBEN conservar contraste suficiente y explicar por qué no están disponibles cuando la causa no sea evidente.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3" name="Picture 3" descr="Figura 3. Modal de configuración con escenario, flota, almacenes y turnos." title="prototype-start-moda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start-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GUI"/>
        <w:jc w:val="center"/>
      </w:pPr>
      <w:r>
        <w:t>Figura 3. Modal de configuración con escenario, flota, almacenes y turnos.</w:t>
      </w:r>
    </w:p>
    <w:p>
      <w:pPr>
        <w:pStyle w:val="Heading2"/>
        <w:keepNext/>
        <w:keepLines/>
      </w:pPr>
      <w:r>
        <w:t>4.3. Tablas y visualización de datos</w:t>
      </w:r>
    </w:p>
    <w:p>
      <w:pPr>
        <w:pStyle w:val="ListBullet"/>
        <w:spacing w:after="60"/>
      </w:pPr>
      <w:r>
        <w:t>La primera fila DEBE ser encabezado semántico y repetirse visualmente al desplazarse en tablas largas.</w:t>
      </w:r>
    </w:p>
    <w:p>
      <w:pPr>
        <w:pStyle w:val="ListBullet"/>
        <w:spacing w:after="60"/>
      </w:pPr>
      <w:r>
        <w:t>Las columnas numéricas y horarias DEBEN mantener alineación consistente y formato estable.</w:t>
      </w:r>
    </w:p>
    <w:p>
      <w:pPr>
        <w:pStyle w:val="ListBullet"/>
        <w:spacing w:after="60"/>
      </w:pPr>
      <w:r>
        <w:t>El estado vacío DEBE explicar el criterio aplicado, como Sin pedidos que coincidan con el filtro.</w:t>
      </w:r>
    </w:p>
    <w:p>
      <w:pPr>
        <w:pStyle w:val="ListBullet"/>
        <w:spacing w:after="60"/>
      </w:pPr>
      <w:r>
        <w:t>En móvil, las tablas DEBEN permitir desplazamiento horizontal dentro de su contenedor o transformarse en filas apiladas sin perder encabezados.</w:t>
      </w:r>
    </w:p>
    <w:p>
      <w:pPr>
        <w:pStyle w:val="ListBullet"/>
        <w:spacing w:after="60"/>
      </w:pPr>
      <w:r>
        <w:t>Los filtros activos DEBEN ser visibles, reversibles y no deben borrar datos ingresados en otros formularios.</w:t>
      </w:r>
    </w:p>
    <w:p>
      <w:pPr>
        <w:pStyle w:val="Heading2"/>
        <w:keepNext/>
        <w:keepLines/>
      </w:pPr>
      <w:r>
        <w:t>4.4. Modales, mensajes, alertas y errores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944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416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Modal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Debe tener role dialog, nombre accesible, aria-modal, foco inicial, trampa de foco y retorno al disparador.</w:t>
            </w:r>
          </w:p>
        </w:tc>
      </w:tr>
      <w:tr>
        <w:trPr>
          <w:cantSplit/>
        </w:trPr>
        <w:tc>
          <w:tcPr>
            <w:tcW w:type="dxa" w:w="194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Confirmación</w:t>
            </w:r>
          </w:p>
        </w:tc>
        <w:tc>
          <w:tcPr>
            <w:tcW w:type="dxa" w:w="7416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Debe describir la acción, los datos afectados y una opción segura claramente diferenciada.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Alerta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Debe usar texto específico y severidad; no debe desaparecer antes de que pueda leerse.</w:t>
            </w:r>
          </w:p>
        </w:tc>
      </w:tr>
      <w:tr>
        <w:trPr>
          <w:cantSplit/>
        </w:trPr>
        <w:tc>
          <w:tcPr>
            <w:tcW w:type="dxa" w:w="194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Error de campo</w:t>
            </w:r>
          </w:p>
        </w:tc>
        <w:tc>
          <w:tcPr>
            <w:tcW w:type="dxa" w:w="7416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Debe mostrarse junto al control, identificar la causa y mantener foco predecible.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Notificación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Debe anunciarse sin interrumpir; los eventos críticos pueden requerir alerta persistente.</w:t>
            </w:r>
          </w:p>
        </w:tc>
      </w:tr>
    </w:tbl>
    <w:p>
      <w:pPr>
        <w:spacing w:after="20"/>
      </w:pPr>
    </w:p>
    <w:p>
      <w:r>
        <w:t>Evaluación: existen modales de inicio, confirmación de pedido, carga masiva y reinicio. Falta evidenciar en el código la gestión completa de foco, Escape, semántica dialog y devolución del foco.</w:t>
      </w:r>
    </w:p>
    <w:p>
      <w:pPr>
        <w:pStyle w:val="Heading2"/>
        <w:keepNext/>
        <w:keepLines/>
      </w:pPr>
      <w:r>
        <w:t>4.5. Paneles de estado e indicadores</w:t>
      </w:r>
    </w:p>
    <w:p>
      <w:pPr>
        <w:pStyle w:val="ListBullet"/>
        <w:spacing w:after="60"/>
      </w:pPr>
      <w:r>
        <w:t>Cada KPI DEBE incluir nombre, valor, periodo o denominador y estado cuando corresponda.</w:t>
      </w:r>
    </w:p>
    <w:p>
      <w:pPr>
        <w:pStyle w:val="ListBullet"/>
        <w:spacing w:after="60"/>
      </w:pPr>
      <w:r>
        <w:t>Los porcentajes DEBEN mostrar numerador y denominador si el volumen de muestra altera la interpretación.</w:t>
      </w:r>
    </w:p>
    <w:p>
      <w:pPr>
        <w:pStyle w:val="ListBullet"/>
        <w:spacing w:after="60"/>
      </w:pPr>
      <w:r>
        <w:t>Las barras de inventario y cumplimiento DEBEN tener texto equivalente y valores accesibles.</w:t>
      </w:r>
    </w:p>
    <w:p>
      <w:pPr>
        <w:pStyle w:val="ListBullet"/>
        <w:spacing w:after="60"/>
      </w:pPr>
      <w:r>
        <w:t>El panel de indicadores DEBE poder cerrarse, desplazarse y conservar el foco dentro de sus controles.</w:t>
      </w:r>
    </w:p>
    <w:p>
      <w:pPr>
        <w:pStyle w:val="ListBullet"/>
        <w:spacing w:after="60"/>
      </w:pPr>
      <w:r>
        <w:t>El registro de eventos DEBE diferenciar información, éxito, advertencia y crítico mediante texto, símbolo y color.</w:t>
      </w:r>
    </w:p>
    <w:p>
      <w:pPr>
        <w:pStyle w:val="Heading1"/>
        <w:keepNext/>
        <w:keepLines/>
      </w:pPr>
      <w:r>
        <w:t>5. Estándares de visualización de la operación logística</w:t>
      </w:r>
    </w:p>
    <w:p>
      <w:pPr>
        <w:pStyle w:val="Heading2"/>
        <w:keepNext/>
        <w:keepLines/>
      </w:pPr>
      <w:r>
        <w:t>5.1. Mapa interactivo</w:t>
      </w:r>
    </w:p>
    <w:p>
      <w:r>
        <w:t>El mapa es la superficie operativa principal. Debe conservar orientación, escala y contexto durante zoom o paneo.</w:t>
      </w:r>
    </w:p>
    <w:p>
      <w:pPr>
        <w:pStyle w:val="ListBullet"/>
        <w:spacing w:after="60"/>
      </w:pPr>
      <w:r>
        <w:t>La retícula DEBE mostrar ejes coherentes con X 0-70 y Y 0-50, nodos cada 1 km y vías arteriales diferenciadas.</w:t>
      </w:r>
    </w:p>
    <w:p>
      <w:pPr>
        <w:pStyle w:val="ListBullet"/>
        <w:spacing w:after="60"/>
      </w:pPr>
      <w:r>
        <w:t>Los controles de zoom DEBEN admitir teclado, nombre accesible y estado de límite cuando no se pueda ampliar o reducir más.</w:t>
      </w:r>
    </w:p>
    <w:p>
      <w:pPr>
        <w:pStyle w:val="ListBullet"/>
        <w:spacing w:after="60"/>
      </w:pPr>
      <w:r>
        <w:t>El restablecimiento DEBE recuperar encuadre, escala y centro iniciales sin alterar la simulación.</w:t>
      </w:r>
    </w:p>
    <w:p>
      <w:pPr>
        <w:pStyle w:val="ListBullet"/>
        <w:spacing w:after="60"/>
      </w:pPr>
      <w:r>
        <w:t>La selección de una entidad DEBE abrir detalle y resaltar el objeto sin borrar rutas ni incidencias.</w:t>
      </w:r>
    </w:p>
    <w:p>
      <w:pPr>
        <w:pStyle w:val="ListBullet"/>
        <w:spacing w:after="60"/>
      </w:pPr>
      <w:r>
        <w:t>Debe existir una vista textual equivalente con entidades activas, coordenadas, estado, ruta y tiempos para usuarios que no perciban el canvas.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810000"/>
            <wp:docPr id="4" name="Picture 4" descr="Figura 4. Retícula urbana, almacenes, bloqueos, leyenda y controles del mapa." title="prototype-initia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init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GUI"/>
        <w:jc w:val="center"/>
      </w:pPr>
      <w:r>
        <w:t>Figura 4. Retícula urbana, almacenes, bloqueos, leyenda y controles del mapa.</w:t>
      </w:r>
    </w:p>
    <w:p>
      <w:pPr>
        <w:pStyle w:val="Heading2"/>
        <w:keepNext/>
        <w:keepLines/>
      </w:pPr>
      <w:r>
        <w:t>5.2. Simbología de vehículos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440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512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Color actual</w:t>
            </w:r>
          </w:p>
        </w:tc>
        <w:tc>
          <w:tcPr>
            <w:tcW w:type="dxa" w:w="1656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1512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Velocidad</w:t>
            </w:r>
          </w:p>
        </w:tc>
        <w:tc>
          <w:tcPr>
            <w:tcW w:type="dxa" w:w="3240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Regla visual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Auto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#3161C7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24 paquetes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40 km/h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Icono de auto, código visible al seleccionar y ruta azul.</w:t>
            </w:r>
          </w:p>
        </w:tc>
      </w:tr>
      <w:tr>
        <w:trPr>
          <w:cantSplit/>
        </w:trPr>
        <w:tc>
          <w:tcPr>
            <w:tcW w:type="dxa" w:w="144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Moto</w:t>
            </w:r>
          </w:p>
        </w:tc>
        <w:tc>
          <w:tcPr>
            <w:tcW w:type="dxa" w:w="151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#C7660D</w:t>
            </w:r>
          </w:p>
        </w:tc>
        <w:tc>
          <w:tcPr>
            <w:tcW w:type="dxa" w:w="1656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8 paquetes</w:t>
            </w:r>
          </w:p>
        </w:tc>
        <w:tc>
          <w:tcPr>
            <w:tcW w:type="dxa" w:w="151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25 km/h</w:t>
            </w:r>
          </w:p>
        </w:tc>
        <w:tc>
          <w:tcPr>
            <w:tcW w:type="dxa" w:w="324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Icono de moto, código visible al seleccionar y ruta naranja.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Bicicleta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#1F8A70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4 paquetes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12 km/h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7"/>
              </w:rPr>
              <w:t>Icono de bicicleta, código visible al seleccionar y ruta verde.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Los iconos no deben depender de emojis del sistema porque su forma varía por plataforma; se recomiendan SVG controlados.</w:t>
      </w:r>
    </w:p>
    <w:p>
      <w:pPr>
        <w:pStyle w:val="ListBullet"/>
        <w:spacing w:after="60"/>
      </w:pPr>
      <w:r>
        <w:t>La avería DEBE añadir un contorno o distintivo crítico y una etiqueta textual en el detalle.</w:t>
      </w:r>
    </w:p>
    <w:p>
      <w:pPr>
        <w:pStyle w:val="ListBullet"/>
        <w:spacing w:after="60"/>
      </w:pPr>
      <w:r>
        <w:t>La carga DEBE representarse con barra y valor textual disponible en el panel de detalle.</w:t>
      </w:r>
    </w:p>
    <w:p>
      <w:pPr>
        <w:pStyle w:val="ListBullet"/>
        <w:spacing w:after="60"/>
      </w:pPr>
      <w:r>
        <w:t>La ocultación por tipo DEBE reflejarse en el estado presionado del filtro y ser operable por teclado.</w:t>
      </w:r>
    </w:p>
    <w:p>
      <w:pPr>
        <w:pStyle w:val="Heading2"/>
        <w:keepNext/>
        <w:keepLines/>
      </w:pPr>
      <w:r>
        <w:t>5.3. Simbología de almacenes y clientes</w:t>
      </w:r>
    </w:p>
    <w:p>
      <w:pPr>
        <w:pStyle w:val="ListBullet"/>
        <w:spacing w:after="60"/>
      </w:pPr>
      <w:r>
        <w:t>Los almacenes DEBEN usar marcador de ubicación con glifo de paquete y nombre legible.</w:t>
      </w:r>
    </w:p>
    <w:p>
      <w:pPr>
        <w:pStyle w:val="ListBullet"/>
        <w:spacing w:after="60"/>
      </w:pPr>
      <w:r>
        <w:t>El almacén central DEBE identificarse como stock ilimitado sin una barra porcentual engañosa.</w:t>
      </w:r>
    </w:p>
    <w:p>
      <w:pPr>
        <w:pStyle w:val="ListBullet"/>
        <w:spacing w:after="60"/>
      </w:pPr>
      <w:r>
        <w:t>Los almacenes intermedios DEBEN mostrar capacidad, stock y nivel semántico.</w:t>
      </w:r>
    </w:p>
    <w:p>
      <w:pPr>
        <w:pStyle w:val="ListBullet"/>
        <w:spacing w:after="60"/>
      </w:pPr>
      <w:r>
        <w:t>Los clientes o destinos DEBEN representarse con un símbolo distinto del almacén y del vehículo.</w:t>
      </w:r>
    </w:p>
    <w:p>
      <w:pPr>
        <w:pStyle w:val="ListBullet"/>
        <w:spacing w:after="60"/>
      </w:pPr>
      <w:r>
        <w:t>La prioridad del pedido DEBE expresarse mediante etiqueta 4 h, 8 h, 12 h, 18 h o 36 h, además del color o punto auxiliar.</w:t>
      </w:r>
    </w:p>
    <w:p>
      <w:pPr>
        <w:pStyle w:val="Heading2"/>
        <w:keepNext/>
        <w:keepLines/>
      </w:pPr>
      <w:r>
        <w:t>5.4. Representación de rutas</w:t>
      </w:r>
    </w:p>
    <w:p>
      <w:pPr>
        <w:pStyle w:val="ListBullet"/>
        <w:spacing w:after="60"/>
      </w:pPr>
      <w:r>
        <w:t>La ruta asignada DEBE usar trazo discontinuo; la estela recorrida debe usar trazo continuo atenuado.</w:t>
      </w:r>
    </w:p>
    <w:p>
      <w:pPr>
        <w:pStyle w:val="ListBullet"/>
        <w:spacing w:after="60"/>
      </w:pPr>
      <w:r>
        <w:t>El color de ruta PUEDE asociarse al tipo de vehículo, pero cada ruta seleccionada DEBE reforzarse con mayor grosor y etiqueta de unidad.</w:t>
      </w:r>
    </w:p>
    <w:p>
      <w:pPr>
        <w:pStyle w:val="ListBullet"/>
        <w:spacing w:after="60"/>
      </w:pPr>
      <w:r>
        <w:t>La opacidad mínima debe mantener contraste suficiente contra el fondo claro y oscuro.</w:t>
      </w:r>
    </w:p>
    <w:p>
      <w:pPr>
        <w:pStyle w:val="ListBullet"/>
        <w:spacing w:after="60"/>
      </w:pPr>
      <w:r>
        <w:t>Cuando una ruta se recalcula, el cambio DEBE anunciarse en el registro de eventos y resaltarse temporalmente en el mapa.</w:t>
      </w:r>
    </w:p>
    <w:p>
      <w:pPr>
        <w:pStyle w:val="Heading2"/>
        <w:keepNext/>
        <w:keepLines/>
      </w:pPr>
      <w:r>
        <w:t>5.5. Representación de bloqueos y averías</w:t>
      </w:r>
    </w:p>
    <w:p>
      <w:pPr>
        <w:pStyle w:val="ListBullet"/>
        <w:spacing w:after="60"/>
      </w:pPr>
      <w:r>
        <w:t>Un bloqueo DEBE representarse como segmento crítico grueso con extremos visibles y datos desde-hasta en la tabla de incidencias.</w:t>
      </w:r>
    </w:p>
    <w:p>
      <w:pPr>
        <w:pStyle w:val="ListBullet"/>
        <w:spacing w:after="60"/>
      </w:pPr>
      <w:r>
        <w:t>Una avería DEBE marcar el vehículo afectado, indicar tipo, hora estimada de reparación y efecto sobre el pedido.</w:t>
      </w:r>
    </w:p>
    <w:p>
      <w:pPr>
        <w:pStyle w:val="ListBullet"/>
        <w:spacing w:after="60"/>
      </w:pPr>
      <w:r>
        <w:t>El sistema NO DEBE usar el mismo símbolo para bloqueo, retraso e incumplimiento.</w:t>
      </w:r>
    </w:p>
    <w:p>
      <w:pPr>
        <w:pStyle w:val="ListBullet"/>
        <w:spacing w:after="60"/>
      </w:pPr>
      <w:r>
        <w:t>La desaparición de una incidencia DEBE dejar registro de resolución y hora.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286250"/>
            <wp:docPr id="5" name="Picture 5" descr="Figura 5. Registro de averías y bloqueos con historial de incidencias." title="prototype-incident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incid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GUI"/>
        <w:jc w:val="center"/>
      </w:pPr>
      <w:r>
        <w:t>Figura 5. Registro de averías y bloqueos con historial de incidencias.</w:t>
      </w:r>
    </w:p>
    <w:p>
      <w:r>
        <w:br w:type="page"/>
      </w:r>
    </w:p>
    <w:p>
      <w:pPr>
        <w:pStyle w:val="Heading2"/>
        <w:keepNext/>
        <w:keepLines/>
      </w:pPr>
      <w:r>
        <w:t>5.6. Reloj y controles de simulación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72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024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Contenido mínimo</w:t>
            </w:r>
          </w:p>
        </w:tc>
        <w:tc>
          <w:tcPr>
            <w:tcW w:type="dxa" w:w="4464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Comportamiento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Reloj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Fecha, hora y día de ciclo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Actualización estable con números tabulares.</w:t>
            </w:r>
          </w:p>
        </w:tc>
      </w:tr>
      <w:tr>
        <w:trPr>
          <w:cantSplit/>
        </w:trPr>
        <w:tc>
          <w:tcPr>
            <w:tcW w:type="dxa" w:w="187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Turno</w:t>
            </w:r>
          </w:p>
        </w:tc>
        <w:tc>
          <w:tcPr>
            <w:tcW w:type="dxa" w:w="302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Número y franja horaria</w:t>
            </w:r>
          </w:p>
        </w:tc>
        <w:tc>
          <w:tcPr>
            <w:tcW w:type="dxa" w:w="446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Indicar refrigerio cuando corresponda.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Duración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Tiempo real desde el inicio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Formato HH:MM:SS.</w:t>
            </w:r>
          </w:p>
        </w:tc>
      </w:tr>
      <w:tr>
        <w:trPr>
          <w:cantSplit/>
        </w:trPr>
        <w:tc>
          <w:tcPr>
            <w:tcW w:type="dxa" w:w="187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Iniciar o detener</w:t>
            </w:r>
          </w:p>
        </w:tc>
        <w:tc>
          <w:tcPr>
            <w:tcW w:type="dxa" w:w="302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Texto e icono</w:t>
            </w:r>
          </w:p>
        </w:tc>
        <w:tc>
          <w:tcPr>
            <w:tcW w:type="dxa" w:w="446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Alternar sin perder estado ni contexto.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Reiniciar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Acción destructiva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Confirmar pérdida de pedidos, vehículos e incidencias.</w:t>
            </w:r>
          </w:p>
        </w:tc>
      </w:tr>
      <w:tr>
        <w:trPr>
          <w:cantSplit/>
        </w:trPr>
        <w:tc>
          <w:tcPr>
            <w:tcW w:type="dxa" w:w="187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Escenario</w:t>
            </w:r>
          </w:p>
        </w:tc>
        <w:tc>
          <w:tcPr>
            <w:tcW w:type="dxa" w:w="302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Nombre legible</w:t>
            </w:r>
          </w:p>
        </w:tc>
        <w:tc>
          <w:tcPr>
            <w:tcW w:type="dxa" w:w="446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Permanecer visible durante la ejecución.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6. Estados y comportamiento de la interfaz</w:t>
      </w:r>
    </w:p>
    <w:p>
      <w:pPr>
        <w:pStyle w:val="Heading2"/>
        <w:keepNext/>
        <w:keepLines/>
      </w:pPr>
      <w:r>
        <w:t>6.1. Estados de componentes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72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7488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Requisito visual y funcional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Reposo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Texto legible, borde perceptible y acción inequívoca.</w:t>
            </w:r>
          </w:p>
        </w:tc>
      </w:tr>
      <w:tr>
        <w:trPr>
          <w:cantSplit/>
        </w:trPr>
        <w:tc>
          <w:tcPr>
            <w:tcW w:type="dxa" w:w="187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Hover</w:t>
            </w:r>
          </w:p>
        </w:tc>
        <w:tc>
          <w:tcPr>
            <w:tcW w:type="dxa" w:w="748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Cambio visual complementario; nunca debe contener información exclusiva.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Foco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Contorno de al menos 2 px, contraste 3:1 y no oculto por paneles.</w:t>
            </w:r>
          </w:p>
        </w:tc>
      </w:tr>
      <w:tr>
        <w:trPr>
          <w:cantSplit/>
        </w:trPr>
        <w:tc>
          <w:tcPr>
            <w:tcW w:type="dxa" w:w="187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Presionado</w:t>
            </w:r>
          </w:p>
        </w:tc>
        <w:tc>
          <w:tcPr>
            <w:tcW w:type="dxa" w:w="748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Respuesta inmediata y, si es conmutador, aria-pressed o estado equivalente.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Deshabilitado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Menor énfasis sin perder legibilidad; debe impedir activación y explicar la causa si no es obvia.</w:t>
            </w:r>
          </w:p>
        </w:tc>
      </w:tr>
      <w:tr>
        <w:trPr>
          <w:cantSplit/>
        </w:trPr>
        <w:tc>
          <w:tcPr>
            <w:tcW w:type="dxa" w:w="187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Cargando</w:t>
            </w:r>
          </w:p>
        </w:tc>
        <w:tc>
          <w:tcPr>
            <w:tcW w:type="dxa" w:w="748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Indicador de progreso y bloqueo solo de los controles afectados.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Éxito</w:t>
            </w:r>
          </w:p>
        </w:tc>
        <w:tc>
          <w:tcPr>
            <w:tcW w:type="dxa" w:w="74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Confirmación breve con entidad y resultado.</w:t>
            </w:r>
          </w:p>
        </w:tc>
      </w:tr>
      <w:tr>
        <w:trPr>
          <w:cantSplit/>
        </w:trPr>
        <w:tc>
          <w:tcPr>
            <w:tcW w:type="dxa" w:w="187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Error</w:t>
            </w:r>
          </w:p>
        </w:tc>
        <w:tc>
          <w:tcPr>
            <w:tcW w:type="dxa" w:w="748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Mensaje persistente, causa y acción de recuperación.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6.2. Estados de la planificación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304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7056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Presentación requerida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Sin escenario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Etiqueta visible y acción Iniciar disponible.</w:t>
            </w:r>
          </w:p>
        </w:tc>
      </w:tr>
      <w:tr>
        <w:trPr>
          <w:cantSplit/>
        </w:trPr>
        <w:tc>
          <w:tcPr>
            <w:tcW w:type="dxa" w:w="230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Configurando</w:t>
            </w:r>
          </w:p>
        </w:tc>
        <w:tc>
          <w:tcPr>
            <w:tcW w:type="dxa" w:w="7056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Modal de escenario, fecha, flota, almacenes y turnos.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Esperando pedidos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Mensaje explícito y navegación al registro de pedidos.</w:t>
            </w:r>
          </w:p>
        </w:tc>
      </w:tr>
      <w:tr>
        <w:trPr>
          <w:cantSplit/>
        </w:trPr>
        <w:tc>
          <w:tcPr>
            <w:tcW w:type="dxa" w:w="230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En ejecución</w:t>
            </w:r>
          </w:p>
        </w:tc>
        <w:tc>
          <w:tcPr>
            <w:tcW w:type="dxa" w:w="7056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Control Detener, duración activa y actualizaciones del mapa.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Detenida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Control Iniciar, reloj congelado y contexto preservado.</w:t>
            </w:r>
          </w:p>
        </w:tc>
      </w:tr>
      <w:tr>
        <w:trPr>
          <w:cantSplit/>
        </w:trPr>
        <w:tc>
          <w:tcPr>
            <w:tcW w:type="dxa" w:w="230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Finalizada</w:t>
            </w:r>
          </w:p>
        </w:tc>
        <w:tc>
          <w:tcPr>
            <w:tcW w:type="dxa" w:w="7056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Resumen del ciclo y razón de finalización.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Colapso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Alerta crítica con pedido incumplido, nodo y pendientes.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6.3. Estados de vehículos y pedidos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160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7200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Estados normalizados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Vehículo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Disponible, en ruta al cliente, entregando, retornando, en refrigerio y averiado.</w:t>
            </w:r>
          </w:p>
        </w:tc>
      </w:tr>
      <w:tr>
        <w:trPr>
          <w:cantSplit/>
        </w:trPr>
        <w:tc>
          <w:tcPr>
            <w:tcW w:type="dxa" w:w="216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Pedido</w:t>
            </w:r>
          </w:p>
        </w:tc>
        <w:tc>
          <w:tcPr>
            <w:tcW w:type="dxa" w:w="7200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Registrado, por asignar, en ruta, entregado a tiempo, entregado con retraso y no cumplido.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Almacén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Disponible, en riesgo, crítico y stock ilimitado.</w:t>
            </w:r>
          </w:p>
        </w:tc>
      </w:tr>
    </w:tbl>
    <w:p>
      <w:pPr>
        <w:spacing w:after="20"/>
      </w:pPr>
    </w:p>
    <w:p>
      <w:r>
        <w:t>Los nombres visibles deben ser idénticos en mapa, tabla, filtros, paneles y registro de eventos. Los códigos internos como pending, assigned o broken no deben mostrarse al usuario.</w:t>
      </w:r>
    </w:p>
    <w:p>
      <w:pPr>
        <w:pStyle w:val="Heading2"/>
        <w:keepNext/>
        <w:keepLines/>
      </w:pPr>
      <w:r>
        <w:t>6.4. Notificaciones y situaciones de error</w:t>
      </w:r>
    </w:p>
    <w:p>
      <w:pPr>
        <w:pStyle w:val="ListBullet"/>
        <w:spacing w:after="60"/>
      </w:pPr>
      <w:r>
        <w:t>Los errores de entrada DEBEN aparecer antes de abrir el modal de confirmación.</w:t>
      </w:r>
    </w:p>
    <w:p>
      <w:pPr>
        <w:pStyle w:val="ListBullet"/>
        <w:spacing w:after="60"/>
      </w:pPr>
      <w:r>
        <w:t>Los fallos críticos DEBEN indicar entidad, momento, impacto y siguiente acción disponible.</w:t>
      </w:r>
    </w:p>
    <w:p>
      <w:pPr>
        <w:pStyle w:val="ListBullet"/>
        <w:spacing w:after="60"/>
      </w:pPr>
      <w:r>
        <w:t>La carga de archivo DEBE informar nombre, cantidad de registros válidos, omitidos y errores con número de línea.</w:t>
      </w:r>
    </w:p>
    <w:p>
      <w:pPr>
        <w:pStyle w:val="ListBullet"/>
        <w:spacing w:after="60"/>
      </w:pPr>
      <w:r>
        <w:t>No se deben usar alertas genéricas como Error o Datos inválidos sin detalle.</w:t>
      </w:r>
    </w:p>
    <w:p>
      <w:pPr>
        <w:pStyle w:val="ListBullet"/>
        <w:spacing w:after="60"/>
      </w:pPr>
      <w:r>
        <w:t>Las notificaciones no críticas no deben robar el foco; las confirmaciones modales sí deben gestionarlo explícitamente.</w:t>
      </w:r>
    </w:p>
    <w:p>
      <w:pPr>
        <w:pStyle w:val="Heading2"/>
        <w:keepNext/>
        <w:keepLines/>
      </w:pPr>
      <w:r>
        <w:t>6.5. Actualización de información durante la simulación</w:t>
      </w:r>
    </w:p>
    <w:p>
      <w:pPr>
        <w:pStyle w:val="ListBullet"/>
        <w:spacing w:after="60"/>
      </w:pPr>
      <w:r>
        <w:t>La interfaz PUEDE refrescar datos frecuentes en intervalos aproximados de 350 ms, como el prototipo, siempre que no cause parpadeo ni pérdida de foco.</w:t>
      </w:r>
    </w:p>
    <w:p>
      <w:pPr>
        <w:pStyle w:val="ListBullet"/>
        <w:spacing w:after="60"/>
      </w:pPr>
      <w:r>
        <w:t>No se debe reemplazar el nodo completo de un control que tenga foco o selección activa.</w:t>
      </w:r>
    </w:p>
    <w:p>
      <w:pPr>
        <w:pStyle w:val="ListBullet"/>
        <w:spacing w:after="60"/>
      </w:pPr>
      <w:r>
        <w:t>Los cambios numéricos DEBEN mantener ancho estable mediante números tabulares.</w:t>
      </w:r>
    </w:p>
    <w:p>
      <w:pPr>
        <w:pStyle w:val="ListBullet"/>
        <w:spacing w:after="60"/>
      </w:pPr>
      <w:r>
        <w:t>Las animaciones DEBEN respetar prefers-reduced-motion. La información debe permanecer comprensible sin animación.</w:t>
      </w:r>
    </w:p>
    <w:p>
      <w:pPr>
        <w:pStyle w:val="ListBullet"/>
        <w:spacing w:after="60"/>
      </w:pPr>
      <w:r>
        <w:t>El registro de eventos DEBE limitar el historial visible, conservar el orden y permitir revisar los eventos críticos recientes.</w:t>
      </w:r>
    </w:p>
    <w:p>
      <w:pPr>
        <w:pStyle w:val="Heading1"/>
        <w:keepNext/>
        <w:keepLines/>
      </w:pPr>
      <w:r>
        <w:t>7. Accesibilidad y consistencia</w:t>
      </w:r>
    </w:p>
    <w:p>
      <w:pPr>
        <w:pStyle w:val="Heading2"/>
        <w:keepNext/>
        <w:keepLines/>
      </w:pPr>
      <w:r>
        <w:t>7.1. Contraste y legibilidad</w:t>
      </w:r>
    </w:p>
    <w:p>
      <w:pPr>
        <w:pStyle w:val="ListBullet"/>
        <w:spacing w:after="60"/>
      </w:pPr>
      <w:r>
        <w:t>La meta de conformidad es WCAG 2.2 nivel AA.</w:t>
      </w:r>
    </w:p>
    <w:p>
      <w:pPr>
        <w:pStyle w:val="ListBullet"/>
        <w:spacing w:after="60"/>
      </w:pPr>
      <w:r>
        <w:t>Texto normal DEBE alcanzar al menos 4.5:1; texto grande, componentes y estados gráficos deben alcanzar al menos 3:1.</w:t>
      </w:r>
    </w:p>
    <w:p>
      <w:pPr>
        <w:pStyle w:val="ListBullet"/>
        <w:spacing w:after="60"/>
      </w:pPr>
      <w:r>
        <w:t>El texto terciario actual #71857D sobre blanco no debe usarse por debajo de 18 pt o 14 pt en negrita sin ajustar el color.</w:t>
      </w:r>
    </w:p>
    <w:p>
      <w:pPr>
        <w:pStyle w:val="ListBullet"/>
        <w:spacing w:after="60"/>
      </w:pPr>
      <w:r>
        <w:t>Los colores correcto #2E9E5B y advertencia #B9821B no deben funcionar como texto pequeño sobre blanco; deben oscurecerse o acompañarse de texto principal.</w:t>
      </w:r>
    </w:p>
    <w:p>
      <w:pPr>
        <w:pStyle w:val="ListBullet"/>
        <w:spacing w:after="60"/>
      </w:pPr>
      <w:r>
        <w:t>El usuario debe poder ampliar al 200 por ciento sin pérdida de contenido o funcionalidad esencial.</w:t>
      </w:r>
    </w:p>
    <w:p>
      <w:pPr>
        <w:pStyle w:val="Heading2"/>
        <w:keepNext/>
        <w:keepLines/>
      </w:pPr>
      <w:r>
        <w:t>7.2. Consistencia visual</w:t>
      </w:r>
    </w:p>
    <w:p>
      <w:pPr>
        <w:pStyle w:val="ListBullet"/>
        <w:spacing w:after="60"/>
      </w:pPr>
      <w:r>
        <w:t>Todos los componentes DEBEN consumir los mismos tokens de color, espaciado, radio, sombra y tipografía.</w:t>
      </w:r>
    </w:p>
    <w:p>
      <w:pPr>
        <w:pStyle w:val="ListBullet"/>
        <w:spacing w:after="60"/>
      </w:pPr>
      <w:r>
        <w:t>La misma acción debe conservar nombre, ubicación relativa e icono en todos los módulos.</w:t>
      </w:r>
    </w:p>
    <w:p>
      <w:pPr>
        <w:pStyle w:val="ListBullet"/>
        <w:spacing w:after="60"/>
      </w:pPr>
      <w:r>
        <w:t>Las acciones de alta no deben adoptar el estilo crítico reservado para destrucción o error.</w:t>
      </w:r>
    </w:p>
    <w:p>
      <w:pPr>
        <w:pStyle w:val="ListBullet"/>
        <w:spacing w:after="60"/>
      </w:pPr>
      <w:r>
        <w:t>Los estados vacíos, mensajes de error y confirmaciones deben seguir una voz directa y orientada a la acción.</w:t>
      </w:r>
    </w:p>
    <w:p>
      <w:pPr>
        <w:pStyle w:val="ListBullet"/>
        <w:spacing w:after="60"/>
      </w:pPr>
      <w:r>
        <w:t>El modo oscuro debe mantener jerarquía, significado semántico y contraste equivalentes al modo claro.</w:t>
      </w:r>
    </w:p>
    <w:p>
      <w:pPr>
        <w:pStyle w:val="Heading2"/>
        <w:keepNext/>
        <w:keepLines/>
      </w:pPr>
      <w:r>
        <w:t>7.3. Uso de iconografía</w:t>
      </w:r>
    </w:p>
    <w:p>
      <w:pPr>
        <w:pStyle w:val="ListBullet"/>
        <w:spacing w:after="60"/>
      </w:pPr>
      <w:r>
        <w:t>Los iconos DEBEN provenir de una biblioteca SVG consistente, con trazos y cajas ópticas normalizadas.</w:t>
      </w:r>
    </w:p>
    <w:p>
      <w:pPr>
        <w:pStyle w:val="ListBullet"/>
        <w:spacing w:after="60"/>
      </w:pPr>
      <w:r>
        <w:t>Todo botón solo con icono DEBE tener nombre accesible y tooltip; el tooltip no reemplaza el nombre accesible.</w:t>
      </w:r>
    </w:p>
    <w:p>
      <w:pPr>
        <w:pStyle w:val="ListBullet"/>
        <w:spacing w:after="60"/>
      </w:pPr>
      <w:r>
        <w:t>Los emojis pueden usarse como apoyo informal, pero no como icono operativo único porque su diseño depende del sistema.</w:t>
      </w:r>
    </w:p>
    <w:p>
      <w:pPr>
        <w:pStyle w:val="ListBullet"/>
        <w:spacing w:after="60"/>
      </w:pPr>
      <w:r>
        <w:t>Cerrar, reiniciar, buscar, configurar y zoom deben conservar el mismo símbolo y etiqueta en toda la aplicación.</w:t>
      </w:r>
    </w:p>
    <w:p>
      <w:pPr>
        <w:pStyle w:val="ListBullet"/>
        <w:spacing w:after="60"/>
      </w:pPr>
      <w:r>
        <w:t>Los iconos de estado deben acompañarse de texto visible o accesible.</w:t>
      </w:r>
    </w:p>
    <w:p>
      <w:pPr>
        <w:pStyle w:val="Heading2"/>
        <w:keepNext/>
        <w:keepLines/>
      </w:pPr>
      <w:r>
        <w:t>7.4. Resoluciones y adaptación de pantalla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16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Rango</w:t>
            </w:r>
          </w:p>
        </w:tc>
        <w:tc>
          <w:tcPr>
            <w:tcW w:type="dxa" w:w="7344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Comportamiento esperado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1280 px o más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Mapa completo, cabecera en una o dos líneas y panel de indicadores de hasta 360 px.</w:t>
            </w:r>
          </w:p>
        </w:tc>
      </w:tr>
      <w:tr>
        <w:trPr>
          <w:cantSplit/>
        </w:trPr>
        <w:tc>
          <w:tcPr>
            <w:tcW w:type="dxa" w:w="2016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768-1279 px</w:t>
            </w:r>
          </w:p>
        </w:tc>
        <w:tc>
          <w:tcPr>
            <w:tcW w:type="dxa" w:w="734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Controles secundarios agrupados; panel lateral de máximo 40 por ciento; formularios en dos filas.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320-767 px</w:t>
            </w:r>
          </w:p>
        </w:tc>
        <w:tc>
          <w:tcPr>
            <w:tcW w:type="dxa" w:w="73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Vista de una columna, cabecera compacta, paneles a pantalla completa y tablas desplazables.</w:t>
            </w:r>
          </w:p>
        </w:tc>
      </w:tr>
      <w:tr>
        <w:trPr>
          <w:cantSplit/>
        </w:trPr>
        <w:tc>
          <w:tcPr>
            <w:tcW w:type="dxa" w:w="2016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Zoom 200 por ciento</w:t>
            </w:r>
          </w:p>
        </w:tc>
        <w:tc>
          <w:tcPr>
            <w:tcW w:type="dxa" w:w="7344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Reflujo sin superposición; las acciones críticas permanecen visibles y operables.</w:t>
            </w:r>
          </w:p>
        </w:tc>
      </w:tr>
    </w:tbl>
    <w:p>
      <w:pPr>
        <w:spacing w:after="20"/>
      </w:pPr>
    </w:p>
    <w:p>
      <w:pPr>
        <w:pStyle w:val="Heading3"/>
        <w:keepNext/>
        <w:keepLines/>
      </w:pPr>
      <w:r>
        <w:t>Criterios de aceptación prioritarios</w:t>
      </w:r>
    </w:p>
    <w:p>
      <w:pPr>
        <w:pStyle w:val="ListNumber"/>
        <w:spacing w:after="60"/>
      </w:pPr>
      <w:r>
        <w:t>Completar foco visible y navegación por teclado en todos los controles, modales, paneles y filtros.</w:t>
      </w:r>
    </w:p>
    <w:p>
      <w:pPr>
        <w:pStyle w:val="ListNumber"/>
        <w:spacing w:after="60"/>
      </w:pPr>
      <w:r>
        <w:t>Proporcionar alternativa textual accesible al canvas del mapa.</w:t>
      </w:r>
    </w:p>
    <w:p>
      <w:pPr>
        <w:pStyle w:val="ListNumber"/>
        <w:spacing w:after="60"/>
      </w:pPr>
      <w:r>
        <w:t>Elevar a 12 px el texto auxiliar esencial y corregir contrastes insuficientes.</w:t>
      </w:r>
    </w:p>
    <w:p>
      <w:pPr>
        <w:pStyle w:val="ListNumber"/>
        <w:spacing w:after="60"/>
      </w:pPr>
      <w:r>
        <w:t>Separar estilos de acción primaria, advertencia y destructiva.</w:t>
      </w:r>
    </w:p>
    <w:p>
      <w:pPr>
        <w:pStyle w:val="ListNumber"/>
        <w:spacing w:after="60"/>
      </w:pPr>
      <w:r>
        <w:t>Sustituir emojis operativos por SVG controlados y añadir nombres accesibles.</w:t>
      </w:r>
    </w:p>
    <w:p>
      <w:pPr>
        <w:pStyle w:val="ListNumber"/>
        <w:spacing w:after="60"/>
      </w:pPr>
      <w:r>
        <w:t>Definir y probar reflujo para 320, 768, 1024, 1280 y 1440 px, además de zoom al 200 por ciento.</w:t>
      </w:r>
    </w:p>
    <w:p>
      <w:pPr>
        <w:pStyle w:val="ListNumber"/>
        <w:spacing w:after="60"/>
      </w:pPr>
      <w:r>
        <w:t>Añadir roles, nombres, descripciones y regiones vivas para modales, mensajes y actualizaciones.</w:t>
      </w:r>
    </w:p>
    <w:p>
      <w:pPr>
        <w:pStyle w:val="Heading3"/>
        <w:keepNext/>
        <w:keepLines/>
      </w:pPr>
      <w:r>
        <w:t>Matriz de verificación de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088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7272"/>
            <w:shd w:fill="0A5B6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aprobación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Identidad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No hay colores, tipografías o radios fuera de los tokens aprobados.</w:t>
            </w:r>
          </w:p>
        </w:tc>
      </w:tr>
      <w:tr>
        <w:trPr>
          <w:cantSplit/>
        </w:trPr>
        <w:tc>
          <w:tcPr>
            <w:tcW w:type="dxa" w:w="208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Teclado</w:t>
            </w:r>
          </w:p>
        </w:tc>
        <w:tc>
          <w:tcPr>
            <w:tcW w:type="dxa" w:w="727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Todas las funciones se completan sin ratón y el foco nunca se pierde.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Contraste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Auditoría AA sin fallos de texto, foco o componentes.</w:t>
            </w:r>
          </w:p>
        </w:tc>
      </w:tr>
      <w:tr>
        <w:trPr>
          <w:cantSplit/>
        </w:trPr>
        <w:tc>
          <w:tcPr>
            <w:tcW w:type="dxa" w:w="208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Mapa</w:t>
            </w:r>
          </w:p>
        </w:tc>
        <w:tc>
          <w:tcPr>
            <w:tcW w:type="dxa" w:w="727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Cada entidad visual posee nombre y estado en una alternativa textual.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Formularios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Etiquetas, ayudas, errores y confirmaciones están asociados y son comprensibles.</w:t>
            </w:r>
          </w:p>
        </w:tc>
      </w:tr>
      <w:tr>
        <w:trPr>
          <w:cantSplit/>
        </w:trPr>
        <w:tc>
          <w:tcPr>
            <w:tcW w:type="dxa" w:w="208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Responsive</w:t>
            </w:r>
          </w:p>
        </w:tc>
        <w:tc>
          <w:tcPr>
            <w:tcW w:type="dxa" w:w="727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Sin solapamiento ni pérdida funcional en los cinco anchos de prueba.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Estados</w:t>
            </w:r>
          </w:p>
        </w:tc>
        <w:tc>
          <w:tcPr>
            <w:tcW w:type="dxa" w:w="72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Cada estado se comunica con texto y al menos un indicador adicional al color.</w:t>
            </w:r>
          </w:p>
        </w:tc>
      </w:tr>
      <w:tr>
        <w:trPr>
          <w:cantSplit/>
        </w:trPr>
        <w:tc>
          <w:tcPr>
            <w:tcW w:type="dxa" w:w="2088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Consistencia</w:t>
            </w:r>
          </w:p>
        </w:tc>
        <w:tc>
          <w:tcPr>
            <w:tcW w:type="dxa" w:w="7272"/>
            <w:shd w:fill="F5F8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2211D"/>
                <w:sz w:val="18"/>
              </w:rPr>
              <w:t>Mismas acciones y estados usan el mismo patrón en todos los módulos.</w:t>
            </w:r>
          </w:p>
        </w:tc>
      </w:tr>
    </w:tbl>
    <w:p>
      <w:pPr>
        <w:spacing w:after="20"/>
      </w:pPr>
    </w:p>
    <w:p>
      <w:r>
        <w:t>La aplicación puede considerarse conforme con este estándar cuando no existan incumplimientos obligatorios y las excepciones recomendadas estén justificadas, documentadas y aprobadas por el responsable de producto y accesibilidad.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71857D"/>
        <w:sz w:val="17"/>
      </w:rPr>
      <w:t xml:space="preserve">Estándares GUI del prototipo PaqRap en Ruta   |   </w:t>
    </w:r>
    <w:r>
      <w:rPr>
        <w:color w:val="71857D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221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GUI">
    <w:name w:val="Caption GUI"/>
    <w:pPr>
      <w:keepNext w:val="0"/>
      <w:spacing w:before="60" w:after="180"/>
    </w:pPr>
    <w:rPr>
      <w:rFonts w:ascii="Aptos" w:hAnsi="Aptos"/>
      <w:i/>
      <w:color w:val="71857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Estándares de interfaz gráfica de usuario GUI del prototipo PaqRap en Ruta</dc:title>
  <dc:subject>Normas de diseño visual, interacción, operación logística y accesibilidad</dc:subject>
  <dc:creator>Equipo H983-Eq6F</dc:creator>
  <cp:keywords>PaqRap, GUI, UI, UX, accesibilidad, logística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