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GANeSK</w:t>
      </w:r>
    </w:p>
    <w:p>
      <w:r>
        <w:rPr>
          <w:color w:val="888780"/>
          <w:sz w:val="18"/>
        </w:rPr>
        <w:t>Type: handwritten note  |  Language: english  |  Confidence: Local OCR  |  Generated: 2026-10-29 14:22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General</w:t>
      </w:r>
    </w:p>
    <w:p>
      <w:pPr>
        <w:pStyle w:val="Heading3"/>
      </w:pPr>
      <w:r>
        <w:t>GANeSK</w:t>
      </w:r>
    </w:p>
    <w:p>
      <w:pPr>
        <w:pStyle w:val="Heading2"/>
      </w:pPr>
      <w:r>
        <w:t>Content</w:t>
      </w:r>
    </w:p>
    <w:p>
      <w:r>
        <w:t>GANeSK</w:t>
      </w:r>
    </w:p>
    <w:p>
      <w:pPr>
        <w:pStyle w:val="Heading2"/>
      </w:pPr>
      <w:r>
        <w:t>Summary</w:t>
      </w:r>
    </w:p>
    <w:p>
      <w:r>
        <w:rPr>
          <w:i/>
        </w:rPr>
        <w:t>Detected Subject: General.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GANeSK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