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3A5F"/>
          <w:sz w:val="44"/>
          <w:szCs w:val="44"/>
        </w:rPr>
        <w:t xml:space="preserve">Consultation Pre-Call Briefing System</w:t>
      </w:r>
    </w:p>
    <w:p>
      <w:pPr>
        <w:spacing w:after="40"/>
      </w:pPr>
      <w:r>
        <w:rPr>
          <w:color w:val="2E6E9E"/>
          <w:sz w:val="26"/>
          <w:szCs w:val="26"/>
        </w:rPr>
        <w:t xml:space="preserve">Build Plan &amp; System Design</w:t>
      </w:r>
    </w:p>
    <w:p>
      <w:pPr>
        <w:spacing w:after="600"/>
      </w:pPr>
      <w:r>
        <w:rPr>
          <w:i/>
          <w:iCs/>
          <w:color w:val="595959"/>
          <w:sz w:val="20"/>
          <w:szCs w:val="20"/>
        </w:rPr>
        <w:t xml:space="preserve">Prepared for team lead review  ·  September 2026</w:t>
      </w:r>
    </w:p>
    <w:p>
      <w:pPr>
        <w:pStyle w:val="Heading1"/>
        <w:pBdr>
          <w:bottom w:val="single" w:color="1F3A5F" w:sz="6" w:space="4"/>
        </w:pBdr>
        <w:spacing w:after="160" w:before="360"/>
      </w:pPr>
      <w:r>
        <w:rPr>
          <w:b/>
          <w:bCs/>
          <w:color w:val="1F3A5F"/>
        </w:rPr>
        <w:t xml:space="preserve">1. Summary</w:t>
      </w:r>
    </w:p>
    <w:p>
      <w:pPr>
        <w:spacing w:after="160" w:line="276"/>
      </w:pPr>
      <w:r>
        <w:t xml:space="preserve">This project automates two things attorneys currently do by hand before and around client consultations:</w:t>
      </w:r>
    </w:p>
    <w:p>
      <w:pPr>
        <w:pStyle w:val="ListParagraph"/>
        <w:numPr>
          <w:ilvl w:val="0"/>
          <w:numId w:val="2"/>
        </w:numPr>
        <w:spacing w:after="80" w:line="276"/>
      </w:pPr>
      <w:r>
        <w:rPr>
          <w:b/>
          <w:bCs/>
        </w:rPr>
        <w:t xml:space="preserve">Pre-call briefing — </w:t>
      </w:r>
      <w:r>
        <w:t xml:space="preserve">before each Calendly consultation, automatically summarize what the client wants to discuss, and if they're a returning client, summarize their prior meeting history, then deliver both to Microsoft Teams a few minutes before the call.</w:t>
      </w:r>
    </w:p>
    <w:p>
      <w:pPr>
        <w:pStyle w:val="ListParagraph"/>
        <w:numPr>
          <w:ilvl w:val="0"/>
          <w:numId w:val="2"/>
        </w:numPr>
        <w:spacing w:after="80" w:line="276"/>
      </w:pPr>
      <w:r>
        <w:rPr>
          <w:b/>
          <w:bCs/>
        </w:rPr>
        <w:t xml:space="preserve">Live-meeting catch-up — </w:t>
      </w:r>
      <w:r>
        <w:t xml:space="preserve">let an attorney who joins a call late get caught up on what was already discussed.</w:t>
      </w:r>
    </w:p>
    <w:p>
      <w:pPr>
        <w:spacing w:after="160" w:line="276"/>
      </w:pPr>
      <w:r>
        <w:t xml:space="preserve">The two needs split into two very different builds: the briefing pipeline is new integration work we build ourselves; the live catch-up need is already solved by a Microsoft 365 licensing feature and requires no custom code. Section 5 covers why.</w:t>
      </w:r>
    </w:p>
    <w:p>
      <w:pPr>
        <w:pStyle w:val="Heading1"/>
        <w:pBdr>
          <w:bottom w:val="single" w:color="1F3A5F" w:sz="6" w:space="4"/>
        </w:pBdr>
        <w:spacing w:after="160" w:before="360"/>
      </w:pPr>
      <w:r>
        <w:rPr>
          <w:b/>
          <w:bCs/>
          <w:color w:val="1F3A5F"/>
        </w:rPr>
        <w:t xml:space="preserve">2. Goals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000"/>
      </w:tblGrid>
      <w:tr>
        <w:trPr>
          <w:tblHeader/>
        </w:trPr>
        <w:tc>
          <w:tcPr>
            <w:tcW w:type="dxa" w:w="700"/>
            <w:shd w:fill="1F3A5F" w:val="clear"/>
            <w:tcMar>
              <w:top w:type="dxa" w:w="100"/>
              <w:left w:type="dxa" w:w="120"/>
              <w:bottom w:type="dxa" w:w="100"/>
              <w:right w:type="dxa" w:w="120"/>
            </w:tcMar>
          </w:tcPr>
          <w:p>
            <w:r>
              <w:rPr>
                <w:b/>
                <w:bCs/>
                <w:color w:val="FFFFFF"/>
                <w:sz w:val="20"/>
                <w:szCs w:val="20"/>
              </w:rPr>
              <w:t xml:space="preserve">#</w:t>
            </w:r>
          </w:p>
        </w:tc>
        <w:tc>
          <w:tcPr>
            <w:tcW w:type="dxa" w:w="5600"/>
            <w:shd w:fill="1F3A5F" w:val="clear"/>
            <w:tcMar>
              <w:top w:type="dxa" w:w="100"/>
              <w:left w:type="dxa" w:w="120"/>
              <w:bottom w:type="dxa" w:w="100"/>
              <w:right w:type="dxa" w:w="120"/>
            </w:tcMar>
          </w:tcPr>
          <w:p>
            <w:r>
              <w:rPr>
                <w:b/>
                <w:bCs/>
                <w:color w:val="FFFFFF"/>
                <w:sz w:val="20"/>
                <w:szCs w:val="20"/>
              </w:rPr>
              <w:t xml:space="preserve">Requirement</w:t>
            </w:r>
          </w:p>
        </w:tc>
        <w:tc>
          <w:tcPr>
            <w:tcW w:type="dxa" w:w="3000"/>
            <w:shd w:fill="1F3A5F" w:val="clear"/>
            <w:tcMar>
              <w:top w:type="dxa" w:w="100"/>
              <w:left w:type="dxa" w:w="120"/>
              <w:bottom w:type="dxa" w:w="100"/>
              <w:right w:type="dxa" w:w="120"/>
            </w:tcMar>
          </w:tcPr>
          <w:p>
            <w:r>
              <w:rPr>
                <w:b/>
                <w:bCs/>
                <w:color w:val="FFFFFF"/>
                <w:sz w:val="20"/>
                <w:szCs w:val="20"/>
              </w:rPr>
              <w:t xml:space="preserve">Approach</w:t>
            </w:r>
          </w:p>
        </w:tc>
      </w:tr>
      <w:tr>
        <w:tc>
          <w:tcPr>
            <w:tcW w:type="dxa" w:w="700"/>
            <w:tcMar>
              <w:top w:type="dxa" w:w="100"/>
              <w:left w:type="dxa" w:w="120"/>
              <w:bottom w:type="dxa" w:w="100"/>
              <w:right w:type="dxa" w:w="120"/>
            </w:tcMar>
          </w:tcPr>
          <w:p>
            <w:r>
              <w:rPr>
                <w:b w:val="false"/>
                <w:bCs w:val="false"/>
                <w:color w:val="000000"/>
                <w:sz w:val="20"/>
                <w:szCs w:val="20"/>
              </w:rPr>
              <w:t xml:space="preserve">1</w:t>
            </w:r>
          </w:p>
        </w:tc>
        <w:tc>
          <w:tcPr>
            <w:tcW w:type="dxa" w:w="5600"/>
            <w:tcMar>
              <w:top w:type="dxa" w:w="100"/>
              <w:left w:type="dxa" w:w="120"/>
              <w:bottom w:type="dxa" w:w="100"/>
              <w:right w:type="dxa" w:w="120"/>
            </w:tcMar>
          </w:tcPr>
          <w:p>
            <w:r>
              <w:rPr>
                <w:b w:val="false"/>
                <w:bCs w:val="false"/>
                <w:color w:val="000000"/>
                <w:sz w:val="20"/>
                <w:szCs w:val="20"/>
              </w:rPr>
              <w:t xml:space="preserve">Summarize each client's stated discussion topics before the call</w:t>
            </w:r>
          </w:p>
        </w:tc>
        <w:tc>
          <w:tcPr>
            <w:tcW w:type="dxa" w:w="3000"/>
            <w:tcMar>
              <w:top w:type="dxa" w:w="100"/>
              <w:left w:type="dxa" w:w="120"/>
              <w:bottom w:type="dxa" w:w="100"/>
              <w:right w:type="dxa" w:w="120"/>
            </w:tcMar>
          </w:tcPr>
          <w:p>
            <w:r>
              <w:rPr>
                <w:b w:val="false"/>
                <w:bCs w:val="false"/>
                <w:color w:val="000000"/>
                <w:sz w:val="20"/>
                <w:szCs w:val="20"/>
              </w:rPr>
              <w:t xml:space="preserve">Custom pipeline (build)</w:t>
            </w:r>
          </w:p>
        </w:tc>
      </w:tr>
      <w:tr>
        <w:tc>
          <w:tcPr>
            <w:tcW w:type="dxa" w:w="700"/>
            <w:shd w:fill="EAF1F8" w:val="clear"/>
            <w:tcMar>
              <w:top w:type="dxa" w:w="100"/>
              <w:left w:type="dxa" w:w="120"/>
              <w:bottom w:type="dxa" w:w="100"/>
              <w:right w:type="dxa" w:w="120"/>
            </w:tcMar>
          </w:tcPr>
          <w:p>
            <w:r>
              <w:rPr>
                <w:b w:val="false"/>
                <w:bCs w:val="false"/>
                <w:color w:val="000000"/>
                <w:sz w:val="20"/>
                <w:szCs w:val="20"/>
              </w:rPr>
              <w:t xml:space="preserve">2</w:t>
            </w:r>
          </w:p>
        </w:tc>
        <w:tc>
          <w:tcPr>
            <w:tcW w:type="dxa" w:w="5600"/>
            <w:shd w:fill="EAF1F8" w:val="clear"/>
            <w:tcMar>
              <w:top w:type="dxa" w:w="100"/>
              <w:left w:type="dxa" w:w="120"/>
              <w:bottom w:type="dxa" w:w="100"/>
              <w:right w:type="dxa" w:w="120"/>
            </w:tcMar>
          </w:tcPr>
          <w:p>
            <w:r>
              <w:rPr>
                <w:b w:val="false"/>
                <w:bCs w:val="false"/>
                <w:color w:val="000000"/>
                <w:sz w:val="20"/>
                <w:szCs w:val="20"/>
              </w:rPr>
              <w:t xml:space="preserve">Surface a repeat client's prior meeting history before the call</w:t>
            </w:r>
          </w:p>
        </w:tc>
        <w:tc>
          <w:tcPr>
            <w:tcW w:type="dxa" w:w="3000"/>
            <w:shd w:fill="EAF1F8" w:val="clear"/>
            <w:tcMar>
              <w:top w:type="dxa" w:w="100"/>
              <w:left w:type="dxa" w:w="120"/>
              <w:bottom w:type="dxa" w:w="100"/>
              <w:right w:type="dxa" w:w="120"/>
            </w:tcMar>
          </w:tcPr>
          <w:p>
            <w:r>
              <w:rPr>
                <w:b w:val="false"/>
                <w:bCs w:val="false"/>
                <w:color w:val="000000"/>
                <w:sz w:val="20"/>
                <w:szCs w:val="20"/>
              </w:rPr>
              <w:t xml:space="preserve">Custom pipeline (build)</w:t>
            </w:r>
          </w:p>
        </w:tc>
      </w:tr>
      <w:tr>
        <w:tc>
          <w:tcPr>
            <w:tcW w:type="dxa" w:w="700"/>
            <w:tcMar>
              <w:top w:type="dxa" w:w="100"/>
              <w:left w:type="dxa" w:w="120"/>
              <w:bottom w:type="dxa" w:w="100"/>
              <w:right w:type="dxa" w:w="120"/>
            </w:tcMar>
          </w:tcPr>
          <w:p>
            <w:r>
              <w:rPr>
                <w:b w:val="false"/>
                <w:bCs w:val="false"/>
                <w:color w:val="000000"/>
                <w:sz w:val="20"/>
                <w:szCs w:val="20"/>
              </w:rPr>
              <w:t xml:space="preserve">3</w:t>
            </w:r>
          </w:p>
        </w:tc>
        <w:tc>
          <w:tcPr>
            <w:tcW w:type="dxa" w:w="5600"/>
            <w:tcMar>
              <w:top w:type="dxa" w:w="100"/>
              <w:left w:type="dxa" w:w="120"/>
              <w:bottom w:type="dxa" w:w="100"/>
              <w:right w:type="dxa" w:w="120"/>
            </w:tcMar>
          </w:tcPr>
          <w:p>
            <w:r>
              <w:rPr>
                <w:b w:val="false"/>
                <w:bCs w:val="false"/>
                <w:color w:val="000000"/>
                <w:sz w:val="20"/>
                <w:szCs w:val="20"/>
              </w:rPr>
              <w:t xml:space="preserve">Let a late-joining attorney catch up mid-meeting</w:t>
            </w:r>
          </w:p>
        </w:tc>
        <w:tc>
          <w:tcPr>
            <w:tcW w:type="dxa" w:w="3000"/>
            <w:tcMar>
              <w:top w:type="dxa" w:w="100"/>
              <w:left w:type="dxa" w:w="120"/>
              <w:bottom w:type="dxa" w:w="100"/>
              <w:right w:type="dxa" w:w="120"/>
            </w:tcMar>
          </w:tcPr>
          <w:p>
            <w:r>
              <w:rPr>
                <w:b w:val="false"/>
                <w:bCs w:val="false"/>
                <w:color w:val="000000"/>
                <w:sz w:val="20"/>
                <w:szCs w:val="20"/>
              </w:rPr>
              <w:t xml:space="preserve">Teams Premium licensing (no build)</w:t>
            </w:r>
          </w:p>
        </w:tc>
      </w:tr>
    </w:tbl>
    <w:p>
      <w:pPr>
        <w:pStyle w:val="Heading1"/>
        <w:pBdr>
          <w:bottom w:val="single" w:color="1F3A5F" w:sz="6" w:space="4"/>
        </w:pBdr>
        <w:spacing w:after="160" w:before="360"/>
      </w:pPr>
      <w:r>
        <w:rPr>
          <w:b/>
          <w:bCs/>
          <w:color w:val="1F3A5F"/>
        </w:rPr>
        <w:t xml:space="preserve">3. How It Works — Pre-Call Briefing Pipeline</w:t>
      </w:r>
    </w:p>
    <w:p>
      <w:pPr>
        <w:spacing w:after="160" w:line="276"/>
      </w:pPr>
      <w:r>
        <w:t xml:space="preserve">The pipeline has four stages. Each stage is a small, independent piece so any one of them can be changed later without touching the others.</w:t>
      </w:r>
    </w:p>
    <w:p>
      <w:pPr>
        <w:pStyle w:val="Heading2"/>
        <w:spacing w:after="120" w:before="280"/>
      </w:pPr>
      <w:r>
        <w:rPr>
          <w:b/>
          <w:bCs/>
          <w:color w:val="2E6E9E"/>
        </w:rPr>
        <w:t xml:space="preserve">Stage 1 — Capture the booking</w:t>
      </w:r>
    </w:p>
    <w:p>
      <w:pPr>
        <w:spacing w:after="160" w:line="276"/>
      </w:pPr>
      <w:r>
        <w:t xml:space="preserve">When a client books a consultation, Calendly sends a webhook the moment the booking is made (and another one if it's canceled). That webhook payload already contains the client's name, email, appointment time, and — because we require a booking question like “What would you like to discuss?” — their own description of what they want to talk about. This is the only source of raw material for requirement 1, so the booking form itself is part of the system.</w:t>
      </w:r>
    </w:p>
    <w:p>
      <w:pPr>
        <w:pStyle w:val="Heading2"/>
        <w:spacing w:after="120" w:before="280"/>
      </w:pPr>
      <w:r>
        <w:rPr>
          <w:b/>
          <w:bCs/>
          <w:color w:val="2E6E9E"/>
        </w:rPr>
        <w:t xml:space="preserve">Stage 2 — Store and recognize repeat clients</w:t>
      </w:r>
    </w:p>
    <w:p>
      <w:pPr>
        <w:spacing w:after="160" w:line="276"/>
      </w:pPr>
      <w:r>
        <w:t xml:space="preserve">Every booking is written to a small database, keyed by the client's email address. Before storing a new booking, we check: has this email booked with us before? If yes, it's flagged as a repeat client and gets the extra history step in Stage 3. (Known limitation: a client who books under a different email won't be recognized automatically — see Section 6.)</w:t>
      </w:r>
    </w:p>
    <w:p>
      <w:pPr>
        <w:pStyle w:val="Heading2"/>
        <w:spacing w:after="120" w:before="280"/>
      </w:pPr>
      <w:r>
        <w:rPr>
          <w:b/>
          <w:bCs/>
          <w:color w:val="2E6E9E"/>
        </w:rPr>
        <w:t xml:space="preserve">Stage 3 — Generate the brief</w:t>
      </w:r>
    </w:p>
    <w:p>
      <w:pPr>
        <w:spacing w:after="160" w:line="276"/>
      </w:pPr>
      <w:r>
        <w:t xml:space="preserve">A scheduled check runs every 2–3 minutes looking for consultations starting in the next 10–12 minutes that haven't been briefed yet. For each one, it asks Claude to:</w:t>
      </w:r>
    </w:p>
    <w:p>
      <w:pPr>
        <w:pStyle w:val="ListParagraph"/>
        <w:numPr>
          <w:ilvl w:val="0"/>
          <w:numId w:val="2"/>
        </w:numPr>
        <w:spacing w:after="80" w:line="276"/>
      </w:pPr>
      <w:r>
        <w:t xml:space="preserve">Turn the client's raw discussion notes into a tight, 2–4 bullet summary.</w:t>
      </w:r>
    </w:p>
    <w:p>
      <w:pPr>
        <w:pStyle w:val="ListParagraph"/>
        <w:numPr>
          <w:ilvl w:val="0"/>
          <w:numId w:val="2"/>
        </w:numPr>
        <w:spacing w:after="80" w:line="276"/>
      </w:pPr>
      <w:r>
        <w:t xml:space="preserve">If it's a repeat client, summarize their prior meeting notes into a short case history.</w:t>
      </w:r>
    </w:p>
    <w:p>
      <w:pPr>
        <w:pStyle w:val="Heading2"/>
        <w:spacing w:after="120" w:before="280"/>
      </w:pPr>
      <w:r>
        <w:rPr>
          <w:b/>
          <w:bCs/>
          <w:color w:val="2E6E9E"/>
        </w:rPr>
        <w:t xml:space="preserve">Stage 4 — Deliver to Teams</w:t>
      </w:r>
    </w:p>
    <w:p>
      <w:pPr>
        <w:spacing w:after="160" w:line="276"/>
      </w:pPr>
      <w:r>
        <w:t xml:space="preserve">The brief is posted to a team channel automatically, and for repeat clients, also sent as a direct message with the case history attached. This happens with no one lifting a finger — the attorney sees it in Teams a few minutes before the client joins.</w:t>
      </w:r>
    </w:p>
    <w:p>
      <w:pPr>
        <w:pStyle w:val="Heading2"/>
        <w:spacing w:after="120" w:before="280"/>
      </w:pPr>
      <w:r>
        <w:rPr>
          <w:b/>
          <w:bCs/>
          <w:color w:val="2E6E9E"/>
        </w:rPr>
        <w:t xml:space="preserve">The self-sustaining loop</w:t>
      </w:r>
    </w:p>
    <w:p>
      <w:pPr>
        <w:spacing w:after="160" w:line="276"/>
      </w:pPr>
      <w:r>
        <w:t xml:space="preserve">After each meeting ends, a second scheduled job pulls that meeting's Teams transcript (from Intelligent Recap / built-in transcription), summarizes it into case notes with Claude, and stores it. That stored note is exactly what Stage 3 pulls for that client's next visit — so nobody has to type up notes by hand for the repeat-client brief to keep working.</w:t>
      </w:r>
    </w:p>
    <w:p>
      <w:pPr>
        <w:pStyle w:val="Heading1"/>
        <w:pBdr>
          <w:bottom w:val="single" w:color="1F3A5F" w:sz="6" w:space="4"/>
        </w:pBdr>
        <w:spacing w:after="160" w:before="360"/>
      </w:pPr>
      <w:r>
        <w:rPr>
          <w:b/>
          <w:bCs/>
          <w:color w:val="1F3A5F"/>
        </w:rPr>
        <w:t xml:space="preserve">4. System Architecture</w:t>
      </w:r>
    </w:p>
    <w:p>
      <w:pPr>
        <w:spacing w:after="160" w:line="276"/>
      </w:pPr>
      <w:r>
        <w:t xml:space="preserve">All components run on our existing GCP VM, using the same webhook + cron + database pattern already in production for the email intelligence system — this isn't a new operating model, just a new pipeline on top of one we already run.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00"/>
      </w:tblGrid>
      <w:tr>
        <w:trPr>
          <w:tblHeader/>
        </w:trPr>
        <w:tc>
          <w:tcPr>
            <w:tcW w:type="dxa" w:w="2200"/>
            <w:shd w:fill="1F3A5F" w:val="clear"/>
            <w:tcMar>
              <w:top w:type="dxa" w:w="100"/>
              <w:left w:type="dxa" w:w="120"/>
              <w:bottom w:type="dxa" w:w="100"/>
              <w:right w:type="dxa" w:w="120"/>
            </w:tcMar>
          </w:tcPr>
          <w:p>
            <w:r>
              <w:rPr>
                <w:b/>
                <w:bCs/>
                <w:color w:val="FFFFFF"/>
                <w:sz w:val="20"/>
                <w:szCs w:val="20"/>
              </w:rPr>
              <w:t xml:space="preserve">Component</w:t>
            </w:r>
          </w:p>
        </w:tc>
        <w:tc>
          <w:tcPr>
            <w:tcW w:type="dxa" w:w="4400"/>
            <w:shd w:fill="1F3A5F" w:val="clear"/>
            <w:tcMar>
              <w:top w:type="dxa" w:w="100"/>
              <w:left w:type="dxa" w:w="120"/>
              <w:bottom w:type="dxa" w:w="100"/>
              <w:right w:type="dxa" w:w="120"/>
            </w:tcMar>
          </w:tcPr>
          <w:p>
            <w:r>
              <w:rPr>
                <w:b/>
                <w:bCs/>
                <w:color w:val="FFFFFF"/>
                <w:sz w:val="20"/>
                <w:szCs w:val="20"/>
              </w:rPr>
              <w:t xml:space="preserve">Role</w:t>
            </w:r>
          </w:p>
        </w:tc>
        <w:tc>
          <w:tcPr>
            <w:tcW w:type="dxa" w:w="2700"/>
            <w:shd w:fill="1F3A5F" w:val="clear"/>
            <w:tcMar>
              <w:top w:type="dxa" w:w="100"/>
              <w:left w:type="dxa" w:w="120"/>
              <w:bottom w:type="dxa" w:w="100"/>
              <w:right w:type="dxa" w:w="120"/>
            </w:tcMar>
          </w:tcPr>
          <w:p>
            <w:r>
              <w:rPr>
                <w:b/>
                <w:bCs/>
                <w:color w:val="FFFFFF"/>
                <w:sz w:val="20"/>
                <w:szCs w:val="20"/>
              </w:rPr>
              <w:t xml:space="preserve">Runs as</w:t>
            </w:r>
          </w:p>
        </w:tc>
      </w:tr>
      <w:tr>
        <w:tc>
          <w:tcPr>
            <w:tcW w:type="dxa" w:w="2200"/>
            <w:tcMar>
              <w:top w:type="dxa" w:w="100"/>
              <w:left w:type="dxa" w:w="120"/>
              <w:bottom w:type="dxa" w:w="100"/>
              <w:right w:type="dxa" w:w="120"/>
            </w:tcMar>
          </w:tcPr>
          <w:p>
            <w:r>
              <w:rPr>
                <w:b w:val="false"/>
                <w:bCs w:val="false"/>
                <w:color w:val="000000"/>
                <w:sz w:val="20"/>
                <w:szCs w:val="20"/>
              </w:rPr>
              <w:t xml:space="preserve">Webhook receiver</w:t>
            </w:r>
          </w:p>
        </w:tc>
        <w:tc>
          <w:tcPr>
            <w:tcW w:type="dxa" w:w="4400"/>
            <w:tcMar>
              <w:top w:type="dxa" w:w="100"/>
              <w:left w:type="dxa" w:w="120"/>
              <w:bottom w:type="dxa" w:w="100"/>
              <w:right w:type="dxa" w:w="120"/>
            </w:tcMar>
          </w:tcPr>
          <w:p>
            <w:r>
              <w:rPr>
                <w:b w:val="false"/>
                <w:bCs w:val="false"/>
                <w:color w:val="000000"/>
                <w:sz w:val="20"/>
                <w:szCs w:val="20"/>
              </w:rPr>
              <w:t xml:space="preserve">Accepts Calendly booking/cancel events, writes to the database</w:t>
            </w:r>
          </w:p>
        </w:tc>
        <w:tc>
          <w:tcPr>
            <w:tcW w:type="dxa" w:w="2700"/>
            <w:tcMar>
              <w:top w:type="dxa" w:w="100"/>
              <w:left w:type="dxa" w:w="120"/>
              <w:bottom w:type="dxa" w:w="100"/>
              <w:right w:type="dxa" w:w="120"/>
            </w:tcMar>
          </w:tcPr>
          <w:p>
            <w:r>
              <w:rPr>
                <w:b w:val="false"/>
                <w:bCs w:val="false"/>
                <w:color w:val="000000"/>
                <w:sz w:val="20"/>
                <w:szCs w:val="20"/>
              </w:rPr>
              <w:t xml:space="preserve">Always-on service (systemd)</w:t>
            </w:r>
          </w:p>
        </w:tc>
      </w:tr>
      <w:tr>
        <w:tc>
          <w:tcPr>
            <w:tcW w:type="dxa" w:w="2200"/>
            <w:shd w:fill="EAF1F8" w:val="clear"/>
            <w:tcMar>
              <w:top w:type="dxa" w:w="100"/>
              <w:left w:type="dxa" w:w="120"/>
              <w:bottom w:type="dxa" w:w="100"/>
              <w:right w:type="dxa" w:w="120"/>
            </w:tcMar>
          </w:tcPr>
          <w:p>
            <w:r>
              <w:rPr>
                <w:b w:val="false"/>
                <w:bCs w:val="false"/>
                <w:color w:val="000000"/>
                <w:sz w:val="20"/>
                <w:szCs w:val="20"/>
              </w:rPr>
              <w:t xml:space="preserve">Database</w:t>
            </w:r>
          </w:p>
        </w:tc>
        <w:tc>
          <w:tcPr>
            <w:tcW w:type="dxa" w:w="4400"/>
            <w:shd w:fill="EAF1F8" w:val="clear"/>
            <w:tcMar>
              <w:top w:type="dxa" w:w="100"/>
              <w:left w:type="dxa" w:w="120"/>
              <w:bottom w:type="dxa" w:w="100"/>
              <w:right w:type="dxa" w:w="120"/>
            </w:tcMar>
          </w:tcPr>
          <w:p>
            <w:r>
              <w:rPr>
                <w:b w:val="false"/>
                <w:bCs w:val="false"/>
                <w:color w:val="000000"/>
                <w:sz w:val="20"/>
                <w:szCs w:val="20"/>
              </w:rPr>
              <w:t xml:space="preserve">Stores clients, bookings, and meeting notes (SQLite)</w:t>
            </w:r>
          </w:p>
        </w:tc>
        <w:tc>
          <w:tcPr>
            <w:tcW w:type="dxa" w:w="2700"/>
            <w:shd w:fill="EAF1F8" w:val="clear"/>
            <w:tcMar>
              <w:top w:type="dxa" w:w="100"/>
              <w:left w:type="dxa" w:w="120"/>
              <w:bottom w:type="dxa" w:w="100"/>
              <w:right w:type="dxa" w:w="120"/>
            </w:tcMar>
          </w:tcPr>
          <w:p>
            <w:r>
              <w:rPr>
                <w:b w:val="false"/>
                <w:bCs w:val="false"/>
                <w:color w:val="000000"/>
                <w:sz w:val="20"/>
                <w:szCs w:val="20"/>
              </w:rPr>
              <w:t xml:space="preserve">File on the VM</w:t>
            </w:r>
          </w:p>
        </w:tc>
      </w:tr>
      <w:tr>
        <w:tc>
          <w:tcPr>
            <w:tcW w:type="dxa" w:w="2200"/>
            <w:tcMar>
              <w:top w:type="dxa" w:w="100"/>
              <w:left w:type="dxa" w:w="120"/>
              <w:bottom w:type="dxa" w:w="100"/>
              <w:right w:type="dxa" w:w="120"/>
            </w:tcMar>
          </w:tcPr>
          <w:p>
            <w:r>
              <w:rPr>
                <w:b w:val="false"/>
                <w:bCs w:val="false"/>
                <w:color w:val="000000"/>
                <w:sz w:val="20"/>
                <w:szCs w:val="20"/>
              </w:rPr>
              <w:t xml:space="preserve">Brief scheduler</w:t>
            </w:r>
          </w:p>
        </w:tc>
        <w:tc>
          <w:tcPr>
            <w:tcW w:type="dxa" w:w="4400"/>
            <w:tcMar>
              <w:top w:type="dxa" w:w="100"/>
              <w:left w:type="dxa" w:w="120"/>
              <w:bottom w:type="dxa" w:w="100"/>
              <w:right w:type="dxa" w:w="120"/>
            </w:tcMar>
          </w:tcPr>
          <w:p>
            <w:r>
              <w:rPr>
                <w:b w:val="false"/>
                <w:bCs w:val="false"/>
                <w:color w:val="000000"/>
                <w:sz w:val="20"/>
                <w:szCs w:val="20"/>
              </w:rPr>
              <w:t xml:space="preserve">Every 2–3 min: finds upcoming unbriefed calls, calls Claude, posts to Teams</w:t>
            </w:r>
          </w:p>
        </w:tc>
        <w:tc>
          <w:tcPr>
            <w:tcW w:type="dxa" w:w="2700"/>
            <w:tcMar>
              <w:top w:type="dxa" w:w="100"/>
              <w:left w:type="dxa" w:w="120"/>
              <w:bottom w:type="dxa" w:w="100"/>
              <w:right w:type="dxa" w:w="120"/>
            </w:tcMar>
          </w:tcPr>
          <w:p>
            <w:r>
              <w:rPr>
                <w:b w:val="false"/>
                <w:bCs w:val="false"/>
                <w:color w:val="000000"/>
                <w:sz w:val="20"/>
                <w:szCs w:val="20"/>
              </w:rPr>
              <w:t xml:space="preserve">Cron job</w:t>
            </w:r>
          </w:p>
        </w:tc>
      </w:tr>
      <w:tr>
        <w:tc>
          <w:tcPr>
            <w:tcW w:type="dxa" w:w="2200"/>
            <w:shd w:fill="EAF1F8" w:val="clear"/>
            <w:tcMar>
              <w:top w:type="dxa" w:w="100"/>
              <w:left w:type="dxa" w:w="120"/>
              <w:bottom w:type="dxa" w:w="100"/>
              <w:right w:type="dxa" w:w="120"/>
            </w:tcMar>
          </w:tcPr>
          <w:p>
            <w:r>
              <w:rPr>
                <w:b w:val="false"/>
                <w:bCs w:val="false"/>
                <w:color w:val="000000"/>
                <w:sz w:val="20"/>
                <w:szCs w:val="20"/>
              </w:rPr>
              <w:t xml:space="preserve">Notes sync</w:t>
            </w:r>
          </w:p>
        </w:tc>
        <w:tc>
          <w:tcPr>
            <w:tcW w:type="dxa" w:w="4400"/>
            <w:shd w:fill="EAF1F8" w:val="clear"/>
            <w:tcMar>
              <w:top w:type="dxa" w:w="100"/>
              <w:left w:type="dxa" w:w="120"/>
              <w:bottom w:type="dxa" w:w="100"/>
              <w:right w:type="dxa" w:w="120"/>
            </w:tcMar>
          </w:tcPr>
          <w:p>
            <w:r>
              <w:rPr>
                <w:b w:val="false"/>
                <w:bCs w:val="false"/>
                <w:color w:val="000000"/>
                <w:sz w:val="20"/>
                <w:szCs w:val="20"/>
              </w:rPr>
              <w:t xml:space="preserve">Hourly: pulls past meetings' Teams transcripts, summarizes, stores as notes</w:t>
            </w:r>
          </w:p>
        </w:tc>
        <w:tc>
          <w:tcPr>
            <w:tcW w:type="dxa" w:w="2700"/>
            <w:shd w:fill="EAF1F8" w:val="clear"/>
            <w:tcMar>
              <w:top w:type="dxa" w:w="100"/>
              <w:left w:type="dxa" w:w="120"/>
              <w:bottom w:type="dxa" w:w="100"/>
              <w:right w:type="dxa" w:w="120"/>
            </w:tcMar>
          </w:tcPr>
          <w:p>
            <w:r>
              <w:rPr>
                <w:b w:val="false"/>
                <w:bCs w:val="false"/>
                <w:color w:val="000000"/>
                <w:sz w:val="20"/>
                <w:szCs w:val="20"/>
              </w:rPr>
              <w:t xml:space="preserve">Cron job</w:t>
            </w:r>
          </w:p>
        </w:tc>
      </w:tr>
      <w:tr>
        <w:tc>
          <w:tcPr>
            <w:tcW w:type="dxa" w:w="2200"/>
            <w:tcMar>
              <w:top w:type="dxa" w:w="100"/>
              <w:left w:type="dxa" w:w="120"/>
              <w:bottom w:type="dxa" w:w="100"/>
              <w:right w:type="dxa" w:w="120"/>
            </w:tcMar>
          </w:tcPr>
          <w:p>
            <w:r>
              <w:rPr>
                <w:b w:val="false"/>
                <w:bCs w:val="false"/>
                <w:color w:val="000000"/>
                <w:sz w:val="20"/>
                <w:szCs w:val="20"/>
              </w:rPr>
              <w:t xml:space="preserve">Claude API</w:t>
            </w:r>
          </w:p>
        </w:tc>
        <w:tc>
          <w:tcPr>
            <w:tcW w:type="dxa" w:w="4400"/>
            <w:tcMar>
              <w:top w:type="dxa" w:w="100"/>
              <w:left w:type="dxa" w:w="120"/>
              <w:bottom w:type="dxa" w:w="100"/>
              <w:right w:type="dxa" w:w="120"/>
            </w:tcMar>
          </w:tcPr>
          <w:p>
            <w:r>
              <w:rPr>
                <w:b w:val="false"/>
                <w:bCs w:val="false"/>
                <w:color w:val="000000"/>
                <w:sz w:val="20"/>
                <w:szCs w:val="20"/>
              </w:rPr>
              <w:t xml:space="preserve">Summarizes discussion notes, client history, and transcripts</w:t>
            </w:r>
          </w:p>
        </w:tc>
        <w:tc>
          <w:tcPr>
            <w:tcW w:type="dxa" w:w="2700"/>
            <w:tcMar>
              <w:top w:type="dxa" w:w="100"/>
              <w:left w:type="dxa" w:w="120"/>
              <w:bottom w:type="dxa" w:w="100"/>
              <w:right w:type="dxa" w:w="120"/>
            </w:tcMar>
          </w:tcPr>
          <w:p>
            <w:r>
              <w:rPr>
                <w:b w:val="false"/>
                <w:bCs w:val="false"/>
                <w:color w:val="000000"/>
                <w:sz w:val="20"/>
                <w:szCs w:val="20"/>
              </w:rPr>
              <w:t xml:space="preserve">External API call</w:t>
            </w:r>
          </w:p>
        </w:tc>
      </w:tr>
      <w:tr>
        <w:tc>
          <w:tcPr>
            <w:tcW w:type="dxa" w:w="2200"/>
            <w:shd w:fill="EAF1F8" w:val="clear"/>
            <w:tcMar>
              <w:top w:type="dxa" w:w="100"/>
              <w:left w:type="dxa" w:w="120"/>
              <w:bottom w:type="dxa" w:w="100"/>
              <w:right w:type="dxa" w:w="120"/>
            </w:tcMar>
          </w:tcPr>
          <w:p>
            <w:r>
              <w:rPr>
                <w:b w:val="false"/>
                <w:bCs w:val="false"/>
                <w:color w:val="000000"/>
                <w:sz w:val="20"/>
                <w:szCs w:val="20"/>
              </w:rPr>
              <w:t xml:space="preserve">Microsoft Graph</w:t>
            </w:r>
          </w:p>
        </w:tc>
        <w:tc>
          <w:tcPr>
            <w:tcW w:type="dxa" w:w="4400"/>
            <w:shd w:fill="EAF1F8" w:val="clear"/>
            <w:tcMar>
              <w:top w:type="dxa" w:w="100"/>
              <w:left w:type="dxa" w:w="120"/>
              <w:bottom w:type="dxa" w:w="100"/>
              <w:right w:type="dxa" w:w="120"/>
            </w:tcMar>
          </w:tcPr>
          <w:p>
            <w:r>
              <w:rPr>
                <w:b w:val="false"/>
                <w:bCs w:val="false"/>
                <w:color w:val="000000"/>
                <w:sz w:val="20"/>
                <w:szCs w:val="20"/>
              </w:rPr>
              <w:t xml:space="preserve">Posts to Teams; retrieves meeting transcripts</w:t>
            </w:r>
          </w:p>
        </w:tc>
        <w:tc>
          <w:tcPr>
            <w:tcW w:type="dxa" w:w="2700"/>
            <w:shd w:fill="EAF1F8" w:val="clear"/>
            <w:tcMar>
              <w:top w:type="dxa" w:w="100"/>
              <w:left w:type="dxa" w:w="120"/>
              <w:bottom w:type="dxa" w:w="100"/>
              <w:right w:type="dxa" w:w="120"/>
            </w:tcMar>
          </w:tcPr>
          <w:p>
            <w:r>
              <w:rPr>
                <w:b w:val="false"/>
                <w:bCs w:val="false"/>
                <w:color w:val="000000"/>
                <w:sz w:val="20"/>
                <w:szCs w:val="20"/>
              </w:rPr>
              <w:t xml:space="preserve">External API call</w:t>
            </w:r>
          </w:p>
        </w:tc>
      </w:tr>
    </w:tbl>
    <w:p>
      <w:pPr>
        <w:pStyle w:val="Heading1"/>
        <w:pBdr>
          <w:bottom w:val="single" w:color="1F3A5F" w:sz="6" w:space="4"/>
        </w:pBdr>
        <w:spacing w:after="160" w:before="360"/>
      </w:pPr>
      <w:r>
        <w:rPr>
          <w:b/>
          <w:bCs/>
          <w:color w:val="1F3A5F"/>
        </w:rPr>
        <w:t xml:space="preserve">5. Requirement 3 — Live-Meeting Catch-Up</w:t>
      </w:r>
    </w:p>
    <w:p>
      <w:pPr>
        <w:spacing w:after="160" w:line="276"/>
      </w:pPr>
      <w:r>
        <w:t xml:space="preserve">Because all consultations happen on Microsoft Teams, this requirement is already solved by a licensing decision, not a build:</w:t>
      </w:r>
    </w:p>
    <w:p>
      <w:pPr>
        <w:pStyle w:val="ListParagraph"/>
        <w:numPr>
          <w:ilvl w:val="0"/>
          <w:numId w:val="2"/>
        </w:numPr>
        <w:spacing w:after="80" w:line="276"/>
      </w:pPr>
      <w:r>
        <w:rPr>
          <w:b/>
          <w:bCs/>
        </w:rPr>
        <w:t xml:space="preserve">Teams Premium (~$10/user/month) </w:t>
      </w:r>
      <w:r>
        <w:t xml:space="preserve">for whoever runs consultations, with transcription turned on.</w:t>
      </w:r>
    </w:p>
    <w:p>
      <w:pPr>
        <w:pStyle w:val="ListParagraph"/>
        <w:numPr>
          <w:ilvl w:val="0"/>
          <w:numId w:val="2"/>
        </w:numPr>
        <w:spacing w:after="80" w:line="276"/>
      </w:pPr>
      <w:r>
        <w:rPr>
          <w:b/>
          <w:bCs/>
        </w:rPr>
        <w:t xml:space="preserve">Intelligent Recap </w:t>
      </w:r>
      <w:r>
        <w:t xml:space="preserve">gives AI-generated meeting notes automatically.</w:t>
      </w:r>
    </w:p>
    <w:p>
      <w:pPr>
        <w:pStyle w:val="ListParagraph"/>
        <w:numPr>
          <w:ilvl w:val="0"/>
          <w:numId w:val="2"/>
        </w:numPr>
        <w:spacing w:after="80" w:line="276"/>
      </w:pPr>
      <w:r>
        <w:rPr>
          <w:b/>
          <w:bCs/>
        </w:rPr>
        <w:t xml:space="preserve">Copilot </w:t>
      </w:r>
      <w:r>
        <w:t xml:space="preserve">lets an attorney ask “catch me up on what I missed” mid-meeting, live.</w:t>
      </w:r>
    </w:p>
    <w:p>
      <w:pPr>
        <w:spacing w:after="160" w:line="276"/>
      </w:pPr>
      <w:r>
        <w:t xml:space="preserve">This also has a side benefit: turning on transcription for consultations is what feeds Stage 4's self-sustaining notes loop above, so this one licensing decision supports both requirement 2 and requirement 3.</w:t>
      </w:r>
    </w:p>
    <w:p>
      <w:pPr>
        <w:pStyle w:val="Heading1"/>
        <w:pBdr>
          <w:bottom w:val="single" w:color="1F3A5F" w:sz="6" w:space="4"/>
        </w:pBdr>
        <w:spacing w:after="160" w:before="360"/>
      </w:pPr>
      <w:r>
        <w:rPr>
          <w:b/>
          <w:bCs/>
          <w:color w:val="1F3A5F"/>
        </w:rPr>
        <w:t xml:space="preserve">6. Open Decisions &amp; Risks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00"/>
      </w:tblGrid>
      <w:tr>
        <w:trPr>
          <w:tblHeader/>
        </w:trPr>
        <w:tc>
          <w:tcPr>
            <w:tcW w:type="dxa" w:w="3000"/>
            <w:shd w:fill="1F3A5F" w:val="clear"/>
            <w:tcMar>
              <w:top w:type="dxa" w:w="100"/>
              <w:left w:type="dxa" w:w="120"/>
              <w:bottom w:type="dxa" w:w="100"/>
              <w:right w:type="dxa" w:w="120"/>
            </w:tcMar>
          </w:tcPr>
          <w:p>
            <w:r>
              <w:rPr>
                <w:b/>
                <w:bCs/>
                <w:color w:val="FFFFFF"/>
                <w:sz w:val="20"/>
                <w:szCs w:val="20"/>
              </w:rPr>
              <w:t xml:space="preserve">Item</w:t>
            </w:r>
          </w:p>
        </w:tc>
        <w:tc>
          <w:tcPr>
            <w:tcW w:type="dxa" w:w="5000"/>
            <w:shd w:fill="1F3A5F" w:val="clear"/>
            <w:tcMar>
              <w:top w:type="dxa" w:w="100"/>
              <w:left w:type="dxa" w:w="120"/>
              <w:bottom w:type="dxa" w:w="100"/>
              <w:right w:type="dxa" w:w="120"/>
            </w:tcMar>
          </w:tcPr>
          <w:p>
            <w:r>
              <w:rPr>
                <w:b/>
                <w:bCs/>
                <w:color w:val="FFFFFF"/>
                <w:sz w:val="20"/>
                <w:szCs w:val="20"/>
              </w:rPr>
              <w:t xml:space="preserve">Why it matters</w:t>
            </w:r>
          </w:p>
        </w:tc>
        <w:tc>
          <w:tcPr>
            <w:tcW w:type="dxa" w:w="1300"/>
            <w:shd w:fill="1F3A5F" w:val="clear"/>
            <w:tcMar>
              <w:top w:type="dxa" w:w="100"/>
              <w:left w:type="dxa" w:w="120"/>
              <w:bottom w:type="dxa" w:w="100"/>
              <w:right w:type="dxa" w:w="120"/>
            </w:tcMar>
          </w:tcPr>
          <w:p>
            <w:r>
              <w:rPr>
                <w:b/>
                <w:bCs/>
                <w:color w:val="FFFFFF"/>
                <w:sz w:val="20"/>
                <w:szCs w:val="20"/>
              </w:rPr>
              <w:t xml:space="preserve">Owner</w:t>
            </w:r>
          </w:p>
        </w:tc>
      </w:tr>
      <w:tr>
        <w:tc>
          <w:tcPr>
            <w:tcW w:type="dxa" w:w="3000"/>
            <w:tcMar>
              <w:top w:type="dxa" w:w="100"/>
              <w:left w:type="dxa" w:w="120"/>
              <w:bottom w:type="dxa" w:w="100"/>
              <w:right w:type="dxa" w:w="120"/>
            </w:tcMar>
          </w:tcPr>
          <w:p>
            <w:r>
              <w:rPr>
                <w:b w:val="false"/>
                <w:bCs w:val="false"/>
                <w:color w:val="000000"/>
                <w:sz w:val="20"/>
                <w:szCs w:val="20"/>
              </w:rPr>
              <w:t xml:space="preserve">Client consent to recording/transcription</w:t>
            </w:r>
          </w:p>
        </w:tc>
        <w:tc>
          <w:tcPr>
            <w:tcW w:type="dxa" w:w="5000"/>
            <w:tcMar>
              <w:top w:type="dxa" w:w="100"/>
              <w:left w:type="dxa" w:w="120"/>
              <w:bottom w:type="dxa" w:w="100"/>
              <w:right w:type="dxa" w:w="120"/>
            </w:tcMar>
          </w:tcPr>
          <w:p>
            <w:r>
              <w:rPr>
                <w:b w:val="false"/>
                <w:bCs w:val="false"/>
                <w:color w:val="000000"/>
                <w:sz w:val="20"/>
                <w:szCs w:val="20"/>
              </w:rPr>
              <w:t xml:space="preserve">Consultations would be recorded and transcribed by Teams; some states require all-party consent. Needs sign-off before turning on transcription.</w:t>
            </w:r>
          </w:p>
        </w:tc>
        <w:tc>
          <w:tcPr>
            <w:tcW w:type="dxa" w:w="1300"/>
            <w:tcMar>
              <w:top w:type="dxa" w:w="100"/>
              <w:left w:type="dxa" w:w="120"/>
              <w:bottom w:type="dxa" w:w="100"/>
              <w:right w:type="dxa" w:w="120"/>
            </w:tcMar>
          </w:tcPr>
          <w:p>
            <w:r>
              <w:rPr>
                <w:b w:val="false"/>
                <w:bCs w:val="false"/>
                <w:color w:val="000000"/>
                <w:sz w:val="20"/>
                <w:szCs w:val="20"/>
              </w:rPr>
              <w:t xml:space="preserve">Team lead / firm</w:t>
            </w:r>
          </w:p>
        </w:tc>
      </w:tr>
      <w:tr>
        <w:tc>
          <w:tcPr>
            <w:tcW w:type="dxa" w:w="3000"/>
            <w:shd w:fill="EAF1F8" w:val="clear"/>
            <w:tcMar>
              <w:top w:type="dxa" w:w="100"/>
              <w:left w:type="dxa" w:w="120"/>
              <w:bottom w:type="dxa" w:w="100"/>
              <w:right w:type="dxa" w:w="120"/>
            </w:tcMar>
          </w:tcPr>
          <w:p>
            <w:r>
              <w:rPr>
                <w:b w:val="false"/>
                <w:bCs w:val="false"/>
                <w:color w:val="000000"/>
                <w:sz w:val="20"/>
                <w:szCs w:val="20"/>
              </w:rPr>
              <w:t xml:space="preserve">Email-only client matching</w:t>
            </w:r>
          </w:p>
        </w:tc>
        <w:tc>
          <w:tcPr>
            <w:tcW w:type="dxa" w:w="5000"/>
            <w:shd w:fill="EAF1F8" w:val="clear"/>
            <w:tcMar>
              <w:top w:type="dxa" w:w="100"/>
              <w:left w:type="dxa" w:w="120"/>
              <w:bottom w:type="dxa" w:w="100"/>
              <w:right w:type="dxa" w:w="120"/>
            </w:tcMar>
          </w:tcPr>
          <w:p>
            <w:r>
              <w:rPr>
                <w:b w:val="false"/>
                <w:bCs w:val="false"/>
                <w:color w:val="000000"/>
                <w:sz w:val="20"/>
                <w:szCs w:val="20"/>
              </w:rPr>
              <w:t xml:space="preserve">A client booking under a new email won't be flagged as a repeat client on first pass. A name+phone fallback can be added once we see how often this happens.</w:t>
            </w:r>
          </w:p>
        </w:tc>
        <w:tc>
          <w:tcPr>
            <w:tcW w:type="dxa" w:w="1300"/>
            <w:shd w:fill="EAF1F8" w:val="clear"/>
            <w:tcMar>
              <w:top w:type="dxa" w:w="100"/>
              <w:left w:type="dxa" w:w="120"/>
              <w:bottom w:type="dxa" w:w="100"/>
              <w:right w:type="dxa" w:w="120"/>
            </w:tcMar>
          </w:tcPr>
          <w:p>
            <w:r>
              <w:rPr>
                <w:b w:val="false"/>
                <w:bCs w:val="false"/>
                <w:color w:val="000000"/>
                <w:sz w:val="20"/>
                <w:szCs w:val="20"/>
              </w:rPr>
              <w:t xml:space="preserve">Engineering (phase 2)</w:t>
            </w:r>
          </w:p>
        </w:tc>
      </w:tr>
      <w:tr>
        <w:tc>
          <w:tcPr>
            <w:tcW w:type="dxa" w:w="3000"/>
            <w:tcMar>
              <w:top w:type="dxa" w:w="100"/>
              <w:left w:type="dxa" w:w="120"/>
              <w:bottom w:type="dxa" w:w="100"/>
              <w:right w:type="dxa" w:w="120"/>
            </w:tcMar>
          </w:tcPr>
          <w:p>
            <w:r>
              <w:rPr>
                <w:b w:val="false"/>
                <w:bCs w:val="false"/>
                <w:color w:val="000000"/>
                <w:sz w:val="20"/>
                <w:szCs w:val="20"/>
              </w:rPr>
              <w:t xml:space="preserve">Calendly payload verification</w:t>
            </w:r>
          </w:p>
        </w:tc>
        <w:tc>
          <w:tcPr>
            <w:tcW w:type="dxa" w:w="5000"/>
            <w:tcMar>
              <w:top w:type="dxa" w:w="100"/>
              <w:left w:type="dxa" w:w="120"/>
              <w:bottom w:type="dxa" w:w="100"/>
              <w:right w:type="dxa" w:w="120"/>
            </w:tcMar>
          </w:tcPr>
          <w:p>
            <w:r>
              <w:rPr>
                <w:b w:val="false"/>
                <w:bCs w:val="false"/>
                <w:color w:val="000000"/>
                <w:sz w:val="20"/>
                <w:szCs w:val="20"/>
              </w:rPr>
              <w:t xml:space="preserve">Exact field layout should be checked against a real webhook delivery before go-live, since API payload shape can shift slightly over time.</w:t>
            </w:r>
          </w:p>
        </w:tc>
        <w:tc>
          <w:tcPr>
            <w:tcW w:type="dxa" w:w="1300"/>
            <w:tcMar>
              <w:top w:type="dxa" w:w="100"/>
              <w:left w:type="dxa" w:w="120"/>
              <w:bottom w:type="dxa" w:w="100"/>
              <w:right w:type="dxa" w:w="120"/>
            </w:tcMar>
          </w:tcPr>
          <w:p>
            <w:r>
              <w:rPr>
                <w:b w:val="false"/>
                <w:bCs w:val="false"/>
                <w:color w:val="000000"/>
                <w:sz w:val="20"/>
                <w:szCs w:val="20"/>
              </w:rPr>
              <w:t xml:space="preserve">Engineering (build)</w:t>
            </w:r>
          </w:p>
        </w:tc>
      </w:tr>
      <w:tr>
        <w:tc>
          <w:tcPr>
            <w:tcW w:type="dxa" w:w="3000"/>
            <w:shd w:fill="EAF1F8" w:val="clear"/>
            <w:tcMar>
              <w:top w:type="dxa" w:w="100"/>
              <w:left w:type="dxa" w:w="120"/>
              <w:bottom w:type="dxa" w:w="100"/>
              <w:right w:type="dxa" w:w="120"/>
            </w:tcMar>
          </w:tcPr>
          <w:p>
            <w:r>
              <w:rPr>
                <w:b w:val="false"/>
                <w:bCs w:val="false"/>
                <w:color w:val="000000"/>
                <w:sz w:val="20"/>
                <w:szCs w:val="20"/>
              </w:rPr>
              <w:t xml:space="preserve">Where past notes currently live</w:t>
            </w:r>
          </w:p>
        </w:tc>
        <w:tc>
          <w:tcPr>
            <w:tcW w:type="dxa" w:w="5000"/>
            <w:shd w:fill="EAF1F8" w:val="clear"/>
            <w:tcMar>
              <w:top w:type="dxa" w:w="100"/>
              <w:left w:type="dxa" w:w="120"/>
              <w:bottom w:type="dxa" w:w="100"/>
              <w:right w:type="dxa" w:w="120"/>
            </w:tcMar>
          </w:tcPr>
          <w:p>
            <w:r>
              <w:rPr>
                <w:b w:val="false"/>
                <w:bCs w:val="false"/>
                <w:color w:val="000000"/>
                <w:sz w:val="20"/>
                <w:szCs w:val="20"/>
              </w:rPr>
              <w:t xml:space="preserve">Determines whether we need a one-time backfill from existing notes (e.g. Paraleagle, OneNote) in addition to the automatic post-meeting sync going forward.</w:t>
            </w:r>
          </w:p>
        </w:tc>
        <w:tc>
          <w:tcPr>
            <w:tcW w:type="dxa" w:w="1300"/>
            <w:shd w:fill="EAF1F8" w:val="clear"/>
            <w:tcMar>
              <w:top w:type="dxa" w:w="100"/>
              <w:left w:type="dxa" w:w="120"/>
              <w:bottom w:type="dxa" w:w="100"/>
              <w:right w:type="dxa" w:w="120"/>
            </w:tcMar>
          </w:tcPr>
          <w:p>
            <w:r>
              <w:rPr>
                <w:b w:val="false"/>
                <w:bCs w:val="false"/>
                <w:color w:val="000000"/>
                <w:sz w:val="20"/>
                <w:szCs w:val="20"/>
              </w:rPr>
              <w:t xml:space="preserve">Team lead to confirm</w:t>
            </w:r>
          </w:p>
        </w:tc>
      </w:tr>
    </w:tbl>
    <w:p>
      <w:pPr>
        <w:pStyle w:val="Heading1"/>
        <w:pBdr>
          <w:bottom w:val="single" w:color="1F3A5F" w:sz="6" w:space="4"/>
        </w:pBdr>
        <w:spacing w:after="160" w:before="360"/>
      </w:pPr>
      <w:r>
        <w:rPr>
          <w:b/>
          <w:bCs/>
          <w:color w:val="1F3A5F"/>
        </w:rPr>
        <w:t xml:space="preserve">7. What We Need Before Building</w:t>
      </w:r>
    </w:p>
    <w:p>
      <w:pPr>
        <w:pStyle w:val="ListParagraph"/>
        <w:numPr>
          <w:ilvl w:val="0"/>
          <w:numId w:val="3"/>
        </w:numPr>
        <w:spacing w:after="100" w:line="276"/>
      </w:pPr>
      <w:r>
        <w:t xml:space="preserve">Calendly plan check — webhooks require Standard tier or above.</w:t>
      </w:r>
    </w:p>
    <w:p>
      <w:pPr>
        <w:pStyle w:val="ListParagraph"/>
        <w:numPr>
          <w:ilvl w:val="0"/>
          <w:numId w:val="3"/>
        </w:numPr>
        <w:spacing w:after="100" w:line="276"/>
      </w:pPr>
      <w:r>
        <w:t xml:space="preserve">A required discussion-topic question added to the consultation booking form.</w:t>
      </w:r>
    </w:p>
    <w:p>
      <w:pPr>
        <w:pStyle w:val="ListParagraph"/>
        <w:numPr>
          <w:ilvl w:val="0"/>
          <w:numId w:val="3"/>
        </w:numPr>
        <w:spacing w:after="100" w:line="276"/>
      </w:pPr>
      <w:r>
        <w:t xml:space="preserve">Microsoft Entra ID app registration with Graph permissions for reading meeting transcripts and posting to Teams (admin consent required).</w:t>
      </w:r>
    </w:p>
    <w:p>
      <w:pPr>
        <w:pStyle w:val="ListParagraph"/>
        <w:numPr>
          <w:ilvl w:val="0"/>
          <w:numId w:val="3"/>
        </w:numPr>
        <w:spacing w:after="100" w:line="276"/>
      </w:pPr>
      <w:r>
        <w:t xml:space="preserve">A Teams channel Incoming Webhook (or Workflows connector) for posting the daily briefs.</w:t>
      </w:r>
    </w:p>
    <w:p>
      <w:pPr>
        <w:pStyle w:val="ListParagraph"/>
        <w:numPr>
          <w:ilvl w:val="0"/>
          <w:numId w:val="3"/>
        </w:numPr>
        <w:spacing w:after="100" w:line="276"/>
      </w:pPr>
      <w:r>
        <w:t xml:space="preserve">Decision + sign-off on enabling consultation transcription (see Section 6).</w:t>
      </w:r>
    </w:p>
    <w:p>
      <w:pPr>
        <w:pStyle w:val="ListParagraph"/>
        <w:numPr>
          <w:ilvl w:val="0"/>
          <w:numId w:val="3"/>
        </w:numPr>
        <w:spacing w:after="100" w:line="276"/>
      </w:pPr>
      <w:r>
        <w:t xml:space="preserve">Anthropic API access for the summarization calls.</w:t>
      </w:r>
    </w:p>
    <w:p>
      <w:pPr>
        <w:pStyle w:val="Heading1"/>
        <w:pBdr>
          <w:bottom w:val="single" w:color="1F3A5F" w:sz="6" w:space="4"/>
        </w:pBdr>
        <w:spacing w:after="160" w:before="360"/>
      </w:pPr>
      <w:r>
        <w:rPr>
          <w:b/>
          <w:bCs/>
          <w:color w:val="1F3A5F"/>
        </w:rPr>
        <w:t xml:space="preserve">8. Build Plan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2800"/>
      </w:tblGrid>
      <w:tr>
        <w:trPr>
          <w:tblHeader/>
        </w:trPr>
        <w:tc>
          <w:tcPr>
            <w:tcW w:type="dxa" w:w="1800"/>
            <w:shd w:fill="1F3A5F" w:val="clear"/>
            <w:tcMar>
              <w:top w:type="dxa" w:w="100"/>
              <w:left w:type="dxa" w:w="120"/>
              <w:bottom w:type="dxa" w:w="100"/>
              <w:right w:type="dxa" w:w="120"/>
            </w:tcMar>
          </w:tcPr>
          <w:p>
            <w:r>
              <w:rPr>
                <w:b/>
                <w:bCs/>
                <w:color w:val="FFFFFF"/>
                <w:sz w:val="20"/>
                <w:szCs w:val="20"/>
              </w:rPr>
              <w:t xml:space="preserve">Phase</w:t>
            </w:r>
          </w:p>
        </w:tc>
        <w:tc>
          <w:tcPr>
            <w:tcW w:type="dxa" w:w="5700"/>
            <w:shd w:fill="1F3A5F" w:val="clear"/>
            <w:tcMar>
              <w:top w:type="dxa" w:w="100"/>
              <w:left w:type="dxa" w:w="120"/>
              <w:bottom w:type="dxa" w:w="100"/>
              <w:right w:type="dxa" w:w="120"/>
            </w:tcMar>
          </w:tcPr>
          <w:p>
            <w:r>
              <w:rPr>
                <w:b/>
                <w:bCs/>
                <w:color w:val="FFFFFF"/>
                <w:sz w:val="20"/>
                <w:szCs w:val="20"/>
              </w:rPr>
              <w:t xml:space="preserve">Scope</w:t>
            </w:r>
          </w:p>
        </w:tc>
        <w:tc>
          <w:tcPr>
            <w:tcW w:type="dxa" w:w="2800"/>
            <w:shd w:fill="1F3A5F" w:val="clear"/>
            <w:tcMar>
              <w:top w:type="dxa" w:w="100"/>
              <w:left w:type="dxa" w:w="120"/>
              <w:bottom w:type="dxa" w:w="100"/>
              <w:right w:type="dxa" w:w="120"/>
            </w:tcMar>
          </w:tcPr>
          <w:p>
            <w:r>
              <w:rPr>
                <w:b/>
                <w:bCs/>
                <w:color w:val="FFFFFF"/>
                <w:sz w:val="20"/>
                <w:szCs w:val="20"/>
              </w:rPr>
              <w:t xml:space="preserve">Depends on</w:t>
            </w:r>
          </w:p>
        </w:tc>
      </w:tr>
      <w:tr>
        <w:tc>
          <w:tcPr>
            <w:tcW w:type="dxa" w:w="1800"/>
            <w:tcMar>
              <w:top w:type="dxa" w:w="100"/>
              <w:left w:type="dxa" w:w="120"/>
              <w:bottom w:type="dxa" w:w="100"/>
              <w:right w:type="dxa" w:w="120"/>
            </w:tcMar>
          </w:tcPr>
          <w:p>
            <w:r>
              <w:rPr>
                <w:b w:val="false"/>
                <w:bCs w:val="false"/>
                <w:color w:val="000000"/>
                <w:sz w:val="20"/>
                <w:szCs w:val="20"/>
              </w:rPr>
              <w:t xml:space="preserve">1. Foundation</w:t>
            </w:r>
          </w:p>
        </w:tc>
        <w:tc>
          <w:tcPr>
            <w:tcW w:type="dxa" w:w="5700"/>
            <w:tcMar>
              <w:top w:type="dxa" w:w="100"/>
              <w:left w:type="dxa" w:w="120"/>
              <w:bottom w:type="dxa" w:w="100"/>
              <w:right w:type="dxa" w:w="120"/>
            </w:tcMar>
          </w:tcPr>
          <w:p>
            <w:r>
              <w:rPr>
                <w:b w:val="false"/>
                <w:bCs w:val="false"/>
                <w:color w:val="000000"/>
                <w:sz w:val="20"/>
                <w:szCs w:val="20"/>
              </w:rPr>
              <w:t xml:space="preserve">Database schema, Calendly webhook receiver, booking capture + repeat-client detection</w:t>
            </w:r>
          </w:p>
        </w:tc>
        <w:tc>
          <w:tcPr>
            <w:tcW w:type="dxa" w:w="2800"/>
            <w:tcMar>
              <w:top w:type="dxa" w:w="100"/>
              <w:left w:type="dxa" w:w="120"/>
              <w:bottom w:type="dxa" w:w="100"/>
              <w:right w:type="dxa" w:w="120"/>
            </w:tcMar>
          </w:tcPr>
          <w:p>
            <w:r>
              <w:rPr>
                <w:b w:val="false"/>
                <w:bCs w:val="false"/>
                <w:color w:val="000000"/>
                <w:sz w:val="20"/>
                <w:szCs w:val="20"/>
              </w:rPr>
              <w:t xml:space="preserve">Calendly webhook subscription + form question</w:t>
            </w:r>
          </w:p>
        </w:tc>
      </w:tr>
      <w:tr>
        <w:tc>
          <w:tcPr>
            <w:tcW w:type="dxa" w:w="1800"/>
            <w:shd w:fill="EAF1F8" w:val="clear"/>
            <w:tcMar>
              <w:top w:type="dxa" w:w="100"/>
              <w:left w:type="dxa" w:w="120"/>
              <w:bottom w:type="dxa" w:w="100"/>
              <w:right w:type="dxa" w:w="120"/>
            </w:tcMar>
          </w:tcPr>
          <w:p>
            <w:r>
              <w:rPr>
                <w:b w:val="false"/>
                <w:bCs w:val="false"/>
                <w:color w:val="000000"/>
                <w:sz w:val="20"/>
                <w:szCs w:val="20"/>
              </w:rPr>
              <w:t xml:space="preserve">2. Briefing</w:t>
            </w:r>
          </w:p>
        </w:tc>
        <w:tc>
          <w:tcPr>
            <w:tcW w:type="dxa" w:w="5700"/>
            <w:shd w:fill="EAF1F8" w:val="clear"/>
            <w:tcMar>
              <w:top w:type="dxa" w:w="100"/>
              <w:left w:type="dxa" w:w="120"/>
              <w:bottom w:type="dxa" w:w="100"/>
              <w:right w:type="dxa" w:w="120"/>
            </w:tcMar>
          </w:tcPr>
          <w:p>
            <w:r>
              <w:rPr>
                <w:b w:val="false"/>
                <w:bCs w:val="false"/>
                <w:color w:val="000000"/>
                <w:sz w:val="20"/>
                <w:szCs w:val="20"/>
              </w:rPr>
              <w:t xml:space="preserve">Scheduler job, Claude summarization, Teams channel delivery</w:t>
            </w:r>
          </w:p>
        </w:tc>
        <w:tc>
          <w:tcPr>
            <w:tcW w:type="dxa" w:w="2800"/>
            <w:shd w:fill="EAF1F8" w:val="clear"/>
            <w:tcMar>
              <w:top w:type="dxa" w:w="100"/>
              <w:left w:type="dxa" w:w="120"/>
              <w:bottom w:type="dxa" w:w="100"/>
              <w:right w:type="dxa" w:w="120"/>
            </w:tcMar>
          </w:tcPr>
          <w:p>
            <w:r>
              <w:rPr>
                <w:b w:val="false"/>
                <w:bCs w:val="false"/>
                <w:color w:val="000000"/>
                <w:sz w:val="20"/>
                <w:szCs w:val="20"/>
              </w:rPr>
              <w:t xml:space="preserve">Phase 1; Teams webhook connector</w:t>
            </w:r>
          </w:p>
        </w:tc>
      </w:tr>
      <w:tr>
        <w:tc>
          <w:tcPr>
            <w:tcW w:type="dxa" w:w="1800"/>
            <w:tcMar>
              <w:top w:type="dxa" w:w="100"/>
              <w:left w:type="dxa" w:w="120"/>
              <w:bottom w:type="dxa" w:w="100"/>
              <w:right w:type="dxa" w:w="120"/>
            </w:tcMar>
          </w:tcPr>
          <w:p>
            <w:r>
              <w:rPr>
                <w:b w:val="false"/>
                <w:bCs w:val="false"/>
                <w:color w:val="000000"/>
                <w:sz w:val="20"/>
                <w:szCs w:val="20"/>
              </w:rPr>
              <w:t xml:space="preserve">3. Notes loop</w:t>
            </w:r>
          </w:p>
        </w:tc>
        <w:tc>
          <w:tcPr>
            <w:tcW w:type="dxa" w:w="5700"/>
            <w:tcMar>
              <w:top w:type="dxa" w:w="100"/>
              <w:left w:type="dxa" w:w="120"/>
              <w:bottom w:type="dxa" w:w="100"/>
              <w:right w:type="dxa" w:w="120"/>
            </w:tcMar>
          </w:tcPr>
          <w:p>
            <w:r>
              <w:rPr>
                <w:b w:val="false"/>
                <w:bCs w:val="false"/>
                <w:color w:val="000000"/>
                <w:sz w:val="20"/>
                <w:szCs w:val="20"/>
              </w:rPr>
              <w:t xml:space="preserve">Post-meeting transcript retrieval, Claude summarization into notes, storage</w:t>
            </w:r>
          </w:p>
        </w:tc>
        <w:tc>
          <w:tcPr>
            <w:tcW w:type="dxa" w:w="2800"/>
            <w:tcMar>
              <w:top w:type="dxa" w:w="100"/>
              <w:left w:type="dxa" w:w="120"/>
              <w:bottom w:type="dxa" w:w="100"/>
              <w:right w:type="dxa" w:w="120"/>
            </w:tcMar>
          </w:tcPr>
          <w:p>
            <w:r>
              <w:rPr>
                <w:b w:val="false"/>
                <w:bCs w:val="false"/>
                <w:color w:val="000000"/>
                <w:sz w:val="20"/>
                <w:szCs w:val="20"/>
              </w:rPr>
              <w:t xml:space="preserve">Graph app registration; transcription enabled</w:t>
            </w:r>
          </w:p>
        </w:tc>
      </w:tr>
      <w:tr>
        <w:tc>
          <w:tcPr>
            <w:tcW w:type="dxa" w:w="1800"/>
            <w:shd w:fill="EAF1F8" w:val="clear"/>
            <w:tcMar>
              <w:top w:type="dxa" w:w="100"/>
              <w:left w:type="dxa" w:w="120"/>
              <w:bottom w:type="dxa" w:w="100"/>
              <w:right w:type="dxa" w:w="120"/>
            </w:tcMar>
          </w:tcPr>
          <w:p>
            <w:r>
              <w:rPr>
                <w:b w:val="false"/>
                <w:bCs w:val="false"/>
                <w:color w:val="000000"/>
                <w:sz w:val="20"/>
                <w:szCs w:val="20"/>
              </w:rPr>
              <w:t xml:space="preserve">4. Licensing</w:t>
            </w:r>
          </w:p>
        </w:tc>
        <w:tc>
          <w:tcPr>
            <w:tcW w:type="dxa" w:w="5700"/>
            <w:shd w:fill="EAF1F8" w:val="clear"/>
            <w:tcMar>
              <w:top w:type="dxa" w:w="100"/>
              <w:left w:type="dxa" w:w="120"/>
              <w:bottom w:type="dxa" w:w="100"/>
              <w:right w:type="dxa" w:w="120"/>
            </w:tcMar>
          </w:tcPr>
          <w:p>
            <w:r>
              <w:rPr>
                <w:b w:val="false"/>
                <w:bCs w:val="false"/>
                <w:color w:val="000000"/>
                <w:sz w:val="20"/>
                <w:szCs w:val="20"/>
              </w:rPr>
              <w:t xml:space="preserve">Teams Premium rollout for consultation staff; enable Intelligent Recap</w:t>
            </w:r>
          </w:p>
        </w:tc>
        <w:tc>
          <w:tcPr>
            <w:tcW w:type="dxa" w:w="2800"/>
            <w:shd w:fill="EAF1F8" w:val="clear"/>
            <w:tcMar>
              <w:top w:type="dxa" w:w="100"/>
              <w:left w:type="dxa" w:w="120"/>
              <w:bottom w:type="dxa" w:w="100"/>
              <w:right w:type="dxa" w:w="120"/>
            </w:tcMar>
          </w:tcPr>
          <w:p>
            <w:r>
              <w:rPr>
                <w:b w:val="false"/>
                <w:bCs w:val="false"/>
                <w:color w:val="000000"/>
                <w:sz w:val="20"/>
                <w:szCs w:val="20"/>
              </w:rPr>
              <w:t xml:space="preserve">Independent — can happen in parallel with 1–3</w:t>
            </w:r>
          </w:p>
        </w:tc>
      </w:tr>
      <w:tr>
        <w:tc>
          <w:tcPr>
            <w:tcW w:type="dxa" w:w="1800"/>
            <w:tcMar>
              <w:top w:type="dxa" w:w="100"/>
              <w:left w:type="dxa" w:w="120"/>
              <w:bottom w:type="dxa" w:w="100"/>
              <w:right w:type="dxa" w:w="120"/>
            </w:tcMar>
          </w:tcPr>
          <w:p>
            <w:r>
              <w:rPr>
                <w:b w:val="false"/>
                <w:bCs w:val="false"/>
                <w:color w:val="000000"/>
                <w:sz w:val="20"/>
                <w:szCs w:val="20"/>
              </w:rPr>
              <w:t xml:space="preserve">5. Hardening</w:t>
            </w:r>
          </w:p>
        </w:tc>
        <w:tc>
          <w:tcPr>
            <w:tcW w:type="dxa" w:w="5700"/>
            <w:tcMar>
              <w:top w:type="dxa" w:w="100"/>
              <w:left w:type="dxa" w:w="120"/>
              <w:bottom w:type="dxa" w:w="100"/>
              <w:right w:type="dxa" w:w="120"/>
            </w:tcMar>
          </w:tcPr>
          <w:p>
            <w:r>
              <w:rPr>
                <w:b w:val="false"/>
                <w:bCs w:val="false"/>
                <w:color w:val="000000"/>
                <w:sz w:val="20"/>
                <w:szCs w:val="20"/>
              </w:rPr>
              <w:t xml:space="preserve">Verify real Calendly payloads, add repeat-client fallback matching, error alerting</w:t>
            </w:r>
          </w:p>
        </w:tc>
        <w:tc>
          <w:tcPr>
            <w:tcW w:type="dxa" w:w="2800"/>
            <w:tcMar>
              <w:top w:type="dxa" w:w="100"/>
              <w:left w:type="dxa" w:w="120"/>
              <w:bottom w:type="dxa" w:w="100"/>
              <w:right w:type="dxa" w:w="120"/>
            </w:tcMar>
          </w:tcPr>
          <w:p>
            <w:r>
              <w:rPr>
                <w:b w:val="false"/>
                <w:bCs w:val="false"/>
                <w:color w:val="000000"/>
                <w:sz w:val="20"/>
                <w:szCs w:val="20"/>
              </w:rPr>
              <w:t xml:space="preserve">Phases 1–3 running in production</w:t>
            </w:r>
          </w:p>
        </w:tc>
      </w:tr>
    </w:tbl>
    <w:p>
      <w:pPr>
        <w:spacing w:after="160" w:line="276"/>
      </w:pPr>
      <w:r>
        <w:rPr>
          <w:i/>
          <w:iCs/>
          <w:color w:val="595959"/>
        </w:rPr>
        <w:t xml:space="preserve">Phases 1–3 are sequential; Phase 4 (licensing) can proceed in parallel and has no code dependency. Phase 5 is a short hardening pass once the pipeline has run against real traffic for a couple of weeks.</w:t>
      </w:r>
    </w:p>
    <w:p>
      <w:pPr>
        <w:pStyle w:val="Heading1"/>
        <w:pBdr>
          <w:bottom w:val="single" w:color="1F3A5F" w:sz="6" w:space="4"/>
        </w:pBdr>
        <w:spacing w:after="160" w:before="360"/>
      </w:pPr>
      <w:r>
        <w:rPr>
          <w:b/>
          <w:bCs/>
          <w:color w:val="1F3A5F"/>
        </w:rPr>
        <w:t xml:space="preserve">9. Summary for Sign-Off</w:t>
      </w:r>
    </w:p>
    <w:p>
      <w:pPr>
        <w:spacing w:after="160" w:line="276"/>
      </w:pPr>
      <w:r>
        <w:t xml:space="preserve">Net effect once built: attorneys get an automatic Teams brief a few minutes before every consultation — what the client wants to discuss, and if it's a repeat client, their history — with zero manual note-taking required to keep it going. The only decision needed from leadership is whether to enable consultation transcription, since that powers both the repeat-client history and the live catch-up feature.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2026-09-02T18:43:27.203Z</dcterms:created>
  <dcterms:modified xsi:type="dcterms:W3CDTF">2026-09-02T18:43:27.203Z</dcterms:modified>
</cp:coreProperties>
</file>

<file path=docProps/custom.xml><?xml version="1.0" encoding="utf-8"?>
<Properties xmlns="http://schemas.openxmlformats.org/officeDocument/2006/custom-properties" xmlns:vt="http://schemas.openxmlformats.org/officeDocument/2006/docPropsVTypes"/>
</file>