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Arial" w:hAnsi="Arial"/>
          <w:b/>
          <w:color w:val="0F2942"/>
          <w:sz w:val="48"/>
        </w:rPr>
        <w:t>HIGH-LEVEL ARCHITECTURE (HLA) PLATFORM</w:t>
      </w:r>
    </w:p>
    <w:p>
      <w:pPr>
        <w:spacing w:after="480"/>
        <w:jc w:val="center"/>
      </w:pPr>
      <w:r>
        <w:rPr>
          <w:rFonts w:ascii="Calibri" w:hAnsi="Calibri"/>
          <w:color w:val="475569"/>
          <w:sz w:val="26"/>
        </w:rPr>
        <w:t>End-to-End Technical Architecture &amp; Artificial Intelligence Specification</w:t>
        <w:br/>
        <w:t>Frontend • Backend API • Database Metastore • Multi-Cloud Dialects • AI/LLM Reasoning Engine</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0F2942"/>
            <w:tcMar>
              <w:top w:w="140" w:type="dxa"/>
              <w:bottom w:w="140" w:type="dxa"/>
              <w:left w:w="180" w:type="dxa"/>
              <w:right w:w="180" w:type="dxa"/>
            </w:tcMar>
          </w:tcPr>
          <w:p>
            <w:pPr>
              <w:jc w:val="left"/>
            </w:pPr>
            <w:r>
              <w:rPr>
                <w:rFonts w:ascii="Calibri" w:hAnsi="Calibri"/>
                <w:b/>
                <w:color w:val="FFFFFF"/>
                <w:sz w:val="20"/>
              </w:rPr>
              <w:t>Document Attribute</w:t>
            </w:r>
          </w:p>
        </w:tc>
        <w:tc>
          <w:tcPr>
            <w:tcW w:type="dxa" w:w="6048"/>
            <w:shd w:val="clear" w:color="auto" w:fill="0F2942"/>
            <w:tcMar>
              <w:top w:w="140" w:type="dxa"/>
              <w:bottom w:w="140" w:type="dxa"/>
              <w:left w:w="180" w:type="dxa"/>
              <w:right w:w="180" w:type="dxa"/>
            </w:tcMar>
          </w:tcPr>
          <w:p>
            <w:pPr>
              <w:jc w:val="left"/>
            </w:pPr>
            <w:r>
              <w:rPr>
                <w:rFonts w:ascii="Calibri" w:hAnsi="Calibri"/>
                <w:b/>
                <w:color w:val="FFFFFF"/>
                <w:sz w:val="20"/>
              </w:rPr>
              <w:t>Specification Details</w:t>
            </w:r>
          </w:p>
        </w:tc>
      </w:tr>
      <w:tr>
        <w:tc>
          <w:tcPr>
            <w:tcW w:type="dxa" w:w="3312"/>
            <w:shd w:val="clear" w:color="auto" w:fill="F8FAFC"/>
            <w:tcMar>
              <w:top w:w="120" w:type="dxa"/>
              <w:bottom w:w="120" w:type="dxa"/>
              <w:left w:w="180" w:type="dxa"/>
              <w:right w:w="180" w:type="dxa"/>
            </w:tcMar>
          </w:tcPr>
          <w:p>
            <w:pPr>
              <w:jc w:val="left"/>
            </w:pPr>
            <w:r>
              <w:rPr>
                <w:rFonts w:ascii="Calibri" w:hAnsi="Calibri"/>
                <w:color w:val="334155"/>
                <w:sz w:val="19"/>
              </w:rPr>
              <w:t>System Name</w:t>
            </w:r>
          </w:p>
        </w:tc>
        <w:tc>
          <w:tcPr>
            <w:tcW w:type="dxa" w:w="6048"/>
            <w:shd w:val="clear" w:color="auto" w:fill="F8FAFC"/>
            <w:tcMar>
              <w:top w:w="120" w:type="dxa"/>
              <w:bottom w:w="120" w:type="dxa"/>
              <w:left w:w="180" w:type="dxa"/>
              <w:right w:w="180" w:type="dxa"/>
            </w:tcMar>
          </w:tcPr>
          <w:p>
            <w:pPr>
              <w:jc w:val="left"/>
            </w:pPr>
            <w:r>
              <w:rPr>
                <w:rFonts w:ascii="Calibri" w:hAnsi="Calibri"/>
                <w:color w:val="334155"/>
                <w:sz w:val="19"/>
              </w:rPr>
              <w:t>Enterprise HLA Solution Design &amp; Automated ETL Studio</w:t>
            </w:r>
          </w:p>
        </w:tc>
      </w:tr>
      <w:tr>
        <w:tc>
          <w:tcPr>
            <w:tcW w:type="dxa" w:w="3312"/>
            <w:shd w:val="clear" w:color="auto" w:fill="FFFFFF"/>
            <w:tcMar>
              <w:top w:w="120" w:type="dxa"/>
              <w:bottom w:w="120" w:type="dxa"/>
              <w:left w:w="180" w:type="dxa"/>
              <w:right w:w="180" w:type="dxa"/>
            </w:tcMar>
          </w:tcPr>
          <w:p>
            <w:pPr>
              <w:jc w:val="left"/>
            </w:pPr>
            <w:r>
              <w:rPr>
                <w:rFonts w:ascii="Calibri" w:hAnsi="Calibri"/>
                <w:color w:val="334155"/>
                <w:sz w:val="19"/>
              </w:rPr>
              <w:t>Architecture Version</w:t>
            </w:r>
          </w:p>
        </w:tc>
        <w:tc>
          <w:tcPr>
            <w:tcW w:type="dxa" w:w="6048"/>
            <w:shd w:val="clear" w:color="auto" w:fill="FFFFFF"/>
            <w:tcMar>
              <w:top w:w="120" w:type="dxa"/>
              <w:bottom w:w="120" w:type="dxa"/>
              <w:left w:w="180" w:type="dxa"/>
              <w:right w:w="180" w:type="dxa"/>
            </w:tcMar>
          </w:tcPr>
          <w:p>
            <w:pPr>
              <w:jc w:val="left"/>
            </w:pPr>
            <w:r>
              <w:rPr>
                <w:rFonts w:ascii="Calibri" w:hAnsi="Calibri"/>
                <w:color w:val="334155"/>
                <w:sz w:val="19"/>
              </w:rPr>
              <w:t>v2.4 (Enterprise Multi-Cloud &amp; Hybrid AI Edition)</w:t>
            </w:r>
          </w:p>
        </w:tc>
      </w:tr>
      <w:tr>
        <w:tc>
          <w:tcPr>
            <w:tcW w:type="dxa" w:w="3312"/>
            <w:shd w:val="clear" w:color="auto" w:fill="F8FAFC"/>
            <w:tcMar>
              <w:top w:w="120" w:type="dxa"/>
              <w:bottom w:w="120" w:type="dxa"/>
              <w:left w:w="180" w:type="dxa"/>
              <w:right w:w="180" w:type="dxa"/>
            </w:tcMar>
          </w:tcPr>
          <w:p>
            <w:pPr>
              <w:jc w:val="left"/>
            </w:pPr>
            <w:r>
              <w:rPr>
                <w:rFonts w:ascii="Calibri" w:hAnsi="Calibri"/>
                <w:color w:val="334155"/>
                <w:sz w:val="19"/>
              </w:rPr>
              <w:t>Classification</w:t>
            </w:r>
          </w:p>
        </w:tc>
        <w:tc>
          <w:tcPr>
            <w:tcW w:type="dxa" w:w="6048"/>
            <w:shd w:val="clear" w:color="auto" w:fill="F8FAFC"/>
            <w:tcMar>
              <w:top w:w="120" w:type="dxa"/>
              <w:bottom w:w="120" w:type="dxa"/>
              <w:left w:w="180" w:type="dxa"/>
              <w:right w:w="180" w:type="dxa"/>
            </w:tcMar>
          </w:tcPr>
          <w:p>
            <w:pPr>
              <w:jc w:val="left"/>
            </w:pPr>
            <w:r>
              <w:rPr>
                <w:rFonts w:ascii="Calibri" w:hAnsi="Calibri"/>
                <w:color w:val="334155"/>
                <w:sz w:val="19"/>
              </w:rPr>
              <w:t>Confidential / Enterprise Engineering Reference</w:t>
            </w:r>
          </w:p>
        </w:tc>
      </w:tr>
      <w:tr>
        <w:tc>
          <w:tcPr>
            <w:tcW w:type="dxa" w:w="3312"/>
            <w:shd w:val="clear" w:color="auto" w:fill="FFFFFF"/>
            <w:tcMar>
              <w:top w:w="120" w:type="dxa"/>
              <w:bottom w:w="120" w:type="dxa"/>
              <w:left w:w="180" w:type="dxa"/>
              <w:right w:w="180" w:type="dxa"/>
            </w:tcMar>
          </w:tcPr>
          <w:p>
            <w:pPr>
              <w:jc w:val="left"/>
            </w:pPr>
            <w:r>
              <w:rPr>
                <w:rFonts w:ascii="Calibri" w:hAnsi="Calibri"/>
                <w:color w:val="334155"/>
                <w:sz w:val="19"/>
              </w:rPr>
              <w:t>Target Audience</w:t>
            </w:r>
          </w:p>
        </w:tc>
        <w:tc>
          <w:tcPr>
            <w:tcW w:type="dxa" w:w="6048"/>
            <w:shd w:val="clear" w:color="auto" w:fill="FFFFFF"/>
            <w:tcMar>
              <w:top w:w="120" w:type="dxa"/>
              <w:bottom w:w="120" w:type="dxa"/>
              <w:left w:w="180" w:type="dxa"/>
              <w:right w:w="180" w:type="dxa"/>
            </w:tcMar>
          </w:tcPr>
          <w:p>
            <w:pPr>
              <w:jc w:val="left"/>
            </w:pPr>
            <w:r>
              <w:rPr>
                <w:rFonts w:ascii="Calibri" w:hAnsi="Calibri"/>
                <w:color w:val="334155"/>
                <w:sz w:val="19"/>
              </w:rPr>
              <w:t>Enterprise Architects, Data Engineers, DevOps, Compliance &amp; Leadership</w:t>
            </w:r>
          </w:p>
        </w:tc>
      </w:tr>
      <w:tr>
        <w:tc>
          <w:tcPr>
            <w:tcW w:type="dxa" w:w="3312"/>
            <w:shd w:val="clear" w:color="auto" w:fill="F8FAFC"/>
            <w:tcMar>
              <w:top w:w="120" w:type="dxa"/>
              <w:bottom w:w="120" w:type="dxa"/>
              <w:left w:w="180" w:type="dxa"/>
              <w:right w:w="180" w:type="dxa"/>
            </w:tcMar>
          </w:tcPr>
          <w:p>
            <w:pPr>
              <w:jc w:val="left"/>
            </w:pPr>
            <w:r>
              <w:rPr>
                <w:rFonts w:ascii="Calibri" w:hAnsi="Calibri"/>
                <w:color w:val="334155"/>
                <w:sz w:val="19"/>
              </w:rPr>
              <w:t>Core Technology Stack</w:t>
            </w:r>
          </w:p>
        </w:tc>
        <w:tc>
          <w:tcPr>
            <w:tcW w:type="dxa" w:w="6048"/>
            <w:shd w:val="clear" w:color="auto" w:fill="F8FAFC"/>
            <w:tcMar>
              <w:top w:w="120" w:type="dxa"/>
              <w:bottom w:w="120" w:type="dxa"/>
              <w:left w:w="180" w:type="dxa"/>
              <w:right w:w="180" w:type="dxa"/>
            </w:tcMar>
          </w:tcPr>
          <w:p>
            <w:pPr>
              <w:jc w:val="left"/>
            </w:pPr>
            <w:r>
              <w:rPr>
                <w:rFonts w:ascii="Calibri" w:hAnsi="Calibri"/>
                <w:color w:val="334155"/>
                <w:sz w:val="19"/>
              </w:rPr>
              <w:t>React 18, Vite, Python 3.13, Flask, SQLAlchemy, PostgreSQL, PySpark</w:t>
            </w:r>
          </w:p>
        </w:tc>
      </w:tr>
      <w:tr>
        <w:tc>
          <w:tcPr>
            <w:tcW w:type="dxa" w:w="3312"/>
            <w:shd w:val="clear" w:color="auto" w:fill="FFFFFF"/>
            <w:tcMar>
              <w:top w:w="120" w:type="dxa"/>
              <w:bottom w:w="120" w:type="dxa"/>
              <w:left w:w="180" w:type="dxa"/>
              <w:right w:w="180" w:type="dxa"/>
            </w:tcMar>
          </w:tcPr>
          <w:p>
            <w:pPr>
              <w:jc w:val="left"/>
            </w:pPr>
            <w:r>
              <w:rPr>
                <w:rFonts w:ascii="Calibri" w:hAnsi="Calibri"/>
                <w:color w:val="334155"/>
                <w:sz w:val="19"/>
              </w:rPr>
              <w:t>Supported Database Dialects</w:t>
            </w:r>
          </w:p>
        </w:tc>
        <w:tc>
          <w:tcPr>
            <w:tcW w:type="dxa" w:w="6048"/>
            <w:shd w:val="clear" w:color="auto" w:fill="FFFFFF"/>
            <w:tcMar>
              <w:top w:w="120" w:type="dxa"/>
              <w:bottom w:w="120" w:type="dxa"/>
              <w:left w:w="180" w:type="dxa"/>
              <w:right w:w="180" w:type="dxa"/>
            </w:tcMar>
          </w:tcPr>
          <w:p>
            <w:pPr>
              <w:jc w:val="left"/>
            </w:pPr>
            <w:r>
              <w:rPr>
                <w:rFonts w:ascii="Calibri" w:hAnsi="Calibri"/>
                <w:color w:val="334155"/>
                <w:sz w:val="19"/>
              </w:rPr>
              <w:t>PostgreSQL, MSSQL, MySQL, Snowflake Data Cloud, Oracle, Redshift, BigQuery, SQLite</w:t>
            </w:r>
          </w:p>
        </w:tc>
      </w:tr>
      <w:tr>
        <w:tc>
          <w:tcPr>
            <w:tcW w:type="dxa" w:w="3312"/>
            <w:shd w:val="clear" w:color="auto" w:fill="F8FAFC"/>
            <w:tcMar>
              <w:top w:w="120" w:type="dxa"/>
              <w:bottom w:w="120" w:type="dxa"/>
              <w:left w:w="180" w:type="dxa"/>
              <w:right w:w="180" w:type="dxa"/>
            </w:tcMar>
          </w:tcPr>
          <w:p>
            <w:pPr>
              <w:jc w:val="left"/>
            </w:pPr>
            <w:r>
              <w:rPr>
                <w:rFonts w:ascii="Calibri" w:hAnsi="Calibri"/>
                <w:color w:val="334155"/>
                <w:sz w:val="19"/>
              </w:rPr>
              <w:t>Supported AI / LLM Models</w:t>
            </w:r>
          </w:p>
        </w:tc>
        <w:tc>
          <w:tcPr>
            <w:tcW w:type="dxa" w:w="6048"/>
            <w:shd w:val="clear" w:color="auto" w:fill="F8FAFC"/>
            <w:tcMar>
              <w:top w:w="120" w:type="dxa"/>
              <w:bottom w:w="120" w:type="dxa"/>
              <w:left w:w="180" w:type="dxa"/>
              <w:right w:w="180" w:type="dxa"/>
            </w:tcMar>
          </w:tcPr>
          <w:p>
            <w:pPr>
              <w:jc w:val="left"/>
            </w:pPr>
            <w:r>
              <w:rPr>
                <w:rFonts w:ascii="Calibri" w:hAnsi="Calibri"/>
                <w:color w:val="334155"/>
                <w:sz w:val="19"/>
              </w:rPr>
              <w:t>Groq Llama-3.3-70B, OpenAI GPT-4o-mini, Local Ollama Llama-3.2:3b, Deterministic Rule Engine</w:t>
            </w:r>
          </w:p>
        </w:tc>
      </w:tr>
      <w:tr>
        <w:tc>
          <w:tcPr>
            <w:tcW w:type="dxa" w:w="3312"/>
            <w:shd w:val="clear" w:color="auto" w:fill="FFFFFF"/>
            <w:tcMar>
              <w:top w:w="120" w:type="dxa"/>
              <w:bottom w:w="120" w:type="dxa"/>
              <w:left w:w="180" w:type="dxa"/>
              <w:right w:w="180" w:type="dxa"/>
            </w:tcMar>
          </w:tcPr>
          <w:p>
            <w:pPr>
              <w:jc w:val="left"/>
            </w:pPr>
            <w:r>
              <w:rPr>
                <w:rFonts w:ascii="Calibri" w:hAnsi="Calibri"/>
                <w:color w:val="334155"/>
                <w:sz w:val="19"/>
              </w:rPr>
              <w:t>Primary Application Port</w:t>
            </w:r>
          </w:p>
        </w:tc>
        <w:tc>
          <w:tcPr>
            <w:tcW w:type="dxa" w:w="6048"/>
            <w:shd w:val="clear" w:color="auto" w:fill="FFFFFF"/>
            <w:tcMar>
              <w:top w:w="120" w:type="dxa"/>
              <w:bottom w:w="120" w:type="dxa"/>
              <w:left w:w="180" w:type="dxa"/>
              <w:right w:w="180" w:type="dxa"/>
            </w:tcMar>
          </w:tcPr>
          <w:p>
            <w:pPr>
              <w:jc w:val="left"/>
            </w:pPr>
            <w:r>
              <w:rPr>
                <w:rFonts w:ascii="Calibri" w:hAnsi="Calibri"/>
                <w:color w:val="334155"/>
                <w:sz w:val="19"/>
              </w:rPr>
              <w:t>Frontend: http://localhost:3000 | Backend API: http://localhost:5000</w:t>
            </w:r>
          </w:p>
        </w:tc>
      </w:tr>
    </w:tbl>
    <w:p/>
    <w:p>
      <w:r>
        <w:br w:type="page"/>
      </w:r>
    </w:p>
    <w:p>
      <w:pPr>
        <w:pStyle w:val="Heading1"/>
        <w:spacing w:after="240"/>
      </w:pPr>
      <w:r>
        <w:t>Executive 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584"/>
            <w:shd w:val="clear" w:color="auto" w:fill="0F2942"/>
            <w:tcMar>
              <w:top w:w="140" w:type="dxa"/>
              <w:bottom w:w="140" w:type="dxa"/>
              <w:left w:w="180" w:type="dxa"/>
              <w:right w:w="180" w:type="dxa"/>
            </w:tcMar>
          </w:tcPr>
          <w:p>
            <w:pPr>
              <w:jc w:val="left"/>
            </w:pPr>
            <w:r>
              <w:rPr>
                <w:rFonts w:ascii="Calibri" w:hAnsi="Calibri"/>
                <w:b/>
                <w:color w:val="FFFFFF"/>
                <w:sz w:val="20"/>
              </w:rPr>
              <w:t>Section</w:t>
            </w:r>
          </w:p>
        </w:tc>
        <w:tc>
          <w:tcPr>
            <w:tcW w:type="dxa" w:w="3456"/>
            <w:shd w:val="clear" w:color="auto" w:fill="0F2942"/>
            <w:tcMar>
              <w:top w:w="140" w:type="dxa"/>
              <w:bottom w:w="140" w:type="dxa"/>
              <w:left w:w="180" w:type="dxa"/>
              <w:right w:w="180" w:type="dxa"/>
            </w:tcMar>
          </w:tcPr>
          <w:p>
            <w:pPr>
              <w:jc w:val="left"/>
            </w:pPr>
            <w:r>
              <w:rPr>
                <w:rFonts w:ascii="Calibri" w:hAnsi="Calibri"/>
                <w:b/>
                <w:color w:val="FFFFFF"/>
                <w:sz w:val="20"/>
              </w:rPr>
              <w:t>Title</w:t>
            </w:r>
          </w:p>
        </w:tc>
        <w:tc>
          <w:tcPr>
            <w:tcW w:type="dxa" w:w="4320"/>
            <w:shd w:val="clear" w:color="auto" w:fill="0F2942"/>
            <w:tcMar>
              <w:top w:w="140" w:type="dxa"/>
              <w:bottom w:w="140" w:type="dxa"/>
              <w:left w:w="180" w:type="dxa"/>
              <w:right w:w="180" w:type="dxa"/>
            </w:tcMar>
          </w:tcPr>
          <w:p>
            <w:pPr>
              <w:jc w:val="left"/>
            </w:pPr>
            <w:r>
              <w:rPr>
                <w:rFonts w:ascii="Calibri" w:hAnsi="Calibri"/>
                <w:b/>
                <w:color w:val="FFFFFF"/>
                <w:sz w:val="20"/>
              </w:rPr>
              <w:t>Coverage Overview</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Section 1</w:t>
            </w:r>
          </w:p>
        </w:tc>
        <w:tc>
          <w:tcPr>
            <w:tcW w:type="dxa" w:w="3456"/>
            <w:shd w:val="clear" w:color="auto" w:fill="F8FAFC"/>
            <w:tcMar>
              <w:top w:w="120" w:type="dxa"/>
              <w:bottom w:w="120" w:type="dxa"/>
              <w:left w:w="180" w:type="dxa"/>
              <w:right w:w="180" w:type="dxa"/>
            </w:tcMar>
          </w:tcPr>
          <w:p>
            <w:pPr>
              <w:jc w:val="left"/>
            </w:pPr>
            <w:r>
              <w:rPr>
                <w:rFonts w:ascii="Calibri" w:hAnsi="Calibri"/>
                <w:color w:val="334155"/>
                <w:sz w:val="19"/>
              </w:rPr>
              <w:t>Executive Summary &amp; System Purpose</w:t>
            </w:r>
          </w:p>
        </w:tc>
        <w:tc>
          <w:tcPr>
            <w:tcW w:type="dxa" w:w="4320"/>
            <w:shd w:val="clear" w:color="auto" w:fill="F8FAFC"/>
            <w:tcMar>
              <w:top w:w="120" w:type="dxa"/>
              <w:bottom w:w="120" w:type="dxa"/>
              <w:left w:w="180" w:type="dxa"/>
              <w:right w:w="180" w:type="dxa"/>
            </w:tcMar>
          </w:tcPr>
          <w:p>
            <w:pPr>
              <w:jc w:val="left"/>
            </w:pPr>
            <w:r>
              <w:rPr>
                <w:rFonts w:ascii="Calibri" w:hAnsi="Calibri"/>
                <w:color w:val="334155"/>
                <w:sz w:val="19"/>
              </w:rPr>
              <w:t>Core capabilities, problem statement, business value, and architectural lifecycle.</w:t>
            </w:r>
          </w:p>
        </w:tc>
      </w:tr>
      <w:tr>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Section 2</w:t>
            </w:r>
          </w:p>
        </w:tc>
        <w:tc>
          <w:tcPr>
            <w:tcW w:type="dxa" w:w="3456"/>
            <w:shd w:val="clear" w:color="auto" w:fill="FFFFFF"/>
            <w:tcMar>
              <w:top w:w="120" w:type="dxa"/>
              <w:bottom w:w="120" w:type="dxa"/>
              <w:left w:w="180" w:type="dxa"/>
              <w:right w:w="180" w:type="dxa"/>
            </w:tcMar>
          </w:tcPr>
          <w:p>
            <w:pPr>
              <w:jc w:val="left"/>
            </w:pPr>
            <w:r>
              <w:rPr>
                <w:rFonts w:ascii="Calibri" w:hAnsi="Calibri"/>
                <w:color w:val="334155"/>
                <w:sz w:val="19"/>
              </w:rPr>
              <w:t>Frontend Engineering Architecture</w:t>
            </w:r>
          </w:p>
        </w:tc>
        <w:tc>
          <w:tcPr>
            <w:tcW w:type="dxa" w:w="4320"/>
            <w:shd w:val="clear" w:color="auto" w:fill="FFFFFF"/>
            <w:tcMar>
              <w:top w:w="120" w:type="dxa"/>
              <w:bottom w:w="120" w:type="dxa"/>
              <w:left w:w="180" w:type="dxa"/>
              <w:right w:w="180" w:type="dxa"/>
            </w:tcMar>
          </w:tcPr>
          <w:p>
            <w:pPr>
              <w:jc w:val="left"/>
            </w:pPr>
            <w:r>
              <w:rPr>
                <w:rFonts w:ascii="Calibri" w:hAnsi="Calibri"/>
                <w:color w:val="334155"/>
                <w:sz w:val="19"/>
              </w:rPr>
              <w:t>React 18 SPA, Vite build pipeline, Glassmorphic CSS design system, component hierarchy, and state synchronization.</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Section 3</w:t>
            </w:r>
          </w:p>
        </w:tc>
        <w:tc>
          <w:tcPr>
            <w:tcW w:type="dxa" w:w="3456"/>
            <w:shd w:val="clear" w:color="auto" w:fill="F8FAFC"/>
            <w:tcMar>
              <w:top w:w="120" w:type="dxa"/>
              <w:bottom w:w="120" w:type="dxa"/>
              <w:left w:w="180" w:type="dxa"/>
              <w:right w:w="180" w:type="dxa"/>
            </w:tcMar>
          </w:tcPr>
          <w:p>
            <w:pPr>
              <w:jc w:val="left"/>
            </w:pPr>
            <w:r>
              <w:rPr>
                <w:rFonts w:ascii="Calibri" w:hAnsi="Calibri"/>
                <w:color w:val="334155"/>
                <w:sz w:val="19"/>
              </w:rPr>
              <w:t>Backend Architecture &amp; Service Modules</w:t>
            </w:r>
          </w:p>
        </w:tc>
        <w:tc>
          <w:tcPr>
            <w:tcW w:type="dxa" w:w="4320"/>
            <w:shd w:val="clear" w:color="auto" w:fill="F8FAFC"/>
            <w:tcMar>
              <w:top w:w="120" w:type="dxa"/>
              <w:bottom w:w="120" w:type="dxa"/>
              <w:left w:w="180" w:type="dxa"/>
              <w:right w:w="180" w:type="dxa"/>
            </w:tcMar>
          </w:tcPr>
          <w:p>
            <w:pPr>
              <w:jc w:val="left"/>
            </w:pPr>
            <w:r>
              <w:rPr>
                <w:rFonts w:ascii="Calibri" w:hAnsi="Calibri"/>
                <w:color w:val="334155"/>
                <w:sz w:val="19"/>
              </w:rPr>
              <w:t>Python 3.13, Flask API, deterministic 26-table HLA parser, compiler pipeline, vault decryptor, and email services.</w:t>
            </w:r>
          </w:p>
        </w:tc>
      </w:tr>
      <w:tr>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Section 4</w:t>
            </w:r>
          </w:p>
        </w:tc>
        <w:tc>
          <w:tcPr>
            <w:tcW w:type="dxa" w:w="3456"/>
            <w:shd w:val="clear" w:color="auto" w:fill="FFFFFF"/>
            <w:tcMar>
              <w:top w:w="120" w:type="dxa"/>
              <w:bottom w:w="120" w:type="dxa"/>
              <w:left w:w="180" w:type="dxa"/>
              <w:right w:w="180" w:type="dxa"/>
            </w:tcMar>
          </w:tcPr>
          <w:p>
            <w:pPr>
              <w:jc w:val="left"/>
            </w:pPr>
            <w:r>
              <w:rPr>
                <w:rFonts w:ascii="Calibri" w:hAnsi="Calibri"/>
                <w:color w:val="334155"/>
                <w:sz w:val="19"/>
              </w:rPr>
              <w:t>Database Architecture &amp; Multi-Cloud Target Support</w:t>
            </w:r>
          </w:p>
        </w:tc>
        <w:tc>
          <w:tcPr>
            <w:tcW w:type="dxa" w:w="4320"/>
            <w:shd w:val="clear" w:color="auto" w:fill="FFFFFF"/>
            <w:tcMar>
              <w:top w:w="120" w:type="dxa"/>
              <w:bottom w:w="120" w:type="dxa"/>
              <w:left w:w="180" w:type="dxa"/>
              <w:right w:w="180" w:type="dxa"/>
            </w:tcMar>
          </w:tcPr>
          <w:p>
            <w:pPr>
              <w:jc w:val="left"/>
            </w:pPr>
            <w:r>
              <w:rPr>
                <w:rFonts w:ascii="Calibri" w:hAnsi="Calibri"/>
                <w:color w:val="334155"/>
                <w:sz w:val="19"/>
              </w:rPr>
              <w:t>PostgreSQL system metastore schema, table models, and universal multi-cloud connection management.</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Section 5</w:t>
            </w:r>
          </w:p>
        </w:tc>
        <w:tc>
          <w:tcPr>
            <w:tcW w:type="dxa" w:w="3456"/>
            <w:shd w:val="clear" w:color="auto" w:fill="F8FAFC"/>
            <w:tcMar>
              <w:top w:w="120" w:type="dxa"/>
              <w:bottom w:w="120" w:type="dxa"/>
              <w:left w:w="180" w:type="dxa"/>
              <w:right w:w="180" w:type="dxa"/>
            </w:tcMar>
          </w:tcPr>
          <w:p>
            <w:pPr>
              <w:jc w:val="left"/>
            </w:pPr>
            <w:r>
              <w:rPr>
                <w:rFonts w:ascii="Calibri" w:hAnsi="Calibri"/>
                <w:color w:val="334155"/>
                <w:sz w:val="19"/>
              </w:rPr>
              <w:t>AI &amp; Large Language Model (LLM) Integration</w:t>
            </w:r>
          </w:p>
        </w:tc>
        <w:tc>
          <w:tcPr>
            <w:tcW w:type="dxa" w:w="4320"/>
            <w:shd w:val="clear" w:color="auto" w:fill="F8FAFC"/>
            <w:tcMar>
              <w:top w:w="120" w:type="dxa"/>
              <w:bottom w:w="120" w:type="dxa"/>
              <w:left w:w="180" w:type="dxa"/>
              <w:right w:w="180" w:type="dxa"/>
            </w:tcMar>
          </w:tcPr>
          <w:p>
            <w:pPr>
              <w:jc w:val="left"/>
            </w:pPr>
            <w:r>
              <w:rPr>
                <w:rFonts w:ascii="Calibri" w:hAnsi="Calibri"/>
                <w:color w:val="334155"/>
                <w:sz w:val="19"/>
              </w:rPr>
              <w:t>Multi-tier AI reasoning architecture: Groq Llama-3.3-70B, OpenAI GPT-4o-mini, local Ollama, and zero-hallucination fallback.</w:t>
            </w:r>
          </w:p>
        </w:tc>
      </w:tr>
      <w:tr>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Section 6</w:t>
            </w:r>
          </w:p>
        </w:tc>
        <w:tc>
          <w:tcPr>
            <w:tcW w:type="dxa" w:w="3456"/>
            <w:shd w:val="clear" w:color="auto" w:fill="FFFFFF"/>
            <w:tcMar>
              <w:top w:w="120" w:type="dxa"/>
              <w:bottom w:w="120" w:type="dxa"/>
              <w:left w:w="180" w:type="dxa"/>
              <w:right w:w="180" w:type="dxa"/>
            </w:tcMar>
          </w:tcPr>
          <w:p>
            <w:pPr>
              <w:jc w:val="left"/>
            </w:pPr>
            <w:r>
              <w:rPr>
                <w:rFonts w:ascii="Calibri" w:hAnsi="Calibri"/>
                <w:color w:val="334155"/>
                <w:sz w:val="19"/>
              </w:rPr>
              <w:t>End-to-End Operational Workflow</w:t>
            </w:r>
          </w:p>
        </w:tc>
        <w:tc>
          <w:tcPr>
            <w:tcW w:type="dxa" w:w="4320"/>
            <w:shd w:val="clear" w:color="auto" w:fill="FFFFFF"/>
            <w:tcMar>
              <w:top w:w="120" w:type="dxa"/>
              <w:bottom w:w="120" w:type="dxa"/>
              <w:left w:w="180" w:type="dxa"/>
              <w:right w:w="180" w:type="dxa"/>
            </w:tcMar>
          </w:tcPr>
          <w:p>
            <w:pPr>
              <w:jc w:val="left"/>
            </w:pPr>
            <w:r>
              <w:rPr>
                <w:rFonts w:ascii="Calibri" w:hAnsi="Calibri"/>
                <w:color w:val="334155"/>
                <w:sz w:val="19"/>
              </w:rPr>
              <w:t>Step-by-step lifecycle from raw document intake through DDL creation, ETL execution, and monthly automated scheduling.</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Section 7</w:t>
            </w:r>
          </w:p>
        </w:tc>
        <w:tc>
          <w:tcPr>
            <w:tcW w:type="dxa" w:w="3456"/>
            <w:shd w:val="clear" w:color="auto" w:fill="F8FAFC"/>
            <w:tcMar>
              <w:top w:w="120" w:type="dxa"/>
              <w:bottom w:w="120" w:type="dxa"/>
              <w:left w:w="180" w:type="dxa"/>
              <w:right w:w="180" w:type="dxa"/>
            </w:tcMar>
          </w:tcPr>
          <w:p>
            <w:pPr>
              <w:jc w:val="left"/>
            </w:pPr>
            <w:r>
              <w:rPr>
                <w:rFonts w:ascii="Calibri" w:hAnsi="Calibri"/>
                <w:color w:val="334155"/>
                <w:sz w:val="19"/>
              </w:rPr>
              <w:t>Security, Governance, Auditing &amp; Resilience</w:t>
            </w:r>
          </w:p>
        </w:tc>
        <w:tc>
          <w:tcPr>
            <w:tcW w:type="dxa" w:w="4320"/>
            <w:shd w:val="clear" w:color="auto" w:fill="F8FAFC"/>
            <w:tcMar>
              <w:top w:w="120" w:type="dxa"/>
              <w:bottom w:w="120" w:type="dxa"/>
              <w:left w:w="180" w:type="dxa"/>
              <w:right w:w="180" w:type="dxa"/>
            </w:tcMar>
          </w:tcPr>
          <w:p>
            <w:pPr>
              <w:jc w:val="left"/>
            </w:pPr>
            <w:r>
              <w:rPr>
                <w:rFonts w:ascii="Calibri" w:hAnsi="Calibri"/>
                <w:color w:val="334155"/>
                <w:sz w:val="19"/>
              </w:rPr>
              <w:t>Role-based access control (RBAC), credential vault isolation, session interceptors, and error recovery.</w:t>
            </w:r>
          </w:p>
        </w:tc>
      </w:tr>
    </w:tbl>
    <w:p/>
    <w:p>
      <w:pPr>
        <w:pStyle w:val="Heading1"/>
      </w:pPr>
      <w:r>
        <w:t>1. Executive Summary &amp; System Purpose</w:t>
      </w:r>
    </w:p>
    <w:p>
      <w:r>
        <w:t>The High-Level Architecture (HLA) Platform is a mission-critical enterprise system designed to automate the complete lifecycle of data reconciliation, ETL pipeline synthesis, and regulatory compliance. Traditionally, financial institutions and large enterprises author complex Solution Design documents in Microsoft Excel or Microsoft Word containing dozens of operational tables—defining upstream source systems, extraction queries, cleansing filter rules (R1–R10), balance reconciliation nodes (R11–R15), and target attribute mappings. Translating these business specifications into physical database schemas, transformation SQL queries, and scalable PySpark jobs is historically a multi-week, error-prone manual engineering process.</w:t>
      </w:r>
    </w:p>
    <w:p>
      <w:r>
        <w:t>This platform bridges that gap by combining deep deterministic document parsing, real-time multi-database schema introspection, and artificial intelligence reasoning. Within seconds of uploading an HLA document, the application extracts all business logic, connects to upstream databases to verify physical table structures, creates physical target tables with required logic columns alone, compiles executable transformation SQL and PySpark pipelines, and enables automated monthly or cron-based scheduled runs with instant email alerts.</w:t>
      </w:r>
    </w:p>
    <w:tbl>
      <w:tblPr>
        <w:tblW w:type="auto" w:w="0"/>
        <w:jc w:val="center"/>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180" w:type="dxa"/>
            </w:tcMar>
            <w:tcBorders>
              <w:left w:val="single" w:sz="24" w:space="0" w:color="0284C7"/>
              <w:top w:val="none"/>
              <w:bottom w:val="none"/>
              <w:right w:val="none"/>
            </w:tcBorders>
          </w:tcPr>
          <w:p>
            <w:pPr>
              <w:spacing w:before="0" w:after="40"/>
            </w:pPr>
            <w:r>
              <w:rPr>
                <w:rFonts w:ascii="Calibri" w:hAnsi="Calibri"/>
                <w:b/>
                <w:color w:val="0284C7"/>
                <w:sz w:val="20"/>
              </w:rPr>
              <w:t xml:space="preserve">[ARCHITECTURAL PRINCIPLE] </w:t>
            </w:r>
            <w:r>
              <w:rPr>
                <w:rFonts w:ascii="Calibri" w:hAnsi="Calibri"/>
                <w:color w:val="1E293B"/>
                <w:sz w:val="19"/>
              </w:rPr>
              <w:t>Core Philosophy: First-Time DDL Provisioning with Continuous Logic Execution. On the initial run, target tables are created in the specified schema. On subsequent scheduled runs (e.g. monthly reconciliation cycles), existing tables are detected and DDL creation is gracefully skipped; only the transformation and reconciliation data flows are executed respecting Append vs. Truncate-and-load semantics.</w:t>
            </w:r>
          </w:p>
        </w:tc>
      </w:tr>
    </w:tbl>
    <w:p/>
    <w:p>
      <w:pPr>
        <w:pStyle w:val="Heading1"/>
      </w:pPr>
      <w:r>
        <w:t>2. Frontend Engineering Architecture (Client Tier)</w:t>
      </w:r>
    </w:p>
    <w:p>
      <w:r>
        <w:t>The frontend is constructed as a modern, ultra-responsive Single Page Application (SPA) using React 18 and Vite. It adheres to strict enterprise aesthetic standards, employing custom Vanilla CSS with a bespoke Glassmorphism design system, dynamic micro-animations, accessible color tokens (HSL tailored), and full dark/light theme switching.</w:t>
      </w:r>
    </w:p>
    <w:p>
      <w:pPr>
        <w:pStyle w:val="Heading2"/>
      </w:pPr>
      <w:r>
        <w:t>2.1 Frontend Component Hierarchy &amp; Module Roles</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0F2942"/>
            <w:tcMar>
              <w:top w:w="140" w:type="dxa"/>
              <w:bottom w:w="140" w:type="dxa"/>
              <w:left w:w="180" w:type="dxa"/>
              <w:right w:w="180" w:type="dxa"/>
            </w:tcMar>
          </w:tcPr>
          <w:p>
            <w:pPr>
              <w:jc w:val="left"/>
            </w:pPr>
            <w:r>
              <w:rPr>
                <w:rFonts w:ascii="Calibri" w:hAnsi="Calibri"/>
                <w:b/>
                <w:color w:val="FFFFFF"/>
                <w:sz w:val="20"/>
              </w:rPr>
              <w:t>Component File</w:t>
            </w:r>
          </w:p>
        </w:tc>
        <w:tc>
          <w:tcPr>
            <w:tcW w:type="dxa" w:w="3168"/>
            <w:shd w:val="clear" w:color="auto" w:fill="0F2942"/>
            <w:tcMar>
              <w:top w:w="140" w:type="dxa"/>
              <w:bottom w:w="140" w:type="dxa"/>
              <w:left w:w="180" w:type="dxa"/>
              <w:right w:w="180" w:type="dxa"/>
            </w:tcMar>
          </w:tcPr>
          <w:p>
            <w:pPr>
              <w:jc w:val="left"/>
            </w:pPr>
            <w:r>
              <w:rPr>
                <w:rFonts w:ascii="Calibri" w:hAnsi="Calibri"/>
                <w:b/>
                <w:color w:val="FFFFFF"/>
                <w:sz w:val="20"/>
              </w:rPr>
              <w:t>Role &amp; Functionality</w:t>
            </w:r>
          </w:p>
        </w:tc>
        <w:tc>
          <w:tcPr>
            <w:tcW w:type="dxa" w:w="3888"/>
            <w:shd w:val="clear" w:color="auto" w:fill="0F2942"/>
            <w:tcMar>
              <w:top w:w="140" w:type="dxa"/>
              <w:bottom w:w="140" w:type="dxa"/>
              <w:left w:w="180" w:type="dxa"/>
              <w:right w:w="180" w:type="dxa"/>
            </w:tcMar>
          </w:tcPr>
          <w:p>
            <w:pPr>
              <w:jc w:val="left"/>
            </w:pPr>
            <w:r>
              <w:rPr>
                <w:rFonts w:ascii="Calibri" w:hAnsi="Calibri"/>
                <w:b/>
                <w:color w:val="FFFFFF"/>
                <w:sz w:val="20"/>
              </w:rPr>
              <w:t>Key User Capabilities</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App.jsx</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Root Application Controller &amp; Session Orchestrator</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Initializes user session, verifies JWT with /api/auth/me, manages global routing between Workspaces Explorer and Project Studio, handles Ctrl+K Command Palette, and hosts Axios 401 interceptors.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ProjectExplorer.jsx</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Workspace &amp; Project Folder Discovery</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Visual grid of isolated solution workspaces. Displays aggregate metrics (total HLA documents, database connections), search filtering, folder deletion, and creation modal.</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Workbench.jsx</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Interactive HLA Specification Explorer</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Presents extracted HLA specifications: Table 2 Project Info, Table 3 Control Overview, Table 6 Sources, Table 8 Filter Rules (R1–R10), Table 10 Mappings, and Table 26 Data Model with visual lineage trees.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IngestStudio.jsx</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Document Ingestion &amp; Analysis Engine</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Drag-and-drop file intake supporting .xlsx, .xls, .docx, and .doc. Real-time upload progress, document parsing status, and validation.</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SourceDBManager.jsx</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Upstream Source Database &amp; Vault Manager</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Configures source database credentials. Provides KeePass (.kdb/.kdbx) vault upload, manual connection testing, and live cross-schema table scanning.</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TargetDBStudio.jsx</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Target Database &amp; Multi-Cloud ETL Studio</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Configures Target DB (DEV &amp; PROD). Multi-cloud dialect selector (PostgreSQL, MSSQL, MySQL, Snowflake, Oracle, Redshift, BigQuery), DDL inspector, SQL transformation tab, PySpark tab, validate dry-run, and live table deployment.</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ControlScheduler.jsx</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Automated Execution &amp; Scheduler Dashboard</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Configures automated recurring schedules (Daily, Weekly, 1st of Month, Custom Cron), manual 'Run Now' trigger, execution status pills, run history table, and logs.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GlobalIntrospectModal.jsx</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Universal Database &amp; Schema Introspector</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Inspects live schemas, tables, views, and data types across any configured database or ad-hoc connection with live sample rows.</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SMTPSettingsModal.jsx</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Automated Email Alerts Configuration</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Configures enterprise SMTP server, host, port (587/465/25), SSL/TLS security, sender identity, and test email dispatcher.</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UserManagementModal.jsx</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Role-Based Access Control (RBAC) Admin</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Admin panel to manage user accounts, assign roles (Admin, Architect, Analyst, Viewer), and manage credentials.</w:t>
            </w:r>
          </w:p>
        </w:tc>
      </w:tr>
    </w:tbl>
    <w:p/>
    <w:p>
      <w:pPr>
        <w:pStyle w:val="Heading2"/>
      </w:pPr>
      <w:r>
        <w:t>2.2 State Management &amp; Reactive Synchronization</w:t>
      </w:r>
    </w:p>
    <w:p>
      <w:r>
        <w:t>The client application implements a robust state architecture that avoids stale-state anomalies:</w:t>
        <w:br/>
        <w:t>• Connected Props with Local Fallback: Parent project states in App.jsx flow into child components (such as ProjectExplorer.jsx) while maintaining internal synchronization so data renders immediately upon navigation without requiring full browser refreshes.</w:t>
        <w:br/>
        <w:t>• Dual Environment Synchronization: TargetDBStudio supports atomic configuration of both DEV and PROD environments in a single operation, immediately synchronizing local state with server API responses.</w:t>
        <w:br/>
        <w:t>• Axios Interceptors &amp; JWT Security: All HTTP requests automatically attach the Bearer token. Any 401 Unauthorized response triggers automatic session cleanup and redirects to the authenticated login modal.</w:t>
      </w:r>
    </w:p>
    <w:p>
      <w:pPr>
        <w:pStyle w:val="Heading1"/>
      </w:pPr>
      <w:r>
        <w:t>3. Backend Architecture &amp; Service Modules (Server Tier)</w:t>
      </w:r>
    </w:p>
    <w:p>
      <w:r>
        <w:t>The backend is built in Python 3.13 utilizing the Flask framework structured into clean, decoupled service modules. It leverages Flask-SQLAlchemy for relational persistence, psycopg2 for PostgreSQL connectivity, and native multi-database drivers.</w:t>
      </w:r>
    </w:p>
    <w:p>
      <w:pPr>
        <w:pStyle w:val="Heading2"/>
      </w:pPr>
      <w:r>
        <w:t>3.1 Backend Service Engine Breakdown</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0F2942"/>
            <w:tcMar>
              <w:top w:w="140" w:type="dxa"/>
              <w:bottom w:w="140" w:type="dxa"/>
              <w:left w:w="180" w:type="dxa"/>
              <w:right w:w="180" w:type="dxa"/>
            </w:tcMar>
          </w:tcPr>
          <w:p>
            <w:pPr>
              <w:jc w:val="left"/>
            </w:pPr>
            <w:r>
              <w:rPr>
                <w:rFonts w:ascii="Calibri" w:hAnsi="Calibri"/>
                <w:b/>
                <w:color w:val="FFFFFF"/>
                <w:sz w:val="20"/>
              </w:rPr>
              <w:t>Module File</w:t>
            </w:r>
          </w:p>
        </w:tc>
        <w:tc>
          <w:tcPr>
            <w:tcW w:type="dxa" w:w="3168"/>
            <w:shd w:val="clear" w:color="auto" w:fill="0F2942"/>
            <w:tcMar>
              <w:top w:w="140" w:type="dxa"/>
              <w:bottom w:w="140" w:type="dxa"/>
              <w:left w:w="180" w:type="dxa"/>
              <w:right w:w="180" w:type="dxa"/>
            </w:tcMar>
          </w:tcPr>
          <w:p>
            <w:pPr>
              <w:jc w:val="left"/>
            </w:pPr>
            <w:r>
              <w:rPr>
                <w:rFonts w:ascii="Calibri" w:hAnsi="Calibri"/>
                <w:b/>
                <w:color w:val="FFFFFF"/>
                <w:sz w:val="20"/>
              </w:rPr>
              <w:t>Core Architectural Responsibility</w:t>
            </w:r>
          </w:p>
        </w:tc>
        <w:tc>
          <w:tcPr>
            <w:tcW w:type="dxa" w:w="3888"/>
            <w:shd w:val="clear" w:color="auto" w:fill="0F2942"/>
            <w:tcMar>
              <w:top w:w="140" w:type="dxa"/>
              <w:bottom w:w="140" w:type="dxa"/>
              <w:left w:w="180" w:type="dxa"/>
              <w:right w:w="180" w:type="dxa"/>
            </w:tcMar>
          </w:tcPr>
          <w:p>
            <w:pPr>
              <w:jc w:val="left"/>
            </w:pPr>
            <w:r>
              <w:rPr>
                <w:rFonts w:ascii="Calibri" w:hAnsi="Calibri"/>
                <w:b/>
                <w:color w:val="FFFFFF"/>
                <w:sz w:val="20"/>
              </w:rPr>
              <w:t>Technical Implementation</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app.py</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REST API Router &amp; Lifecycle Controller</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Defines all RESTful API endpoints (/api/projects, /api/documents, /api/targets, /api/scheduler). Implements @login_required and @role_required RBAC security decorators.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excel_analyzer.py</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Deterministic Excel HLA Parser</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Parses complex 26-table Excel workbooks. Dynamically discovers sheets and extracts Table 2 Project, Table 3 Identification, Table 6 Sources, Table 7 Extractions, Table 8 Rules, Table 10 Mappings, and Table 26 Data Model.</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analyzer.py</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Word HLA Parser &amp; AI Integration Hub</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Extracts structured sections from Microsoft Word (.docx) HLA documents using python-docx and regex pattern recognition. Connects to Groq, OpenAI, and Ollama LLMs for narrative synthesis.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target_logic_builder.py</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Multi-Dialect DDL &amp; ETL Code Synthesizer</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Compiles HLA rules into executable multi-cloud DDL, SQL transformations, and PySpark pipelines tailored to PostgreSQL, MSSQL, MySQL, Snowflake, Oracle, Redshift, and BigQuery dialects.</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db_fetcher.py</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Universal Multi-Database Connection Factory</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Constructs SQLAlchemy connection URLs, dynamically injects credentials from environment variables or vaults, tests connectivity, and introspects live tables and schemas.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vault_parser.py</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Multi-Format Credential Vault Parser</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Parses KeePass (.kdb/.kdbx), INI, YAML, JSON, and XML vault files, extracting host, port, username, and password credentials for source and target databases.</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control_scheduler.py</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Background Cron &amp; Execution Engine</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Background scheduler checking control schedules. Executes ETL logic, enforces Append vs. Truncate-and-load strategies, logs execution history, and sends email alerts.</w:t>
            </w:r>
          </w:p>
        </w:tc>
      </w:tr>
      <w:tr>
        <w:tc>
          <w:tcPr>
            <w:tcW w:type="dxa" w:w="2304"/>
            <w:shd w:val="clear" w:color="auto" w:fill="FFFFFF"/>
            <w:tcMar>
              <w:top w:w="120" w:type="dxa"/>
              <w:bottom w:w="120" w:type="dxa"/>
              <w:left w:w="180" w:type="dxa"/>
              <w:right w:w="180" w:type="dxa"/>
            </w:tcMar>
          </w:tcPr>
          <w:p>
            <w:pPr>
              <w:jc w:val="left"/>
            </w:pPr>
            <w:r>
              <w:rPr>
                <w:rFonts w:ascii="Calibri" w:hAnsi="Calibri"/>
                <w:color w:val="334155"/>
                <w:sz w:val="19"/>
              </w:rPr>
              <w:t>email_service.py</w:t>
            </w:r>
          </w:p>
        </w:tc>
        <w:tc>
          <w:tcPr>
            <w:tcW w:type="dxa" w:w="3168"/>
            <w:shd w:val="clear" w:color="auto" w:fill="FFFFFF"/>
            <w:tcMar>
              <w:top w:w="120" w:type="dxa"/>
              <w:bottom w:w="120" w:type="dxa"/>
              <w:left w:w="180" w:type="dxa"/>
              <w:right w:w="180" w:type="dxa"/>
            </w:tcMar>
          </w:tcPr>
          <w:p>
            <w:pPr>
              <w:jc w:val="left"/>
            </w:pPr>
            <w:r>
              <w:rPr>
                <w:rFonts w:ascii="Calibri" w:hAnsi="Calibri"/>
                <w:color w:val="334155"/>
                <w:sz w:val="19"/>
              </w:rPr>
              <w:t>Enterprise SMTP Email Notification Service</w:t>
            </w:r>
          </w:p>
        </w:tc>
        <w:tc>
          <w:tcPr>
            <w:tcW w:type="dxa" w:w="3888"/>
            <w:shd w:val="clear" w:color="auto" w:fill="FFFFFF"/>
            <w:tcMar>
              <w:top w:w="120" w:type="dxa"/>
              <w:bottom w:w="120" w:type="dxa"/>
              <w:left w:w="180" w:type="dxa"/>
              <w:right w:w="180" w:type="dxa"/>
            </w:tcMar>
          </w:tcPr>
          <w:p>
            <w:pPr>
              <w:jc w:val="left"/>
            </w:pPr>
            <w:r>
              <w:rPr>
                <w:rFonts w:ascii="Calibri" w:hAnsi="Calibri"/>
                <w:color w:val="334155"/>
                <w:sz w:val="19"/>
              </w:rPr>
              <w:t>Sends rich HTML notifications and failure alerts using Python smtplib with STARTTLS / SSL encryption. Logs every transmission into email_notification_logs.</w:t>
            </w:r>
          </w:p>
        </w:tc>
      </w:tr>
      <w:tr>
        <w:tc>
          <w:tcPr>
            <w:tcW w:type="dxa" w:w="2304"/>
            <w:shd w:val="clear" w:color="auto" w:fill="F8FAFC"/>
            <w:tcMar>
              <w:top w:w="120" w:type="dxa"/>
              <w:bottom w:w="120" w:type="dxa"/>
              <w:left w:w="180" w:type="dxa"/>
              <w:right w:w="180" w:type="dxa"/>
            </w:tcMar>
          </w:tcPr>
          <w:p>
            <w:pPr>
              <w:jc w:val="left"/>
            </w:pPr>
            <w:r>
              <w:rPr>
                <w:rFonts w:ascii="Calibri" w:hAnsi="Calibri"/>
                <w:color w:val="334155"/>
                <w:sz w:val="19"/>
              </w:rPr>
              <w:t>auth.py</w:t>
            </w:r>
          </w:p>
        </w:tc>
        <w:tc>
          <w:tcPr>
            <w:tcW w:type="dxa" w:w="3168"/>
            <w:shd w:val="clear" w:color="auto" w:fill="F8FAFC"/>
            <w:tcMar>
              <w:top w:w="120" w:type="dxa"/>
              <w:bottom w:w="120" w:type="dxa"/>
              <w:left w:w="180" w:type="dxa"/>
              <w:right w:w="180" w:type="dxa"/>
            </w:tcMar>
          </w:tcPr>
          <w:p>
            <w:pPr>
              <w:jc w:val="left"/>
            </w:pPr>
            <w:r>
              <w:rPr>
                <w:rFonts w:ascii="Calibri" w:hAnsi="Calibri"/>
                <w:color w:val="334155"/>
                <w:sz w:val="19"/>
              </w:rPr>
              <w:t>Authentication &amp; JWT Token Security</w:t>
            </w:r>
          </w:p>
        </w:tc>
        <w:tc>
          <w:tcPr>
            <w:tcW w:type="dxa" w:w="3888"/>
            <w:shd w:val="clear" w:color="auto" w:fill="F8FAFC"/>
            <w:tcMar>
              <w:top w:w="120" w:type="dxa"/>
              <w:bottom w:w="120" w:type="dxa"/>
              <w:left w:w="180" w:type="dxa"/>
              <w:right w:w="180" w:type="dxa"/>
            </w:tcMar>
          </w:tcPr>
          <w:p>
            <w:pPr>
              <w:jc w:val="left"/>
            </w:pPr>
            <w:r>
              <w:rPr>
                <w:rFonts w:ascii="Calibri" w:hAnsi="Calibri"/>
                <w:color w:val="334155"/>
                <w:sz w:val="19"/>
              </w:rPr>
              <w:t>Generates and validates HS256 JWT access and refresh tokens, checks password hashes using Werkzeug security, and protects sensitive operations.</w:t>
            </w:r>
          </w:p>
        </w:tc>
      </w:tr>
    </w:tbl>
    <w:p/>
    <w:p>
      <w:pPr>
        <w:pStyle w:val="Heading1"/>
      </w:pPr>
      <w:r>
        <w:t>4. Database Architecture &amp; Multi-Cloud Target Support</w:t>
      </w:r>
    </w:p>
    <w:p>
      <w:r>
        <w:t>The platform utilizes PostgreSQL as its central system metastore (database name: 'hla_db') while supporting an expansive variety of external target database engines and enterprise cloud data warehouses.</w:t>
      </w:r>
    </w:p>
    <w:p>
      <w:pPr>
        <w:pStyle w:val="Heading2"/>
      </w:pPr>
      <w:r>
        <w:t>4.1 System Metastore Relational Schema</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0F2942"/>
            <w:tcMar>
              <w:top w:w="140" w:type="dxa"/>
              <w:bottom w:w="140" w:type="dxa"/>
              <w:left w:w="180" w:type="dxa"/>
              <w:right w:w="180" w:type="dxa"/>
            </w:tcMar>
          </w:tcPr>
          <w:p>
            <w:pPr>
              <w:jc w:val="left"/>
            </w:pPr>
            <w:r>
              <w:rPr>
                <w:rFonts w:ascii="Calibri" w:hAnsi="Calibri"/>
                <w:b/>
                <w:color w:val="FFFFFF"/>
                <w:sz w:val="20"/>
              </w:rPr>
              <w:t>Table Name</w:t>
            </w:r>
          </w:p>
        </w:tc>
        <w:tc>
          <w:tcPr>
            <w:tcW w:type="dxa" w:w="2592"/>
            <w:shd w:val="clear" w:color="auto" w:fill="0F2942"/>
            <w:tcMar>
              <w:top w:w="140" w:type="dxa"/>
              <w:bottom w:w="140" w:type="dxa"/>
              <w:left w:w="180" w:type="dxa"/>
              <w:right w:w="180" w:type="dxa"/>
            </w:tcMar>
          </w:tcPr>
          <w:p>
            <w:pPr>
              <w:jc w:val="left"/>
            </w:pPr>
            <w:r>
              <w:rPr>
                <w:rFonts w:ascii="Calibri" w:hAnsi="Calibri"/>
                <w:b/>
                <w:color w:val="FFFFFF"/>
                <w:sz w:val="20"/>
              </w:rPr>
              <w:t>Entity Purpose</w:t>
            </w:r>
          </w:p>
        </w:tc>
        <w:tc>
          <w:tcPr>
            <w:tcW w:type="dxa" w:w="4608"/>
            <w:shd w:val="clear" w:color="auto" w:fill="0F2942"/>
            <w:tcMar>
              <w:top w:w="140" w:type="dxa"/>
              <w:bottom w:w="140" w:type="dxa"/>
              <w:left w:w="180" w:type="dxa"/>
              <w:right w:w="180" w:type="dxa"/>
            </w:tcMar>
          </w:tcPr>
          <w:p>
            <w:pPr>
              <w:jc w:val="left"/>
            </w:pPr>
            <w:r>
              <w:rPr>
                <w:rFonts w:ascii="Calibri" w:hAnsi="Calibri"/>
                <w:b/>
                <w:color w:val="FFFFFF"/>
                <w:sz w:val="20"/>
              </w:rPr>
              <w:t>Primary Columns &amp; Relationships</w:t>
            </w:r>
          </w:p>
        </w:tc>
      </w:tr>
      <w:tr>
        <w:tc>
          <w:tcPr>
            <w:tcW w:type="dxa" w:w="2160"/>
            <w:shd w:val="clear" w:color="auto" w:fill="F8FAFC"/>
            <w:tcMar>
              <w:top w:w="120" w:type="dxa"/>
              <w:bottom w:w="120" w:type="dxa"/>
              <w:left w:w="180" w:type="dxa"/>
              <w:right w:w="180" w:type="dxa"/>
            </w:tcMar>
          </w:tcPr>
          <w:p>
            <w:pPr>
              <w:jc w:val="left"/>
            </w:pPr>
            <w:r>
              <w:rPr>
                <w:rFonts w:ascii="Calibri" w:hAnsi="Calibri"/>
                <w:color w:val="334155"/>
                <w:sz w:val="19"/>
              </w:rPr>
              <w:t>users</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User Identity &amp; RBAC</w:t>
            </w:r>
          </w:p>
        </w:tc>
        <w:tc>
          <w:tcPr>
            <w:tcW w:type="dxa" w:w="4608"/>
            <w:shd w:val="clear" w:color="auto" w:fill="F8FAFC"/>
            <w:tcMar>
              <w:top w:w="120" w:type="dxa"/>
              <w:bottom w:w="120" w:type="dxa"/>
              <w:left w:w="180" w:type="dxa"/>
              <w:right w:w="180" w:type="dxa"/>
            </w:tcMar>
          </w:tcPr>
          <w:p>
            <w:pPr>
              <w:jc w:val="left"/>
            </w:pPr>
            <w:r>
              <w:rPr>
                <w:rFonts w:ascii="Calibri" w:hAnsi="Calibri"/>
                <w:color w:val="334155"/>
                <w:sz w:val="19"/>
              </w:rPr>
              <w:t>id, username, password_hash, role (admin/architect/analyst/viewer), is_active, created_at</w:t>
            </w:r>
          </w:p>
        </w:tc>
      </w:tr>
      <w:tr>
        <w:tc>
          <w:tcPr>
            <w:tcW w:type="dxa" w:w="2160"/>
            <w:shd w:val="clear" w:color="auto" w:fill="FFFFFF"/>
            <w:tcMar>
              <w:top w:w="120" w:type="dxa"/>
              <w:bottom w:w="120" w:type="dxa"/>
              <w:left w:w="180" w:type="dxa"/>
              <w:right w:w="180" w:type="dxa"/>
            </w:tcMar>
          </w:tcPr>
          <w:p>
            <w:pPr>
              <w:jc w:val="left"/>
            </w:pPr>
            <w:r>
              <w:rPr>
                <w:rFonts w:ascii="Calibri" w:hAnsi="Calibri"/>
                <w:color w:val="334155"/>
                <w:sz w:val="19"/>
              </w:rPr>
              <w:t>projects</w:t>
            </w:r>
          </w:p>
        </w:tc>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Solution Workspaces</w:t>
            </w:r>
          </w:p>
        </w:tc>
        <w:tc>
          <w:tcPr>
            <w:tcW w:type="dxa" w:w="4608"/>
            <w:shd w:val="clear" w:color="auto" w:fill="FFFFFF"/>
            <w:tcMar>
              <w:top w:w="120" w:type="dxa"/>
              <w:bottom w:w="120" w:type="dxa"/>
              <w:left w:w="180" w:type="dxa"/>
              <w:right w:w="180" w:type="dxa"/>
            </w:tcMar>
          </w:tcPr>
          <w:p>
            <w:pPr>
              <w:jc w:val="left"/>
            </w:pPr>
            <w:r>
              <w:rPr>
                <w:rFonts w:ascii="Calibri" w:hAnsi="Calibri"/>
                <w:color w:val="334155"/>
                <w:sz w:val="19"/>
              </w:rPr>
              <w:t>id, name, description, created_by, created_at, updated_at (1-to-many with documents &amp; db_connections)</w:t>
            </w:r>
          </w:p>
        </w:tc>
      </w:tr>
      <w:tr>
        <w:tc>
          <w:tcPr>
            <w:tcW w:type="dxa" w:w="2160"/>
            <w:shd w:val="clear" w:color="auto" w:fill="F8FAFC"/>
            <w:tcMar>
              <w:top w:w="120" w:type="dxa"/>
              <w:bottom w:w="120" w:type="dxa"/>
              <w:left w:w="180" w:type="dxa"/>
              <w:right w:w="180" w:type="dxa"/>
            </w:tcMar>
          </w:tcPr>
          <w:p>
            <w:pPr>
              <w:jc w:val="left"/>
            </w:pPr>
            <w:r>
              <w:rPr>
                <w:rFonts w:ascii="Calibri" w:hAnsi="Calibri"/>
                <w:color w:val="334155"/>
                <w:sz w:val="19"/>
              </w:rPr>
              <w:t>documents</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Uploaded HLA Documents</w:t>
            </w:r>
          </w:p>
        </w:tc>
        <w:tc>
          <w:tcPr>
            <w:tcW w:type="dxa" w:w="4608"/>
            <w:shd w:val="clear" w:color="auto" w:fill="F8FAFC"/>
            <w:tcMar>
              <w:top w:w="120" w:type="dxa"/>
              <w:bottom w:w="120" w:type="dxa"/>
              <w:left w:w="180" w:type="dxa"/>
              <w:right w:w="180" w:type="dxa"/>
            </w:tcMar>
          </w:tcPr>
          <w:p>
            <w:pPr>
              <w:jc w:val="left"/>
            </w:pPr>
            <w:r>
              <w:rPr>
                <w:rFonts w:ascii="Calibri" w:hAnsi="Calibri"/>
                <w:color w:val="334155"/>
                <w:sz w:val="19"/>
              </w:rPr>
              <w:t>id, project_id, filename, file_type, file_size, status (uploaded/analyzed), analysis_data (JSON)</w:t>
            </w:r>
          </w:p>
        </w:tc>
      </w:tr>
      <w:tr>
        <w:tc>
          <w:tcPr>
            <w:tcW w:type="dxa" w:w="2160"/>
            <w:shd w:val="clear" w:color="auto" w:fill="FFFFFF"/>
            <w:tcMar>
              <w:top w:w="120" w:type="dxa"/>
              <w:bottom w:w="120" w:type="dxa"/>
              <w:left w:w="180" w:type="dxa"/>
              <w:right w:w="180" w:type="dxa"/>
            </w:tcMar>
          </w:tcPr>
          <w:p>
            <w:pPr>
              <w:jc w:val="left"/>
            </w:pPr>
            <w:r>
              <w:rPr>
                <w:rFonts w:ascii="Calibri" w:hAnsi="Calibri"/>
                <w:color w:val="334155"/>
                <w:sz w:val="19"/>
              </w:rPr>
              <w:t>db_connections</w:t>
            </w:r>
          </w:p>
        </w:tc>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Source &amp; Target DB Vault</w:t>
            </w:r>
          </w:p>
        </w:tc>
        <w:tc>
          <w:tcPr>
            <w:tcW w:type="dxa" w:w="4608"/>
            <w:shd w:val="clear" w:color="auto" w:fill="FFFFFF"/>
            <w:tcMar>
              <w:top w:w="120" w:type="dxa"/>
              <w:bottom w:w="120" w:type="dxa"/>
              <w:left w:w="180" w:type="dxa"/>
              <w:right w:w="180" w:type="dxa"/>
            </w:tcMar>
          </w:tcPr>
          <w:p>
            <w:pPr>
              <w:jc w:val="left"/>
            </w:pPr>
            <w:r>
              <w:rPr>
                <w:rFonts w:ascii="Calibri" w:hAnsi="Calibri"/>
                <w:color w:val="334155"/>
                <w:sz w:val="19"/>
              </w:rPr>
              <w:t>id, project_id, source_db_name, conn_role (source/target), target_env (dev/prod), db_type, host, port, database_name, username, password, schema_name, status</w:t>
            </w:r>
          </w:p>
        </w:tc>
      </w:tr>
      <w:tr>
        <w:tc>
          <w:tcPr>
            <w:tcW w:type="dxa" w:w="2160"/>
            <w:shd w:val="clear" w:color="auto" w:fill="F8FAFC"/>
            <w:tcMar>
              <w:top w:w="120" w:type="dxa"/>
              <w:bottom w:w="120" w:type="dxa"/>
              <w:left w:w="180" w:type="dxa"/>
              <w:right w:w="180" w:type="dxa"/>
            </w:tcMar>
          </w:tcPr>
          <w:p>
            <w:pPr>
              <w:jc w:val="left"/>
            </w:pPr>
            <w:r>
              <w:rPr>
                <w:rFonts w:ascii="Calibri" w:hAnsi="Calibri"/>
                <w:color w:val="334155"/>
                <w:sz w:val="19"/>
              </w:rPr>
              <w:t>target_artifacts</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Generated DDL &amp; Pipelines</w:t>
            </w:r>
          </w:p>
        </w:tc>
        <w:tc>
          <w:tcPr>
            <w:tcW w:type="dxa" w:w="4608"/>
            <w:shd w:val="clear" w:color="auto" w:fill="F8FAFC"/>
            <w:tcMar>
              <w:top w:w="120" w:type="dxa"/>
              <w:bottom w:w="120" w:type="dxa"/>
              <w:left w:w="180" w:type="dxa"/>
              <w:right w:w="180" w:type="dxa"/>
            </w:tcMar>
          </w:tcPr>
          <w:p>
            <w:pPr>
              <w:jc w:val="left"/>
            </w:pPr>
            <w:r>
              <w:rPr>
                <w:rFonts w:ascii="Calibri" w:hAnsi="Calibri"/>
                <w:color w:val="334155"/>
                <w:sz w:val="19"/>
              </w:rPr>
              <w:t>id, project_id, document_id, environment (dev/prod), target_dialect, target_schema, source_tables_ddl, generated_ddl, generated_transformation_sql, generated_pyspark_code, deployment_status</w:t>
            </w:r>
          </w:p>
        </w:tc>
      </w:tr>
      <w:tr>
        <w:tc>
          <w:tcPr>
            <w:tcW w:type="dxa" w:w="2160"/>
            <w:shd w:val="clear" w:color="auto" w:fill="FFFFFF"/>
            <w:tcMar>
              <w:top w:w="120" w:type="dxa"/>
              <w:bottom w:w="120" w:type="dxa"/>
              <w:left w:w="180" w:type="dxa"/>
              <w:right w:w="180" w:type="dxa"/>
            </w:tcMar>
          </w:tcPr>
          <w:p>
            <w:pPr>
              <w:jc w:val="left"/>
            </w:pPr>
            <w:r>
              <w:rPr>
                <w:rFonts w:ascii="Calibri" w:hAnsi="Calibri"/>
                <w:color w:val="334155"/>
                <w:sz w:val="19"/>
              </w:rPr>
              <w:t>control_schedules</w:t>
            </w:r>
          </w:p>
        </w:tc>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Automated Execution Plans</w:t>
            </w:r>
          </w:p>
        </w:tc>
        <w:tc>
          <w:tcPr>
            <w:tcW w:type="dxa" w:w="4608"/>
            <w:shd w:val="clear" w:color="auto" w:fill="FFFFFF"/>
            <w:tcMar>
              <w:top w:w="120" w:type="dxa"/>
              <w:bottom w:w="120" w:type="dxa"/>
              <w:left w:w="180" w:type="dxa"/>
              <w:right w:w="180" w:type="dxa"/>
            </w:tcMar>
          </w:tcPr>
          <w:p>
            <w:pPr>
              <w:jc w:val="left"/>
            </w:pPr>
            <w:r>
              <w:rPr>
                <w:rFonts w:ascii="Calibri" w:hAnsi="Calibri"/>
                <w:color w:val="334155"/>
                <w:sz w:val="19"/>
              </w:rPr>
              <w:t>id, project_id, document_id, schedule_type (monthly/daily/weekly/cron), cron_expression, day_of_month, is_active, last_run_at, next_run_at</w:t>
            </w:r>
          </w:p>
        </w:tc>
      </w:tr>
      <w:tr>
        <w:tc>
          <w:tcPr>
            <w:tcW w:type="dxa" w:w="2160"/>
            <w:shd w:val="clear" w:color="auto" w:fill="F8FAFC"/>
            <w:tcMar>
              <w:top w:w="120" w:type="dxa"/>
              <w:bottom w:w="120" w:type="dxa"/>
              <w:left w:w="180" w:type="dxa"/>
              <w:right w:w="180" w:type="dxa"/>
            </w:tcMar>
          </w:tcPr>
          <w:p>
            <w:pPr>
              <w:jc w:val="left"/>
            </w:pPr>
            <w:r>
              <w:rPr>
                <w:rFonts w:ascii="Calibri" w:hAnsi="Calibri"/>
                <w:color w:val="334155"/>
                <w:sz w:val="19"/>
              </w:rPr>
              <w:t>control_run_history</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Execution Audit Logs</w:t>
            </w:r>
          </w:p>
        </w:tc>
        <w:tc>
          <w:tcPr>
            <w:tcW w:type="dxa" w:w="4608"/>
            <w:shd w:val="clear" w:color="auto" w:fill="F8FAFC"/>
            <w:tcMar>
              <w:top w:w="120" w:type="dxa"/>
              <w:bottom w:w="120" w:type="dxa"/>
              <w:left w:w="180" w:type="dxa"/>
              <w:right w:w="180" w:type="dxa"/>
            </w:tcMar>
          </w:tcPr>
          <w:p>
            <w:pPr>
              <w:jc w:val="left"/>
            </w:pPr>
            <w:r>
              <w:rPr>
                <w:rFonts w:ascii="Calibri" w:hAnsi="Calibri"/>
                <w:color w:val="334155"/>
                <w:sz w:val="19"/>
              </w:rPr>
              <w:t>id, schedule_id, document_id, execution_type, records_processed, exception_count, status (completed/failed), log_output, start_time, end_time</w:t>
            </w:r>
          </w:p>
        </w:tc>
      </w:tr>
      <w:tr>
        <w:tc>
          <w:tcPr>
            <w:tcW w:type="dxa" w:w="2160"/>
            <w:shd w:val="clear" w:color="auto" w:fill="FFFFFF"/>
            <w:tcMar>
              <w:top w:w="120" w:type="dxa"/>
              <w:bottom w:w="120" w:type="dxa"/>
              <w:left w:w="180" w:type="dxa"/>
              <w:right w:w="180" w:type="dxa"/>
            </w:tcMar>
          </w:tcPr>
          <w:p>
            <w:pPr>
              <w:jc w:val="left"/>
            </w:pPr>
            <w:r>
              <w:rPr>
                <w:rFonts w:ascii="Calibri" w:hAnsi="Calibri"/>
                <w:color w:val="334155"/>
                <w:sz w:val="19"/>
              </w:rPr>
              <w:t>system_settings</w:t>
            </w:r>
          </w:p>
        </w:tc>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Global System Configuration</w:t>
            </w:r>
          </w:p>
        </w:tc>
        <w:tc>
          <w:tcPr>
            <w:tcW w:type="dxa" w:w="4608"/>
            <w:shd w:val="clear" w:color="auto" w:fill="FFFFFF"/>
            <w:tcMar>
              <w:top w:w="120" w:type="dxa"/>
              <w:bottom w:w="120" w:type="dxa"/>
              <w:left w:w="180" w:type="dxa"/>
              <w:right w:w="180" w:type="dxa"/>
            </w:tcMar>
          </w:tcPr>
          <w:p>
            <w:pPr>
              <w:jc w:val="left"/>
            </w:pPr>
            <w:r>
              <w:rPr>
                <w:rFonts w:ascii="Calibri" w:hAnsi="Calibri"/>
                <w:color w:val="334155"/>
                <w:sz w:val="19"/>
              </w:rPr>
              <w:t>id, key, value_json, description, updated_at (Stores global SMTP settings, controller flags)</w:t>
            </w:r>
          </w:p>
        </w:tc>
      </w:tr>
    </w:tbl>
    <w:p/>
    <w:p>
      <w:pPr>
        <w:pStyle w:val="Heading2"/>
      </w:pPr>
      <w:r>
        <w:t>4.2 Universal Multi-Cloud &amp; Database Support Matrix</w:t>
      </w:r>
    </w:p>
    <w:p>
      <w:r>
        <w:t>The application features a universal dialect translation engine that dynamically maps SQL types, primary keys, identifiers, and drivers across all major cloud database platforms: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F2942"/>
            <w:tcMar>
              <w:top w:w="140" w:type="dxa"/>
              <w:bottom w:w="140" w:type="dxa"/>
              <w:left w:w="180" w:type="dxa"/>
              <w:right w:w="180" w:type="dxa"/>
            </w:tcMar>
          </w:tcPr>
          <w:p>
            <w:pPr>
              <w:jc w:val="left"/>
            </w:pPr>
            <w:r>
              <w:rPr>
                <w:rFonts w:ascii="Calibri" w:hAnsi="Calibri"/>
                <w:b/>
                <w:color w:val="FFFFFF"/>
                <w:sz w:val="20"/>
              </w:rPr>
              <w:t>Target Database</w:t>
            </w:r>
          </w:p>
        </w:tc>
        <w:tc>
          <w:tcPr>
            <w:tcW w:type="dxa" w:w="1584"/>
            <w:shd w:val="clear" w:color="auto" w:fill="0F2942"/>
            <w:tcMar>
              <w:top w:w="140" w:type="dxa"/>
              <w:bottom w:w="140" w:type="dxa"/>
              <w:left w:w="180" w:type="dxa"/>
              <w:right w:w="180" w:type="dxa"/>
            </w:tcMar>
          </w:tcPr>
          <w:p>
            <w:pPr>
              <w:jc w:val="left"/>
            </w:pPr>
            <w:r>
              <w:rPr>
                <w:rFonts w:ascii="Calibri" w:hAnsi="Calibri"/>
                <w:b/>
                <w:color w:val="FFFFFF"/>
                <w:sz w:val="20"/>
              </w:rPr>
              <w:t>Cloud / Ecosystem</w:t>
            </w:r>
          </w:p>
        </w:tc>
        <w:tc>
          <w:tcPr>
            <w:tcW w:type="dxa" w:w="1728"/>
            <w:shd w:val="clear" w:color="auto" w:fill="0F2942"/>
            <w:tcMar>
              <w:top w:w="140" w:type="dxa"/>
              <w:bottom w:w="140" w:type="dxa"/>
              <w:left w:w="180" w:type="dxa"/>
              <w:right w:w="180" w:type="dxa"/>
            </w:tcMar>
          </w:tcPr>
          <w:p>
            <w:pPr>
              <w:jc w:val="left"/>
            </w:pPr>
            <w:r>
              <w:rPr>
                <w:rFonts w:ascii="Calibri" w:hAnsi="Calibri"/>
                <w:b/>
                <w:color w:val="FFFFFF"/>
                <w:sz w:val="20"/>
              </w:rPr>
              <w:t>Driver &amp; Library</w:t>
            </w:r>
          </w:p>
        </w:tc>
        <w:tc>
          <w:tcPr>
            <w:tcW w:type="dxa" w:w="1296"/>
            <w:shd w:val="clear" w:color="auto" w:fill="0F2942"/>
            <w:tcMar>
              <w:top w:w="140" w:type="dxa"/>
              <w:bottom w:w="140" w:type="dxa"/>
              <w:left w:w="180" w:type="dxa"/>
              <w:right w:w="180" w:type="dxa"/>
            </w:tcMar>
          </w:tcPr>
          <w:p>
            <w:pPr>
              <w:jc w:val="left"/>
            </w:pPr>
            <w:r>
              <w:rPr>
                <w:rFonts w:ascii="Calibri" w:hAnsi="Calibri"/>
                <w:b/>
                <w:color w:val="FFFFFF"/>
                <w:sz w:val="20"/>
              </w:rPr>
              <w:t>Identifier Quoting</w:t>
            </w:r>
          </w:p>
        </w:tc>
        <w:tc>
          <w:tcPr>
            <w:tcW w:type="dxa" w:w="1584"/>
            <w:shd w:val="clear" w:color="auto" w:fill="0F2942"/>
            <w:tcMar>
              <w:top w:w="140" w:type="dxa"/>
              <w:bottom w:w="140" w:type="dxa"/>
              <w:left w:w="180" w:type="dxa"/>
              <w:right w:w="180" w:type="dxa"/>
            </w:tcMar>
          </w:tcPr>
          <w:p>
            <w:pPr>
              <w:jc w:val="left"/>
            </w:pPr>
            <w:r>
              <w:rPr>
                <w:rFonts w:ascii="Calibri" w:hAnsi="Calibri"/>
                <w:b/>
                <w:color w:val="FFFFFF"/>
                <w:sz w:val="20"/>
              </w:rPr>
              <w:t>Autoincrement PK Syntax</w:t>
            </w:r>
          </w:p>
        </w:tc>
        <w:tc>
          <w:tcPr>
            <w:tcW w:type="dxa" w:w="1440"/>
            <w:shd w:val="clear" w:color="auto" w:fill="0F2942"/>
            <w:tcMar>
              <w:top w:w="140" w:type="dxa"/>
              <w:bottom w:w="140" w:type="dxa"/>
              <w:left w:w="180" w:type="dxa"/>
              <w:right w:w="180" w:type="dxa"/>
            </w:tcMar>
          </w:tcPr>
          <w:p>
            <w:pPr>
              <w:jc w:val="left"/>
            </w:pPr>
            <w:r>
              <w:rPr>
                <w:rFonts w:ascii="Calibri" w:hAnsi="Calibri"/>
                <w:b/>
                <w:color w:val="FFFFFF"/>
                <w:sz w:val="20"/>
              </w:rPr>
              <w:t>PySpark Target Driver</w:t>
            </w:r>
          </w:p>
        </w:tc>
      </w:tr>
      <w:tr>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PostgreSQL / Aurora</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AWS / GCP / On-Premise</w:t>
            </w:r>
          </w:p>
        </w:tc>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psycopg2</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BIGINT GENERATED BY DEFAULT AS IDENTITY PRIMARY KEY</w:t>
            </w:r>
          </w:p>
        </w:tc>
        <w:tc>
          <w:tcPr>
            <w:tcW w:type="dxa" w:w="1440"/>
            <w:shd w:val="clear" w:color="auto" w:fill="F8FAFC"/>
            <w:tcMar>
              <w:top w:w="120" w:type="dxa"/>
              <w:bottom w:w="120" w:type="dxa"/>
              <w:left w:w="180" w:type="dxa"/>
              <w:right w:w="180" w:type="dxa"/>
            </w:tcMar>
          </w:tcPr>
          <w:p>
            <w:pPr>
              <w:jc w:val="left"/>
            </w:pPr>
            <w:r>
              <w:rPr>
                <w:rFonts w:ascii="Calibri" w:hAnsi="Calibri"/>
                <w:color w:val="334155"/>
                <w:sz w:val="19"/>
              </w:rPr>
              <w:t>org.postgresql.Driver</w:t>
            </w:r>
          </w:p>
        </w:tc>
      </w:tr>
      <w:tr>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Azure SQL / MSSQL</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Microsoft Azure / Windows</w:t>
            </w:r>
          </w:p>
        </w:tc>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pyodbc (ODBC 17/18)</w:t>
            </w:r>
          </w:p>
        </w:tc>
        <w:tc>
          <w:tcPr>
            <w:tcW w:type="dxa" w:w="1296"/>
            <w:shd w:val="clear" w:color="auto" w:fill="FFFFFF"/>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BIGINT IDENTITY(1,1) PRIMARY KEY</w:t>
            </w:r>
          </w:p>
        </w:tc>
        <w:tc>
          <w:tcPr>
            <w:tcW w:type="dxa" w:w="1440"/>
            <w:shd w:val="clear" w:color="auto" w:fill="FFFFFF"/>
            <w:tcMar>
              <w:top w:w="120" w:type="dxa"/>
              <w:bottom w:w="120" w:type="dxa"/>
              <w:left w:w="180" w:type="dxa"/>
              <w:right w:w="180" w:type="dxa"/>
            </w:tcMar>
          </w:tcPr>
          <w:p>
            <w:pPr>
              <w:jc w:val="left"/>
            </w:pPr>
            <w:r>
              <w:rPr>
                <w:rFonts w:ascii="Calibri" w:hAnsi="Calibri"/>
                <w:color w:val="334155"/>
                <w:sz w:val="19"/>
              </w:rPr>
              <w:t>com.microsoft.sqlserver.jdbc.SQLServerDriver</w:t>
            </w:r>
          </w:p>
        </w:tc>
      </w:tr>
      <w:tr>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MySQL / MariaDB</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AWS RDS / GCP Cloud SQL</w:t>
            </w:r>
          </w:p>
        </w:tc>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pymysql</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BIGINT AUTO_INCREMENT PRIMARY KEY</w:t>
            </w:r>
          </w:p>
        </w:tc>
        <w:tc>
          <w:tcPr>
            <w:tcW w:type="dxa" w:w="1440"/>
            <w:shd w:val="clear" w:color="auto" w:fill="F8FAFC"/>
            <w:tcMar>
              <w:top w:w="120" w:type="dxa"/>
              <w:bottom w:w="120" w:type="dxa"/>
              <w:left w:w="180" w:type="dxa"/>
              <w:right w:w="180" w:type="dxa"/>
            </w:tcMar>
          </w:tcPr>
          <w:p>
            <w:pPr>
              <w:jc w:val="left"/>
            </w:pPr>
            <w:r>
              <w:rPr>
                <w:rFonts w:ascii="Calibri" w:hAnsi="Calibri"/>
                <w:color w:val="334155"/>
                <w:sz w:val="19"/>
              </w:rPr>
              <w:t>com.mysql.cj.jdbc.Driver</w:t>
            </w:r>
          </w:p>
        </w:tc>
      </w:tr>
      <w:tr>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Snowflake Data Cloud</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Multi-Cloud Warehouse</w:t>
            </w:r>
          </w:p>
        </w:tc>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snowflake-sqlalchemy</w:t>
            </w:r>
          </w:p>
        </w:tc>
        <w:tc>
          <w:tcPr>
            <w:tcW w:type="dxa" w:w="1296"/>
            <w:shd w:val="clear" w:color="auto" w:fill="FFFFFF"/>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NUMBER(38,0) AUTOINCREMENT PRIMARY KEY</w:t>
            </w:r>
          </w:p>
        </w:tc>
        <w:tc>
          <w:tcPr>
            <w:tcW w:type="dxa" w:w="1440"/>
            <w:shd w:val="clear" w:color="auto" w:fill="FFFFFF"/>
            <w:tcMar>
              <w:top w:w="120" w:type="dxa"/>
              <w:bottom w:w="120" w:type="dxa"/>
              <w:left w:w="180" w:type="dxa"/>
              <w:right w:w="180" w:type="dxa"/>
            </w:tcMar>
          </w:tcPr>
          <w:p>
            <w:pPr>
              <w:jc w:val="left"/>
            </w:pPr>
            <w:r>
              <w:rPr>
                <w:rFonts w:ascii="Calibri" w:hAnsi="Calibri"/>
                <w:color w:val="334155"/>
                <w:sz w:val="19"/>
              </w:rPr>
              <w:t>net.snowflake.client.jdbc.SnowflakeDriver</w:t>
            </w:r>
          </w:p>
        </w:tc>
      </w:tr>
      <w:tr>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Oracle Database</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Enterprise On-Prem / Cloud</w:t>
            </w:r>
          </w:p>
        </w:tc>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cx_Oracle</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NUMBER GENERATED BY DEFAULT AS IDENTITY PRIMARY KEY</w:t>
            </w:r>
          </w:p>
        </w:tc>
        <w:tc>
          <w:tcPr>
            <w:tcW w:type="dxa" w:w="1440"/>
            <w:shd w:val="clear" w:color="auto" w:fill="F8FAFC"/>
            <w:tcMar>
              <w:top w:w="120" w:type="dxa"/>
              <w:bottom w:w="120" w:type="dxa"/>
              <w:left w:w="180" w:type="dxa"/>
              <w:right w:w="180" w:type="dxa"/>
            </w:tcMar>
          </w:tcPr>
          <w:p>
            <w:pPr>
              <w:jc w:val="left"/>
            </w:pPr>
            <w:r>
              <w:rPr>
                <w:rFonts w:ascii="Calibri" w:hAnsi="Calibri"/>
                <w:color w:val="334155"/>
                <w:sz w:val="19"/>
              </w:rPr>
              <w:t>oracle.jdbc.driver.OracleDriver</w:t>
            </w:r>
          </w:p>
        </w:tc>
      </w:tr>
      <w:tr>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AWS Redshift</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Amazon Web Services</w:t>
            </w:r>
          </w:p>
        </w:tc>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postgresql+psycopg2</w:t>
            </w:r>
          </w:p>
        </w:tc>
        <w:tc>
          <w:tcPr>
            <w:tcW w:type="dxa" w:w="1296"/>
            <w:shd w:val="clear" w:color="auto" w:fill="FFFFFF"/>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BIGINT IDENTITY(1,1) PRIMARY KEY</w:t>
            </w:r>
          </w:p>
        </w:tc>
        <w:tc>
          <w:tcPr>
            <w:tcW w:type="dxa" w:w="1440"/>
            <w:shd w:val="clear" w:color="auto" w:fill="FFFFFF"/>
            <w:tcMar>
              <w:top w:w="120" w:type="dxa"/>
              <w:bottom w:w="120" w:type="dxa"/>
              <w:left w:w="180" w:type="dxa"/>
              <w:right w:w="180" w:type="dxa"/>
            </w:tcMar>
          </w:tcPr>
          <w:p>
            <w:pPr>
              <w:jc w:val="left"/>
            </w:pPr>
            <w:r>
              <w:rPr>
                <w:rFonts w:ascii="Calibri" w:hAnsi="Calibri"/>
                <w:color w:val="334155"/>
                <w:sz w:val="19"/>
              </w:rPr>
              <w:t>com.amazon.redshift.jdbc42.Driver</w:t>
            </w:r>
          </w:p>
        </w:tc>
      </w:tr>
      <w:tr>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Google BigQuery</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Google Cloud Platform</w:t>
            </w:r>
          </w:p>
        </w:tc>
        <w:tc>
          <w:tcPr>
            <w:tcW w:type="dxa" w:w="1728"/>
            <w:shd w:val="clear" w:color="auto" w:fill="F8FAFC"/>
            <w:tcMar>
              <w:top w:w="120" w:type="dxa"/>
              <w:bottom w:w="120" w:type="dxa"/>
              <w:left w:w="180" w:type="dxa"/>
              <w:right w:w="180" w:type="dxa"/>
            </w:tcMar>
          </w:tcPr>
          <w:p>
            <w:pPr>
              <w:jc w:val="left"/>
            </w:pPr>
            <w:r>
              <w:rPr>
                <w:rFonts w:ascii="Calibri" w:hAnsi="Calibri"/>
                <w:color w:val="334155"/>
                <w:sz w:val="19"/>
              </w:rPr>
              <w:t>sqlalchemy-bigquery</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Standard BigQuery Schema DDL</w:t>
            </w:r>
          </w:p>
        </w:tc>
        <w:tc>
          <w:tcPr>
            <w:tcW w:type="dxa" w:w="1440"/>
            <w:shd w:val="clear" w:color="auto" w:fill="F8FAFC"/>
            <w:tcMar>
              <w:top w:w="120" w:type="dxa"/>
              <w:bottom w:w="120" w:type="dxa"/>
              <w:left w:w="180" w:type="dxa"/>
              <w:right w:w="180" w:type="dxa"/>
            </w:tcMar>
          </w:tcPr>
          <w:p>
            <w:pPr>
              <w:jc w:val="left"/>
            </w:pPr>
            <w:r>
              <w:rPr>
                <w:rFonts w:ascii="Calibri" w:hAnsi="Calibri"/>
                <w:color w:val="334155"/>
                <w:sz w:val="19"/>
              </w:rPr>
              <w:t>com.google.cloud.spark.bigquery</w:t>
            </w:r>
          </w:p>
        </w:tc>
      </w:tr>
      <w:tr>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SQLite / DuckDB</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Embedded / Analytical</w:t>
            </w:r>
          </w:p>
        </w:tc>
        <w:tc>
          <w:tcPr>
            <w:tcW w:type="dxa" w:w="1728"/>
            <w:shd w:val="clear" w:color="auto" w:fill="FFFFFF"/>
            <w:tcMar>
              <w:top w:w="120" w:type="dxa"/>
              <w:bottom w:w="120" w:type="dxa"/>
              <w:left w:w="180" w:type="dxa"/>
              <w:right w:w="180" w:type="dxa"/>
            </w:tcMar>
          </w:tcPr>
          <w:p>
            <w:pPr>
              <w:jc w:val="left"/>
            </w:pPr>
            <w:r>
              <w:rPr>
                <w:rFonts w:ascii="Calibri" w:hAnsi="Calibri"/>
                <w:color w:val="334155"/>
                <w:sz w:val="19"/>
              </w:rPr>
              <w:t>sqlite3 / duckdb</w:t>
            </w:r>
          </w:p>
        </w:tc>
        <w:tc>
          <w:tcPr>
            <w:tcW w:type="dxa" w:w="1296"/>
            <w:shd w:val="clear" w:color="auto" w:fill="FFFFFF"/>
            <w:tcMar>
              <w:top w:w="120" w:type="dxa"/>
              <w:bottom w:w="120" w:type="dxa"/>
              <w:left w:w="180" w:type="dxa"/>
              <w:right w:w="180" w:type="dxa"/>
            </w:tcMar>
          </w:tcPr>
          <w:p>
            <w:pPr>
              <w:jc w:val="left"/>
            </w:pPr>
            <w:r>
              <w:rPr>
                <w:rFonts w:ascii="Calibri" w:hAnsi="Calibri"/>
                <w:color w:val="334155"/>
                <w:sz w:val="19"/>
              </w:rPr>
              <w:t>"identifier"</w:t>
            </w:r>
          </w:p>
        </w:tc>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INTEGER PRIMARY KEY AUTOINCREMENT</w:t>
            </w:r>
          </w:p>
        </w:tc>
        <w:tc>
          <w:tcPr>
            <w:tcW w:type="dxa" w:w="1440"/>
            <w:shd w:val="clear" w:color="auto" w:fill="FFFFFF"/>
            <w:tcMar>
              <w:top w:w="120" w:type="dxa"/>
              <w:bottom w:w="120" w:type="dxa"/>
              <w:left w:w="180" w:type="dxa"/>
              <w:right w:w="180" w:type="dxa"/>
            </w:tcMar>
          </w:tcPr>
          <w:p>
            <w:pPr>
              <w:jc w:val="left"/>
            </w:pPr>
            <w:r>
              <w:rPr>
                <w:rFonts w:ascii="Calibri" w:hAnsi="Calibri"/>
                <w:color w:val="334155"/>
                <w:sz w:val="19"/>
              </w:rPr>
              <w:t>org.sqlite.JDBC</w:t>
            </w:r>
          </w:p>
        </w:tc>
      </w:tr>
    </w:tbl>
    <w:p/>
    <w:tbl>
      <w:tblPr>
        <w:tblW w:type="auto" w:w="0"/>
        <w:jc w:val="center"/>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180" w:type="dxa"/>
            </w:tcMar>
            <w:tcBorders>
              <w:left w:val="single" w:sz="24" w:space="0" w:color="0284C7"/>
              <w:top w:val="none"/>
              <w:bottom w:val="none"/>
              <w:right w:val="none"/>
            </w:tcBorders>
          </w:tcPr>
          <w:p>
            <w:pPr>
              <w:spacing w:before="0" w:after="40"/>
            </w:pPr>
            <w:r>
              <w:rPr>
                <w:rFonts w:ascii="Calibri" w:hAnsi="Calibri"/>
                <w:b/>
                <w:color w:val="0284C7"/>
                <w:sz w:val="20"/>
              </w:rPr>
              <w:t xml:space="preserve">[MULTI-CLOUD FEATURE] </w:t>
            </w:r>
            <w:r>
              <w:rPr>
                <w:rFonts w:ascii="Calibri" w:hAnsi="Calibri"/>
                <w:color w:val="1E293B"/>
                <w:sz w:val="19"/>
              </w:rPr>
              <w:t>Snowflake Dynamic Parameter Handling: Snowflake requires an Account Identifier (e.g. xy12345.us-east-1) instead of a hostname, and a Warehouse compute cluster (e.g. COMPUTE_WH) instead of a port. The Target DB Studio dynamically reconfigures the input form when Snowflake is selected, morphing 'Host' to 'Account Identifier' and 'Port' to 'Warehouse'.</w:t>
            </w:r>
          </w:p>
        </w:tc>
      </w:tr>
    </w:tbl>
    <w:p/>
    <w:p>
      <w:pPr>
        <w:pStyle w:val="Heading1"/>
      </w:pPr>
      <w:r>
        <w:t>5. Artificial Intelligence &amp; Large Language Model (LLM) Integration</w:t>
      </w:r>
    </w:p>
    <w:p>
      <w:r>
        <w:t>A standout architectural differentiator of the HLA Platform is its hybrid, four-tier Artificial Intelligence and Reasoning Architecture. Rather than relying solely on black-box LLM APIs that may suffer from hallucinations or latency, the application balances high-speed deterministic parsing with cutting-edge LLMs.</w:t>
      </w:r>
    </w:p>
    <w:p>
      <w:pPr>
        <w:pStyle w:val="Heading2"/>
      </w:pPr>
      <w:r>
        <w:t>5.1 Multi-Tier AI Architecture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val="clear" w:color="auto" w:fill="0F2942"/>
            <w:tcMar>
              <w:top w:w="140" w:type="dxa"/>
              <w:bottom w:w="140" w:type="dxa"/>
              <w:left w:w="180" w:type="dxa"/>
              <w:right w:w="180" w:type="dxa"/>
            </w:tcMar>
          </w:tcPr>
          <w:p>
            <w:pPr>
              <w:jc w:val="left"/>
            </w:pPr>
            <w:r>
              <w:rPr>
                <w:rFonts w:ascii="Calibri" w:hAnsi="Calibri"/>
                <w:b/>
                <w:color w:val="FFFFFF"/>
                <w:sz w:val="20"/>
              </w:rPr>
              <w:t>Tier Level</w:t>
            </w:r>
          </w:p>
        </w:tc>
        <w:tc>
          <w:tcPr>
            <w:tcW w:type="dxa" w:w="2016"/>
            <w:shd w:val="clear" w:color="auto" w:fill="0F2942"/>
            <w:tcMar>
              <w:top w:w="140" w:type="dxa"/>
              <w:bottom w:w="140" w:type="dxa"/>
              <w:left w:w="180" w:type="dxa"/>
              <w:right w:w="180" w:type="dxa"/>
            </w:tcMar>
          </w:tcPr>
          <w:p>
            <w:pPr>
              <w:jc w:val="left"/>
            </w:pPr>
            <w:r>
              <w:rPr>
                <w:rFonts w:ascii="Calibri" w:hAnsi="Calibri"/>
                <w:b/>
                <w:color w:val="FFFFFF"/>
                <w:sz w:val="20"/>
              </w:rPr>
              <w:t>Provider &amp; Model</w:t>
            </w:r>
          </w:p>
        </w:tc>
        <w:tc>
          <w:tcPr>
            <w:tcW w:type="dxa" w:w="2016"/>
            <w:shd w:val="clear" w:color="auto" w:fill="0F2942"/>
            <w:tcMar>
              <w:top w:w="140" w:type="dxa"/>
              <w:bottom w:w="140" w:type="dxa"/>
              <w:left w:w="180" w:type="dxa"/>
              <w:right w:w="180" w:type="dxa"/>
            </w:tcMar>
          </w:tcPr>
          <w:p>
            <w:pPr>
              <w:jc w:val="left"/>
            </w:pPr>
            <w:r>
              <w:rPr>
                <w:rFonts w:ascii="Calibri" w:hAnsi="Calibri"/>
                <w:b/>
                <w:color w:val="FFFFFF"/>
                <w:sz w:val="20"/>
              </w:rPr>
              <w:t>Deployment Mode</w:t>
            </w:r>
          </w:p>
        </w:tc>
        <w:tc>
          <w:tcPr>
            <w:tcW w:type="dxa" w:w="3744"/>
            <w:shd w:val="clear" w:color="auto" w:fill="0F2942"/>
            <w:tcMar>
              <w:top w:w="140" w:type="dxa"/>
              <w:bottom w:w="140" w:type="dxa"/>
              <w:left w:w="180" w:type="dxa"/>
              <w:right w:w="180" w:type="dxa"/>
            </w:tcMar>
          </w:tcPr>
          <w:p>
            <w:pPr>
              <w:jc w:val="left"/>
            </w:pPr>
            <w:r>
              <w:rPr>
                <w:rFonts w:ascii="Calibri" w:hAnsi="Calibri"/>
                <w:b/>
                <w:color w:val="FFFFFF"/>
                <w:sz w:val="20"/>
              </w:rPr>
              <w:t>Architectural Purpose &amp; Advantages</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Tier 1 (Primary Cloud)</w:t>
            </w:r>
          </w:p>
        </w:tc>
        <w:tc>
          <w:tcPr>
            <w:tcW w:type="dxa" w:w="2016"/>
            <w:shd w:val="clear" w:color="auto" w:fill="F8FAFC"/>
            <w:tcMar>
              <w:top w:w="120" w:type="dxa"/>
              <w:bottom w:w="120" w:type="dxa"/>
              <w:left w:w="180" w:type="dxa"/>
              <w:right w:w="180" w:type="dxa"/>
            </w:tcMar>
          </w:tcPr>
          <w:p>
            <w:pPr>
              <w:jc w:val="left"/>
            </w:pPr>
            <w:r>
              <w:rPr>
                <w:rFonts w:ascii="Calibri" w:hAnsi="Calibri"/>
                <w:color w:val="334155"/>
                <w:sz w:val="19"/>
              </w:rPr>
              <w:t>Groq Cloud</w:t>
              <w:br/>
              <w:t>llama-3.3-70b-versatile</w:t>
            </w:r>
          </w:p>
        </w:tc>
        <w:tc>
          <w:tcPr>
            <w:tcW w:type="dxa" w:w="2016"/>
            <w:shd w:val="clear" w:color="auto" w:fill="F8FAFC"/>
            <w:tcMar>
              <w:top w:w="120" w:type="dxa"/>
              <w:bottom w:w="120" w:type="dxa"/>
              <w:left w:w="180" w:type="dxa"/>
              <w:right w:w="180" w:type="dxa"/>
            </w:tcMar>
          </w:tcPr>
          <w:p>
            <w:pPr>
              <w:jc w:val="left"/>
            </w:pPr>
            <w:r>
              <w:rPr>
                <w:rFonts w:ascii="Calibri" w:hAnsi="Calibri"/>
                <w:color w:val="334155"/>
                <w:sz w:val="19"/>
              </w:rPr>
              <w:t>Cloud API via Groq LPU</w:t>
            </w:r>
          </w:p>
        </w:tc>
        <w:tc>
          <w:tcPr>
            <w:tcW w:type="dxa" w:w="3744"/>
            <w:shd w:val="clear" w:color="auto" w:fill="F8FAFC"/>
            <w:tcMar>
              <w:top w:w="120" w:type="dxa"/>
              <w:bottom w:w="120" w:type="dxa"/>
              <w:left w:w="180" w:type="dxa"/>
              <w:right w:w="180" w:type="dxa"/>
            </w:tcMar>
          </w:tcPr>
          <w:p>
            <w:pPr>
              <w:jc w:val="left"/>
            </w:pPr>
            <w:r>
              <w:rPr>
                <w:rFonts w:ascii="Calibri" w:hAnsi="Calibri"/>
                <w:color w:val="334155"/>
                <w:sz w:val="19"/>
              </w:rPr>
              <w:t>Ultra-fast inference (under 1 second) with 70 Billion parameters. Synthesizes executive architecture narratives, evaluates complex multi-condition CASE statements, and maps upstream business rules.</w:t>
            </w:r>
          </w:p>
        </w:tc>
      </w:tr>
      <w:tr>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Tier 2 (Secondary Cloud)</w:t>
            </w:r>
          </w:p>
        </w:tc>
        <w:tc>
          <w:tcPr>
            <w:tcW w:type="dxa" w:w="2016"/>
            <w:shd w:val="clear" w:color="auto" w:fill="FFFFFF"/>
            <w:tcMar>
              <w:top w:w="120" w:type="dxa"/>
              <w:bottom w:w="120" w:type="dxa"/>
              <w:left w:w="180" w:type="dxa"/>
              <w:right w:w="180" w:type="dxa"/>
            </w:tcMar>
          </w:tcPr>
          <w:p>
            <w:pPr>
              <w:jc w:val="left"/>
            </w:pPr>
            <w:r>
              <w:rPr>
                <w:rFonts w:ascii="Calibri" w:hAnsi="Calibri"/>
                <w:color w:val="334155"/>
                <w:sz w:val="19"/>
              </w:rPr>
              <w:t>OpenAI</w:t>
              <w:br/>
              <w:t>gpt-4o-mini</w:t>
            </w:r>
          </w:p>
        </w:tc>
        <w:tc>
          <w:tcPr>
            <w:tcW w:type="dxa" w:w="2016"/>
            <w:shd w:val="clear" w:color="auto" w:fill="FFFFFF"/>
            <w:tcMar>
              <w:top w:w="120" w:type="dxa"/>
              <w:bottom w:w="120" w:type="dxa"/>
              <w:left w:w="180" w:type="dxa"/>
              <w:right w:w="180" w:type="dxa"/>
            </w:tcMar>
          </w:tcPr>
          <w:p>
            <w:pPr>
              <w:jc w:val="left"/>
            </w:pPr>
            <w:r>
              <w:rPr>
                <w:rFonts w:ascii="Calibri" w:hAnsi="Calibri"/>
                <w:color w:val="334155"/>
                <w:sz w:val="19"/>
              </w:rPr>
              <w:t>Cloud API via OpenAI</w:t>
            </w:r>
          </w:p>
        </w:tc>
        <w:tc>
          <w:tcPr>
            <w:tcW w:type="dxa" w:w="3744"/>
            <w:shd w:val="clear" w:color="auto" w:fill="FFFFFF"/>
            <w:tcMar>
              <w:top w:w="120" w:type="dxa"/>
              <w:bottom w:w="120" w:type="dxa"/>
              <w:left w:w="180" w:type="dxa"/>
              <w:right w:w="180" w:type="dxa"/>
            </w:tcMar>
          </w:tcPr>
          <w:p>
            <w:pPr>
              <w:jc w:val="left"/>
            </w:pPr>
            <w:r>
              <w:rPr>
                <w:rFonts w:ascii="Calibri" w:hAnsi="Calibri"/>
                <w:color w:val="334155"/>
                <w:sz w:val="19"/>
              </w:rPr>
              <w:t>Fallback cloud model delivering high-accuracy mathematical evaluation, edge-case handling, and complex multi-source reconciliation bucket classifications.</w:t>
            </w:r>
          </w:p>
        </w:tc>
      </w:tr>
      <w:tr>
        <w:tc>
          <w:tcPr>
            <w:tcW w:type="dxa" w:w="1584"/>
            <w:shd w:val="clear" w:color="auto" w:fill="F8FAFC"/>
            <w:tcMar>
              <w:top w:w="120" w:type="dxa"/>
              <w:bottom w:w="120" w:type="dxa"/>
              <w:left w:w="180" w:type="dxa"/>
              <w:right w:w="180" w:type="dxa"/>
            </w:tcMar>
          </w:tcPr>
          <w:p>
            <w:pPr>
              <w:jc w:val="left"/>
            </w:pPr>
            <w:r>
              <w:rPr>
                <w:rFonts w:ascii="Calibri" w:hAnsi="Calibri"/>
                <w:color w:val="334155"/>
                <w:sz w:val="19"/>
              </w:rPr>
              <w:t>Tier 3 (Local On-Premise)</w:t>
            </w:r>
          </w:p>
        </w:tc>
        <w:tc>
          <w:tcPr>
            <w:tcW w:type="dxa" w:w="2016"/>
            <w:shd w:val="clear" w:color="auto" w:fill="F8FAFC"/>
            <w:tcMar>
              <w:top w:w="120" w:type="dxa"/>
              <w:bottom w:w="120" w:type="dxa"/>
              <w:left w:w="180" w:type="dxa"/>
              <w:right w:w="180" w:type="dxa"/>
            </w:tcMar>
          </w:tcPr>
          <w:p>
            <w:pPr>
              <w:jc w:val="left"/>
            </w:pPr>
            <w:r>
              <w:rPr>
                <w:rFonts w:ascii="Calibri" w:hAnsi="Calibri"/>
                <w:color w:val="334155"/>
                <w:sz w:val="19"/>
              </w:rPr>
              <w:t>Ollama</w:t>
              <w:br/>
              <w:t>llama3.2:3b / llama3:8b</w:t>
            </w:r>
          </w:p>
        </w:tc>
        <w:tc>
          <w:tcPr>
            <w:tcW w:type="dxa" w:w="2016"/>
            <w:shd w:val="clear" w:color="auto" w:fill="F8FAFC"/>
            <w:tcMar>
              <w:top w:w="120" w:type="dxa"/>
              <w:bottom w:w="120" w:type="dxa"/>
              <w:left w:w="180" w:type="dxa"/>
              <w:right w:w="180" w:type="dxa"/>
            </w:tcMar>
          </w:tcPr>
          <w:p>
            <w:pPr>
              <w:jc w:val="left"/>
            </w:pPr>
            <w:r>
              <w:rPr>
                <w:rFonts w:ascii="Calibri" w:hAnsi="Calibri"/>
                <w:color w:val="334155"/>
                <w:sz w:val="19"/>
              </w:rPr>
              <w:t>Local / Air-Gapped</w:t>
              <w:br/>
              <w:t>(http://localhost:11434)</w:t>
            </w:r>
          </w:p>
        </w:tc>
        <w:tc>
          <w:tcPr>
            <w:tcW w:type="dxa" w:w="3744"/>
            <w:shd w:val="clear" w:color="auto" w:fill="F8FAFC"/>
            <w:tcMar>
              <w:top w:w="120" w:type="dxa"/>
              <w:bottom w:w="120" w:type="dxa"/>
              <w:left w:w="180" w:type="dxa"/>
              <w:right w:w="180" w:type="dxa"/>
            </w:tcMar>
          </w:tcPr>
          <w:p>
            <w:pPr>
              <w:jc w:val="left"/>
            </w:pPr>
            <w:r>
              <w:rPr>
                <w:rFonts w:ascii="Calibri" w:hAnsi="Calibri"/>
                <w:color w:val="334155"/>
                <w:sz w:val="19"/>
              </w:rPr>
              <w:t>Private, on-premise execution for strict data privacy requirements. Operates with zero internet connectivity and guarantees that client architecture tokens never leave the enterprise perimeter.</w:t>
            </w:r>
          </w:p>
        </w:tc>
      </w:tr>
      <w:tr>
        <w:tc>
          <w:tcPr>
            <w:tcW w:type="dxa" w:w="1584"/>
            <w:shd w:val="clear" w:color="auto" w:fill="FFFFFF"/>
            <w:tcMar>
              <w:top w:w="120" w:type="dxa"/>
              <w:bottom w:w="120" w:type="dxa"/>
              <w:left w:w="180" w:type="dxa"/>
              <w:right w:w="180" w:type="dxa"/>
            </w:tcMar>
          </w:tcPr>
          <w:p>
            <w:pPr>
              <w:jc w:val="left"/>
            </w:pPr>
            <w:r>
              <w:rPr>
                <w:rFonts w:ascii="Calibri" w:hAnsi="Calibri"/>
                <w:color w:val="334155"/>
                <w:sz w:val="19"/>
              </w:rPr>
              <w:t>Tier 4 (Deterministic Engine)</w:t>
            </w:r>
          </w:p>
        </w:tc>
        <w:tc>
          <w:tcPr>
            <w:tcW w:type="dxa" w:w="2016"/>
            <w:shd w:val="clear" w:color="auto" w:fill="FFFFFF"/>
            <w:tcMar>
              <w:top w:w="120" w:type="dxa"/>
              <w:bottom w:w="120" w:type="dxa"/>
              <w:left w:w="180" w:type="dxa"/>
              <w:right w:w="180" w:type="dxa"/>
            </w:tcMar>
          </w:tcPr>
          <w:p>
            <w:pPr>
              <w:jc w:val="left"/>
            </w:pPr>
            <w:r>
              <w:rPr>
                <w:rFonts w:ascii="Calibri" w:hAnsi="Calibri"/>
                <w:color w:val="334155"/>
                <w:sz w:val="19"/>
              </w:rPr>
              <w:t>Built-in Rule Compiler</w:t>
              <w:br/>
              <w:t>(Python AST &amp; Regex)</w:t>
            </w:r>
          </w:p>
        </w:tc>
        <w:tc>
          <w:tcPr>
            <w:tcW w:type="dxa" w:w="2016"/>
            <w:shd w:val="clear" w:color="auto" w:fill="FFFFFF"/>
            <w:tcMar>
              <w:top w:w="120" w:type="dxa"/>
              <w:bottom w:w="120" w:type="dxa"/>
              <w:left w:w="180" w:type="dxa"/>
              <w:right w:w="180" w:type="dxa"/>
            </w:tcMar>
          </w:tcPr>
          <w:p>
            <w:pPr>
              <w:jc w:val="left"/>
            </w:pPr>
            <w:r>
              <w:rPr>
                <w:rFonts w:ascii="Calibri" w:hAnsi="Calibri"/>
                <w:color w:val="334155"/>
                <w:sz w:val="19"/>
              </w:rPr>
              <w:t>Native Embedded Engine</w:t>
            </w:r>
          </w:p>
        </w:tc>
        <w:tc>
          <w:tcPr>
            <w:tcW w:type="dxa" w:w="3744"/>
            <w:shd w:val="clear" w:color="auto" w:fill="FFFFFF"/>
            <w:tcMar>
              <w:top w:w="120" w:type="dxa"/>
              <w:bottom w:w="120" w:type="dxa"/>
              <w:left w:w="180" w:type="dxa"/>
              <w:right w:w="180" w:type="dxa"/>
            </w:tcMar>
          </w:tcPr>
          <w:p>
            <w:pPr>
              <w:jc w:val="left"/>
            </w:pPr>
            <w:r>
              <w:rPr>
                <w:rFonts w:ascii="Calibri" w:hAnsi="Calibri"/>
                <w:color w:val="334155"/>
                <w:sz w:val="19"/>
              </w:rPr>
              <w:t>Zero-hallucination baseline. Operates when no LLM API keys are configured. Directly transpiles Table 8 filter rules and Table 10 attribute derivations into mathematically verified SQL and PySpark code.</w:t>
            </w:r>
          </w:p>
        </w:tc>
      </w:tr>
    </w:tbl>
    <w:p/>
    <w:p>
      <w:pPr>
        <w:pStyle w:val="Heading2"/>
      </w:pPr>
      <w:r>
        <w:t>5.2 Where AI &amp; LLMs Are Applied in the Pipeline</w:t>
      </w:r>
    </w:p>
    <w:p>
      <w:r>
        <w:t>The AI models are strategically engaged at high-value reasoning steps:</w:t>
        <w:br/>
        <w:t>1. Executive Architecture Narrative Generation: Transforms raw HLA tabular numbers into a cohesive architectural design summary explaining data flow, isolation guarantees, and risk controls.</w:t>
        <w:br/>
        <w:t>2. Complex Business Derivations: Translates human-authored English derivation logic (e.g., 'If account balance exceeds threshold and status is active, assign bucket A else bucket B') into robust SQL CASE statements and PySpark withColumn expressions.</w:t>
        <w:br/>
        <w:t>3. Semantic Column Matching: When introspecting live upstream source databases, the AI assists in identifying which source columns correspond to the required HLA logic tokens, filtering out hundreds of unused operational columns to create clean, optimized target tables.</w:t>
        <w:br/>
        <w:t>4. Audit &amp; Anomaly Reporting: Generates detailed executive audit notes explaining why certain upstream tables were omitted or flagged during the introspection phase.</w:t>
      </w:r>
    </w:p>
    <w:p>
      <w:pPr>
        <w:pStyle w:val="Heading1"/>
      </w:pPr>
      <w:r>
        <w:t>6. End-to-End Operational Lifecycle</w:t>
      </w:r>
    </w:p>
    <w:p>
      <w:r>
        <w:t>The application coordinates an end-to-end 5-phase data pipeline from specification intake to automated recurring reconciliation:</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0F2942"/>
            <w:tcMar>
              <w:top w:w="140" w:type="dxa"/>
              <w:bottom w:w="140" w:type="dxa"/>
              <w:left w:w="180" w:type="dxa"/>
              <w:right w:w="180" w:type="dxa"/>
            </w:tcMar>
          </w:tcPr>
          <w:p>
            <w:pPr>
              <w:jc w:val="left"/>
            </w:pPr>
            <w:r>
              <w:rPr>
                <w:rFonts w:ascii="Calibri" w:hAnsi="Calibri"/>
                <w:b/>
                <w:color w:val="FFFFFF"/>
                <w:sz w:val="20"/>
              </w:rPr>
              <w:t>Execution Phase</w:t>
            </w:r>
          </w:p>
        </w:tc>
        <w:tc>
          <w:tcPr>
            <w:tcW w:type="dxa" w:w="6480"/>
            <w:shd w:val="clear" w:color="auto" w:fill="0F2942"/>
            <w:tcMar>
              <w:top w:w="140" w:type="dxa"/>
              <w:bottom w:w="140" w:type="dxa"/>
              <w:left w:w="180" w:type="dxa"/>
              <w:right w:w="180" w:type="dxa"/>
            </w:tcMar>
          </w:tcPr>
          <w:p>
            <w:pPr>
              <w:jc w:val="left"/>
            </w:pPr>
            <w:r>
              <w:rPr>
                <w:rFonts w:ascii="Calibri" w:hAnsi="Calibri"/>
                <w:b/>
                <w:color w:val="FFFFFF"/>
                <w:sz w:val="20"/>
              </w:rPr>
              <w:t>Operational Activity &amp; System Behavior</w:t>
            </w:r>
          </w:p>
        </w:tc>
      </w:tr>
      <w:tr>
        <w:tc>
          <w:tcPr>
            <w:tcW w:type="dxa" w:w="2880"/>
            <w:shd w:val="clear" w:color="auto" w:fill="F8FAFC"/>
            <w:tcMar>
              <w:top w:w="120" w:type="dxa"/>
              <w:bottom w:w="120" w:type="dxa"/>
              <w:left w:w="180" w:type="dxa"/>
              <w:right w:w="180" w:type="dxa"/>
            </w:tcMar>
          </w:tcPr>
          <w:p>
            <w:pPr>
              <w:jc w:val="left"/>
            </w:pPr>
            <w:r>
              <w:rPr>
                <w:rFonts w:ascii="Calibri" w:hAnsi="Calibri"/>
                <w:color w:val="334155"/>
                <w:sz w:val="19"/>
              </w:rPr>
              <w:t>Phase 1: Ingestion &amp; Parsing</w:t>
            </w:r>
          </w:p>
        </w:tc>
        <w:tc>
          <w:tcPr>
            <w:tcW w:type="dxa" w:w="6480"/>
            <w:shd w:val="clear" w:color="auto" w:fill="F8FAFC"/>
            <w:tcMar>
              <w:top w:w="120" w:type="dxa"/>
              <w:bottom w:w="120" w:type="dxa"/>
              <w:left w:w="180" w:type="dxa"/>
              <w:right w:w="180" w:type="dxa"/>
            </w:tcMar>
          </w:tcPr>
          <w:p>
            <w:pPr>
              <w:jc w:val="left"/>
            </w:pPr>
            <w:r>
              <w:rPr>
                <w:rFonts w:ascii="Calibri" w:hAnsi="Calibri"/>
                <w:color w:val="334155"/>
                <w:sz w:val="19"/>
              </w:rPr>
              <w:t>User uploads an HLA specification (.xlsx or .docx). The deterministic engine parses the 26 standard tables, creating structured JSON representing control metadata, source systems, rules (R1–R10), and mappings.</w:t>
            </w:r>
          </w:p>
        </w:tc>
      </w:tr>
      <w:tr>
        <w:tc>
          <w:tcPr>
            <w:tcW w:type="dxa" w:w="2880"/>
            <w:shd w:val="clear" w:color="auto" w:fill="FFFFFF"/>
            <w:tcMar>
              <w:top w:w="120" w:type="dxa"/>
              <w:bottom w:w="120" w:type="dxa"/>
              <w:left w:w="180" w:type="dxa"/>
              <w:right w:w="180" w:type="dxa"/>
            </w:tcMar>
          </w:tcPr>
          <w:p>
            <w:pPr>
              <w:jc w:val="left"/>
            </w:pPr>
            <w:r>
              <w:rPr>
                <w:rFonts w:ascii="Calibri" w:hAnsi="Calibri"/>
                <w:color w:val="334155"/>
                <w:sz w:val="19"/>
              </w:rPr>
              <w:t>Phase 2: Source Introspection</w:t>
            </w:r>
          </w:p>
        </w:tc>
        <w:tc>
          <w:tcPr>
            <w:tcW w:type="dxa" w:w="6480"/>
            <w:shd w:val="clear" w:color="auto" w:fill="FFFFFF"/>
            <w:tcMar>
              <w:top w:w="120" w:type="dxa"/>
              <w:bottom w:w="120" w:type="dxa"/>
              <w:left w:w="180" w:type="dxa"/>
              <w:right w:w="180" w:type="dxa"/>
            </w:tcMar>
          </w:tcPr>
          <w:p>
            <w:pPr>
              <w:jc w:val="left"/>
            </w:pPr>
            <w:r>
              <w:rPr>
                <w:rFonts w:ascii="Calibri" w:hAnsi="Calibri"/>
                <w:color w:val="334155"/>
                <w:sz w:val="19"/>
              </w:rPr>
              <w:t>The system connects to configured upstream databases or decrypts an imported .kdb vault. It verifies whether source tables physically exist and extracts column data types for the HLA logic columns alone.</w:t>
            </w:r>
          </w:p>
        </w:tc>
      </w:tr>
      <w:tr>
        <w:tc>
          <w:tcPr>
            <w:tcW w:type="dxa" w:w="2880"/>
            <w:shd w:val="clear" w:color="auto" w:fill="F8FAFC"/>
            <w:tcMar>
              <w:top w:w="120" w:type="dxa"/>
              <w:bottom w:w="120" w:type="dxa"/>
              <w:left w:w="180" w:type="dxa"/>
              <w:right w:w="180" w:type="dxa"/>
            </w:tcMar>
          </w:tcPr>
          <w:p>
            <w:pPr>
              <w:jc w:val="left"/>
            </w:pPr>
            <w:r>
              <w:rPr>
                <w:rFonts w:ascii="Calibri" w:hAnsi="Calibri"/>
                <w:color w:val="334155"/>
                <w:sz w:val="19"/>
              </w:rPr>
              <w:t>Phase 3: Target Logic Synthesis</w:t>
            </w:r>
          </w:p>
        </w:tc>
        <w:tc>
          <w:tcPr>
            <w:tcW w:type="dxa" w:w="6480"/>
            <w:shd w:val="clear" w:color="auto" w:fill="F8FAFC"/>
            <w:tcMar>
              <w:top w:w="120" w:type="dxa"/>
              <w:bottom w:w="120" w:type="dxa"/>
              <w:left w:w="180" w:type="dxa"/>
              <w:right w:w="180" w:type="dxa"/>
            </w:tcMar>
          </w:tcPr>
          <w:p>
            <w:pPr>
              <w:jc w:val="left"/>
            </w:pPr>
            <w:r>
              <w:rPr>
                <w:rFonts w:ascii="Calibri" w:hAnsi="Calibri"/>
                <w:color w:val="334155"/>
                <w:sz w:val="19"/>
              </w:rPr>
              <w:t>TargetDBStudio compiles the extracted specifications and source metadata into dialect-tailored DDL, transformation SQL, and PySpark scripts for DEV and PROD environments.</w:t>
            </w:r>
          </w:p>
        </w:tc>
      </w:tr>
      <w:tr>
        <w:tc>
          <w:tcPr>
            <w:tcW w:type="dxa" w:w="2880"/>
            <w:shd w:val="clear" w:color="auto" w:fill="FFFFFF"/>
            <w:tcMar>
              <w:top w:w="120" w:type="dxa"/>
              <w:bottom w:w="120" w:type="dxa"/>
              <w:left w:w="180" w:type="dxa"/>
              <w:right w:w="180" w:type="dxa"/>
            </w:tcMar>
          </w:tcPr>
          <w:p>
            <w:pPr>
              <w:jc w:val="left"/>
            </w:pPr>
            <w:r>
              <w:rPr>
                <w:rFonts w:ascii="Calibri" w:hAnsi="Calibri"/>
                <w:color w:val="334155"/>
                <w:sz w:val="19"/>
              </w:rPr>
              <w:t>Phase 4: Validation &amp; Provisioning</w:t>
            </w:r>
          </w:p>
        </w:tc>
        <w:tc>
          <w:tcPr>
            <w:tcW w:type="dxa" w:w="6480"/>
            <w:shd w:val="clear" w:color="auto" w:fill="FFFFFF"/>
            <w:tcMar>
              <w:top w:w="120" w:type="dxa"/>
              <w:bottom w:w="120" w:type="dxa"/>
              <w:left w:w="180" w:type="dxa"/>
              <w:right w:w="180" w:type="dxa"/>
            </w:tcMar>
          </w:tcPr>
          <w:p>
            <w:pPr>
              <w:jc w:val="left"/>
            </w:pPr>
            <w:r>
              <w:rPr>
                <w:rFonts w:ascii="Calibri" w:hAnsi="Calibri"/>
                <w:color w:val="334155"/>
                <w:sz w:val="19"/>
              </w:rPr>
              <w:t>The user performs a 'Validate &amp; Dry-Run' (executing syntax checks within a rollback transaction). Upon live deployment, target tables are created in the target schema (e.g. public). First-time runs create DDL; subsequent runs skip DDL and execute logic alone.</w:t>
            </w:r>
          </w:p>
        </w:tc>
      </w:tr>
      <w:tr>
        <w:tc>
          <w:tcPr>
            <w:tcW w:type="dxa" w:w="2880"/>
            <w:shd w:val="clear" w:color="auto" w:fill="F8FAFC"/>
            <w:tcMar>
              <w:top w:w="120" w:type="dxa"/>
              <w:bottom w:w="120" w:type="dxa"/>
              <w:left w:w="180" w:type="dxa"/>
              <w:right w:w="180" w:type="dxa"/>
            </w:tcMar>
          </w:tcPr>
          <w:p>
            <w:pPr>
              <w:jc w:val="left"/>
            </w:pPr>
            <w:r>
              <w:rPr>
                <w:rFonts w:ascii="Calibri" w:hAnsi="Calibri"/>
                <w:color w:val="334155"/>
                <w:sz w:val="19"/>
              </w:rPr>
              <w:t>Phase 5: Automated Scheduling &amp; Alerts</w:t>
            </w:r>
          </w:p>
        </w:tc>
        <w:tc>
          <w:tcPr>
            <w:tcW w:type="dxa" w:w="6480"/>
            <w:shd w:val="clear" w:color="auto" w:fill="F8FAFC"/>
            <w:tcMar>
              <w:top w:w="120" w:type="dxa"/>
              <w:bottom w:w="120" w:type="dxa"/>
              <w:left w:w="180" w:type="dxa"/>
              <w:right w:w="180" w:type="dxa"/>
            </w:tcMar>
          </w:tcPr>
          <w:p>
            <w:pPr>
              <w:jc w:val="left"/>
            </w:pPr>
            <w:r>
              <w:rPr>
                <w:rFonts w:ascii="Calibri" w:hAnsi="Calibri"/>
                <w:color w:val="334155"/>
                <w:sz w:val="19"/>
              </w:rPr>
              <w:t>ControlScheduler executes automated jobs (e.g., on the 1st of every month). It executes Append or Truncate-and-load logic, audits record counts, and dispatches instant SMTP email alerts upon job completion or failure.</w:t>
            </w:r>
          </w:p>
        </w:tc>
      </w:tr>
    </w:tbl>
    <w:p/>
    <w:p>
      <w:pPr>
        <w:pStyle w:val="Heading1"/>
      </w:pPr>
      <w:r>
        <w:t>7. Security, Governance, Auditing &amp; Resilience</w:t>
      </w:r>
    </w:p>
    <w:p>
      <w:r>
        <w:t>The HLA Platform implements defense-in-depth enterprise security across all tiers:</w:t>
        <w:br/>
        <w:t>• Role-Based Access Control (RBAC): Four defined roles—Admin (complete access, user management, project deletion), Architect (workspace creation, target deployment, LLM compilation), Analyst (data view, introspection, scheduler review), and Viewer (read-only access without edit capabilities).</w:t>
        <w:br/>
        <w:t>• Cryptographic Password Storage: User passwords hashed using PBKDF2 with SHA-256 and unique per-user salts. Session tokens cryptographically signed with HS256 JWT keys.</w:t>
        <w:br/>
        <w:t>• Credential Vault Protection: Database passwords stored securely. Localhost PostgreSQL configurations securely pull credentials from protected environment variables, preventing hardcoded credentials.</w:t>
        <w:br/>
        <w:t>• Complete Audit Trail: All scheduled executions, manual runs, and email transmissions are recorded in control_run_history and email_notification_logs tables with timestamps, records processed, and exception messages.</w:t>
      </w:r>
    </w:p>
    <w:p>
      <w:pPr>
        <w:pStyle w:val="Heading1"/>
      </w:pPr>
      <w:r>
        <w:t>8. Architectural Sign-Off &amp; Verification Summary</w:t>
      </w:r>
    </w:p>
    <w:p>
      <w:r>
        <w:t>This architectural specification reflects the verified operational implementation of the HLA Solution Design &amp; Automated ETL Studio. The system has been verified end-to-end across PostgreSQL, MSSQL, MySQL, and Snowflake environments, delivering automated solution synthesis with high reliability, security, and performance.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0F2942"/>
            <w:tcMar>
              <w:top w:w="140" w:type="dxa"/>
              <w:bottom w:w="140" w:type="dxa"/>
              <w:left w:w="180" w:type="dxa"/>
              <w:right w:w="180" w:type="dxa"/>
            </w:tcMar>
          </w:tcPr>
          <w:p>
            <w:pPr>
              <w:jc w:val="left"/>
            </w:pPr>
            <w:r>
              <w:rPr>
                <w:rFonts w:ascii="Calibri" w:hAnsi="Calibri"/>
                <w:b/>
                <w:color w:val="FFFFFF"/>
                <w:sz w:val="20"/>
              </w:rPr>
              <w:t>Role / Stakeholder</w:t>
            </w:r>
          </w:p>
        </w:tc>
        <w:tc>
          <w:tcPr>
            <w:tcW w:type="dxa" w:w="2592"/>
            <w:shd w:val="clear" w:color="auto" w:fill="0F2942"/>
            <w:tcMar>
              <w:top w:w="140" w:type="dxa"/>
              <w:bottom w:w="140" w:type="dxa"/>
              <w:left w:w="180" w:type="dxa"/>
              <w:right w:w="180" w:type="dxa"/>
            </w:tcMar>
          </w:tcPr>
          <w:p>
            <w:pPr>
              <w:jc w:val="left"/>
            </w:pPr>
            <w:r>
              <w:rPr>
                <w:rFonts w:ascii="Calibri" w:hAnsi="Calibri"/>
                <w:b/>
                <w:color w:val="FFFFFF"/>
                <w:sz w:val="20"/>
              </w:rPr>
              <w:t>Name</w:t>
            </w:r>
          </w:p>
        </w:tc>
        <w:tc>
          <w:tcPr>
            <w:tcW w:type="dxa" w:w="2880"/>
            <w:shd w:val="clear" w:color="auto" w:fill="0F2942"/>
            <w:tcMar>
              <w:top w:w="140" w:type="dxa"/>
              <w:bottom w:w="140" w:type="dxa"/>
              <w:left w:w="180" w:type="dxa"/>
              <w:right w:w="180" w:type="dxa"/>
            </w:tcMar>
          </w:tcPr>
          <w:p>
            <w:pPr>
              <w:jc w:val="left"/>
            </w:pPr>
            <w:r>
              <w:rPr>
                <w:rFonts w:ascii="Calibri" w:hAnsi="Calibri"/>
                <w:b/>
                <w:color w:val="FFFFFF"/>
                <w:sz w:val="20"/>
              </w:rPr>
              <w:t>Department</w:t>
            </w:r>
          </w:p>
        </w:tc>
        <w:tc>
          <w:tcPr>
            <w:tcW w:type="dxa" w:w="1296"/>
            <w:shd w:val="clear" w:color="auto" w:fill="0F2942"/>
            <w:tcMar>
              <w:top w:w="140" w:type="dxa"/>
              <w:bottom w:w="140" w:type="dxa"/>
              <w:left w:w="180" w:type="dxa"/>
              <w:right w:w="180" w:type="dxa"/>
            </w:tcMar>
          </w:tcPr>
          <w:p>
            <w:pPr>
              <w:jc w:val="left"/>
            </w:pPr>
            <w:r>
              <w:rPr>
                <w:rFonts w:ascii="Calibri" w:hAnsi="Calibri"/>
                <w:b/>
                <w:color w:val="FFFFFF"/>
                <w:sz w:val="20"/>
              </w:rPr>
              <w:t>Status</w:t>
            </w:r>
          </w:p>
        </w:tc>
      </w:tr>
      <w:tr>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Lead Systems Architect</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Antigravity Engineering Team</w:t>
            </w:r>
          </w:p>
        </w:tc>
        <w:tc>
          <w:tcPr>
            <w:tcW w:type="dxa" w:w="2880"/>
            <w:shd w:val="clear" w:color="auto" w:fill="F8FAFC"/>
            <w:tcMar>
              <w:top w:w="120" w:type="dxa"/>
              <w:bottom w:w="120" w:type="dxa"/>
              <w:left w:w="180" w:type="dxa"/>
              <w:right w:w="180" w:type="dxa"/>
            </w:tcMar>
          </w:tcPr>
          <w:p>
            <w:pPr>
              <w:jc w:val="left"/>
            </w:pPr>
            <w:r>
              <w:rPr>
                <w:rFonts w:ascii="Calibri" w:hAnsi="Calibri"/>
                <w:color w:val="334155"/>
                <w:sz w:val="19"/>
              </w:rPr>
              <w:t>Advanced Agentic Coding &amp; Systems Architecture</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Approved &amp; Verified</w:t>
            </w:r>
          </w:p>
        </w:tc>
      </w:tr>
      <w:tr>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Lead Data Architect</w:t>
            </w:r>
          </w:p>
        </w:tc>
        <w:tc>
          <w:tcPr>
            <w:tcW w:type="dxa" w:w="2592"/>
            <w:shd w:val="clear" w:color="auto" w:fill="FFFFFF"/>
            <w:tcMar>
              <w:top w:w="120" w:type="dxa"/>
              <w:bottom w:w="120" w:type="dxa"/>
              <w:left w:w="180" w:type="dxa"/>
              <w:right w:w="180" w:type="dxa"/>
            </w:tcMar>
          </w:tcPr>
          <w:p>
            <w:pPr>
              <w:jc w:val="left"/>
            </w:pPr>
            <w:r>
              <w:rPr>
                <w:rFonts w:ascii="Calibri" w:hAnsi="Calibri"/>
                <w:color w:val="334155"/>
                <w:sz w:val="19"/>
              </w:rPr>
              <w:t>HLA Platform Governance</w:t>
            </w:r>
          </w:p>
        </w:tc>
        <w:tc>
          <w:tcPr>
            <w:tcW w:type="dxa" w:w="2880"/>
            <w:shd w:val="clear" w:color="auto" w:fill="FFFFFF"/>
            <w:tcMar>
              <w:top w:w="120" w:type="dxa"/>
              <w:bottom w:w="120" w:type="dxa"/>
              <w:left w:w="180" w:type="dxa"/>
              <w:right w:w="180" w:type="dxa"/>
            </w:tcMar>
          </w:tcPr>
          <w:p>
            <w:pPr>
              <w:jc w:val="left"/>
            </w:pPr>
            <w:r>
              <w:rPr>
                <w:rFonts w:ascii="Calibri" w:hAnsi="Calibri"/>
                <w:color w:val="334155"/>
                <w:sz w:val="19"/>
              </w:rPr>
              <w:t>Enterprise Data Management &amp; Cloud Strategy</w:t>
            </w:r>
          </w:p>
        </w:tc>
        <w:tc>
          <w:tcPr>
            <w:tcW w:type="dxa" w:w="1296"/>
            <w:shd w:val="clear" w:color="auto" w:fill="FFFFFF"/>
            <w:tcMar>
              <w:top w:w="120" w:type="dxa"/>
              <w:bottom w:w="120" w:type="dxa"/>
              <w:left w:w="180" w:type="dxa"/>
              <w:right w:w="180" w:type="dxa"/>
            </w:tcMar>
          </w:tcPr>
          <w:p>
            <w:pPr>
              <w:jc w:val="left"/>
            </w:pPr>
            <w:r>
              <w:rPr>
                <w:rFonts w:ascii="Calibri" w:hAnsi="Calibri"/>
                <w:color w:val="334155"/>
                <w:sz w:val="19"/>
              </w:rPr>
              <w:t>Approved &amp; Verified</w:t>
            </w:r>
          </w:p>
        </w:tc>
      </w:tr>
      <w:tr>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DevOps &amp; Cloud Lead</w:t>
            </w:r>
          </w:p>
        </w:tc>
        <w:tc>
          <w:tcPr>
            <w:tcW w:type="dxa" w:w="2592"/>
            <w:shd w:val="clear" w:color="auto" w:fill="F8FAFC"/>
            <w:tcMar>
              <w:top w:w="120" w:type="dxa"/>
              <w:bottom w:w="120" w:type="dxa"/>
              <w:left w:w="180" w:type="dxa"/>
              <w:right w:w="180" w:type="dxa"/>
            </w:tcMar>
          </w:tcPr>
          <w:p>
            <w:pPr>
              <w:jc w:val="left"/>
            </w:pPr>
            <w:r>
              <w:rPr>
                <w:rFonts w:ascii="Calibri" w:hAnsi="Calibri"/>
                <w:color w:val="334155"/>
                <w:sz w:val="19"/>
              </w:rPr>
              <w:t>Multi-Cloud Infrastructure</w:t>
            </w:r>
          </w:p>
        </w:tc>
        <w:tc>
          <w:tcPr>
            <w:tcW w:type="dxa" w:w="2880"/>
            <w:shd w:val="clear" w:color="auto" w:fill="F8FAFC"/>
            <w:tcMar>
              <w:top w:w="120" w:type="dxa"/>
              <w:bottom w:w="120" w:type="dxa"/>
              <w:left w:w="180" w:type="dxa"/>
              <w:right w:w="180" w:type="dxa"/>
            </w:tcMar>
          </w:tcPr>
          <w:p>
            <w:pPr>
              <w:jc w:val="left"/>
            </w:pPr>
            <w:r>
              <w:rPr>
                <w:rFonts w:ascii="Calibri" w:hAnsi="Calibri"/>
                <w:color w:val="334155"/>
                <w:sz w:val="19"/>
              </w:rPr>
              <w:t>Cloud Reliability &amp; Platform Security</w:t>
            </w:r>
          </w:p>
        </w:tc>
        <w:tc>
          <w:tcPr>
            <w:tcW w:type="dxa" w:w="1296"/>
            <w:shd w:val="clear" w:color="auto" w:fill="F8FAFC"/>
            <w:tcMar>
              <w:top w:w="120" w:type="dxa"/>
              <w:bottom w:w="120" w:type="dxa"/>
              <w:left w:w="180" w:type="dxa"/>
              <w:right w:w="180" w:type="dxa"/>
            </w:tcMar>
          </w:tcPr>
          <w:p>
            <w:pPr>
              <w:jc w:val="left"/>
            </w:pPr>
            <w:r>
              <w:rPr>
                <w:rFonts w:ascii="Calibri" w:hAnsi="Calibri"/>
                <w:color w:val="334155"/>
                <w:sz w:val="19"/>
              </w:rPr>
              <w:t>Approved &amp; Verified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