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2A"/>
          <w:sz w:val="40"/>
        </w:rPr>
        <w:t>CTRL-23: Control-23 VUTM/DDOS Reconciliation - Source Systems</w:t>
        <w:br/>
        <w:t>RECONCILIATION SOLUTION DESIGN SPECIFICATION</w:t>
      </w:r>
    </w:p>
    <w:p>
      <w:pPr>
        <w:jc w:val="center"/>
      </w:pPr>
      <w:r>
        <w:rPr>
          <w:i/>
          <w:color w:val="636E72"/>
          <w:sz w:val="22"/>
        </w:rPr>
        <w:t>Standardized Enterprise Architecture Specification per Solution Design Template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Control Number &amp; Name: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CTRL-23 - Control-23 VUTM/DDOS Reconciliation - Source Systems</w:t>
            </w:r>
          </w:p>
        </w:tc>
      </w:tr>
      <w:tr>
        <w:tc>
          <w:tcPr>
            <w:tcW w:type="dxa" w:w="4320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Source Document: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Control23_Source_Logic.xlsx</w:t>
            </w:r>
          </w:p>
        </w:tc>
      </w:tr>
      <w:tr>
        <w:tc>
          <w:tcPr>
            <w:tcW w:type="dxa" w:w="4320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Template Standard: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HLA Solution Design Template (v0.1)</w:t>
            </w:r>
          </w:p>
        </w:tc>
      </w:tr>
      <w:tr>
        <w:tc>
          <w:tcPr>
            <w:tcW w:type="dxa" w:w="4320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Compliance Status: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Partial Compliance</w:t>
            </w:r>
          </w:p>
        </w:tc>
      </w:tr>
      <w:tr>
        <w:tc>
          <w:tcPr>
            <w:tcW w:type="dxa" w:w="4320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Analysis Engine: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HLA AI Engine (Automated)</w:t>
            </w:r>
          </w:p>
        </w:tc>
      </w:tr>
    </w:tbl>
    <w:p>
      <w:r>
        <w:br w:type="page"/>
      </w:r>
    </w:p>
    <w:p>
      <w:pPr>
        <w:pStyle w:val="Heading1"/>
      </w:pPr>
      <w:r>
        <w:t>1. Executive Architectural Overview</w:t>
      </w:r>
    </w:p>
    <w:p>
      <w:pPr>
        <w:pStyle w:val="Heading1"/>
      </w:pPr>
      <w:r>
        <w:t>2. Source Systems &amp; Database Inventory</w:t>
      </w:r>
    </w:p>
    <w:p>
      <w:r>
        <w:t>Table details all source database schemas, tables, refresh schedules, and data load mechanisms: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Source System</w:t>
            </w:r>
          </w:p>
        </w:tc>
        <w:tc>
          <w:tcPr>
            <w:tcW w:type="dxa" w:w="144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DB</w:t>
            </w:r>
          </w:p>
        </w:tc>
        <w:tc>
          <w:tcPr>
            <w:tcW w:type="dxa" w:w="144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Schema</w:t>
            </w:r>
          </w:p>
        </w:tc>
        <w:tc>
          <w:tcPr>
            <w:tcW w:type="dxa" w:w="144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144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Refresh Timing</w:t>
            </w:r>
          </w:p>
        </w:tc>
        <w:tc>
          <w:tcPr>
            <w:tcW w:type="dxa" w:w="144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Type of Load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Lake - CMDB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ods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dl_itsm_cmdb_daily_dump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  <w:tr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Lake - VUTM (VDOM)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ods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reports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dl_vdom_firewall_audit_report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Lake - DDOS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ods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pearl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dl_pearl_active_profiles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  <w:tr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Lake - Billing Order Report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ods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qlik_report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dl_ra_order_report_daily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Lake - FX Rate Table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ods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sap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zcurr_conv_rate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  <w:tr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Lake - SFDC (MRC Charges)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landing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SFDC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copf_id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 Reco - DQMI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rarecon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stg_rk_ckt_recon_final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Truncate and load</w:t>
            </w:r>
          </w:p>
        </w:tc>
      </w:tr>
    </w:tbl>
    <w:p>
      <w:pPr>
        <w:pStyle w:val="Heading1"/>
      </w:pPr>
      <w:r>
        <w:t>3. Data Extraction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Extraction Type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Extraction Logic / Window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 Dump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</w:tbl>
    <w:p>
      <w:pPr>
        <w:pStyle w:val="Heading1"/>
      </w:pPr>
      <w:r>
        <w:t>4. Development &amp; Pipeline Execution Flow</w:t>
      </w:r>
    </w:p>
    <w:p>
      <w:pPr>
        <w:pStyle w:val="ListBullet"/>
      </w:pPr>
      <w:r>
        <w:t>stagedescriptionentities</w:t>
      </w:r>
    </w:p>
    <w:p>
      <w:pPr>
        <w:pStyle w:val="ListBullet"/>
      </w:pPr>
      <w:r>
        <w:t>stagedescriptionentities</w:t>
      </w:r>
    </w:p>
    <w:p>
      <w:pPr>
        <w:pStyle w:val="ListBullet"/>
      </w:pPr>
      <w:r>
        <w:t>stagedescriptionentities</w:t>
      </w:r>
    </w:p>
    <w:p>
      <w:pPr>
        <w:pStyle w:val="ListBullet"/>
      </w:pPr>
      <w:r>
        <w:t>stagedescriptionentities</w:t>
      </w:r>
    </w:p>
    <w:p>
      <w:pPr>
        <w:pStyle w:val="Heading1"/>
      </w:pPr>
      <w:r>
        <w:t>5. Filter Buckets &amp; Source Table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Filter Rule Applied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Filtered-Out Bucket (Exceptions)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Balanced Records (Pass-Through)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duplicate records (Host_Name, VDOM, IP are duplicate) in VDOM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records if mandatory fields (Host and IP) both are null in VDOM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duplicate records (Circuit Id, COPF Id, Profile Name) in DDOS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records if mandatory fields (Circuit Id, COPF Id, Profile Name) all are null in DDOS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duplicate records (Circuit Id, Host, IP, COPF) in CMDB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records if mandatory fields (Circuit Id, Host, IP) all null in CMDB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 Reco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duplicate records (Circuit Id) in Circuit Reco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 Reco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 out records if mandatory field (Circuit Id) is null in Circuit Reco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Remove Internal Profiles from VDOM. Internal profile records provided by user, stored in a config file and filtered out from VDOM source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Remove Test/Dummy IPs from CMDB (e.g. 1.1, 1.1.1.1, 0.0.0.1, 0.0.0.0) - kept in config values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7. Report Table Generation &amp; Attribute Mapping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1728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Report Table Name</w:t>
            </w:r>
          </w:p>
        </w:tc>
        <w:tc>
          <w:tcPr>
            <w:tcW w:type="dxa" w:w="1728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1728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Source Table.Field / Derivation Logic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production_ip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Match key equality interface_ip = CMDB.production_ip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host_name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Match key equality vdom = CMDB.host_name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host_name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Match key equality Name = CMDB.host_name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VUTM/DDOS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SERVICE_ID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Mapped from VUTM/DDOS.Circuit_Id to Circuit Reco.SERVICE_ID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VDOM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ip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VDOM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manda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VDOM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ry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VDOM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host_and_ip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VDOM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circuit_id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DDOS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11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copf_id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DDOS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profile_name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DDOS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manda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DDOS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14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DDOS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ry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DDOS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15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circuit_id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16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host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17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ip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18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copf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19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manda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ry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21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 Reco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circuit_id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Circuit Reco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22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 Reco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manda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Circuit Reco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Circuit Reco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ry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Circuit Reco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24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VDOM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red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VDOM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e_g__1_1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26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1_1_1_1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27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0_0_0_1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28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CMDB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0_0_0_0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980B9"/>
              </w:rPr>
              <w:t>Direct</w:t>
            </w:r>
          </w:p>
        </w:tc>
        <w:tc>
          <w:tcPr>
            <w:tcW w:type="dxa" w:w="1728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key/mandatory attribute in CMDB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29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FB3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30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FB4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31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FB5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32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FB6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33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FB7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34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B1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35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B2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36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B3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37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B4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38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39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B6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40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B4.1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NON-KRI 01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41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B5.1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KRI 01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42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B5.2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KRI 02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43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B5.3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KRI 02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44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B5.4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KRI 04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45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B5.5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NON-KRI 02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46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B5.6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(Good Cases)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47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*No negative MRC to be considered - open question: should MRC of zero/negative value be treated as positive (e.g. -50 = 50)? Sample data to be shared.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48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Derived Ageing / Impact Fields (Final 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49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Field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Logic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50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Ageing_TRF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If circuit status = 'Underprovisioning': ageing = COPF timestamp - Current date.</w:t>
              <w:br/>
              <w:t>If circuit status = 'Terminated': ageing = TRF date - Current date.</w:t>
              <w:br/>
              <w:t>If circuit status = 'Cancelled': no calculation required.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51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TRF_Impact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If circuit status = 'Underprovisioning': Impact = (COPF timestamp - Current date) * MRC_IN_USD/30.</w:t>
              <w:br/>
              <w:t>If circuit status = 'Terminated': Impact = (TRF date - Current date) * MRC_IN_USD/30.</w:t>
              <w:br/>
              <w:t>If circuit status = 'Cancelled': Impact = MRC_IN_USD/30.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52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Days_Up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basis the COPF ID timestamp - control run date.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53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Impact_Up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If circuit status = 'Underprovisioning': Impact = (COPF timestamp - Current date) * MRC_IN_USD/30.</w:t>
              <w:br/>
              <w:t>If circuit status = 'Terminated': Impact = (TRF date - Current date) * MRC_IN_USD/30.</w:t>
              <w:br/>
              <w:t>If circuit status = 'Cancelled': Impact = MRC_IN_USD/30.</w:t>
            </w:r>
          </w:p>
        </w:tc>
      </w:tr>
      <w:tr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54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Calculated (Workitem)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Ageing_Up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0392B"/>
              </w:rPr>
              <w:t>Derived</w:t>
            </w:r>
          </w:p>
        </w:tc>
        <w:tc>
          <w:tcPr>
            <w:tcW w:type="dxa" w:w="1728"/>
            <w:shd w:val="clear" w:color="auto" w:fill="FFF8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Ageing = COPF ID date - Current Run Date (based on first observation date).</w:t>
              <w:br/>
              <w:t>Ageing Slabs: 0-30, 31-60, 61-90, 91-180, 181-360, &gt;360</w:t>
            </w:r>
          </w:p>
        </w:tc>
      </w:tr>
    </w:tbl>
    <w:p>
      <w:pPr>
        <w:pStyle w:val="Heading1"/>
      </w:pPr>
      <w:r>
        <w:t>9. Configuration Values &amp;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Config Table Name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Sample Fields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Consumed By (Report Name)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hostname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managed_services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ip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</w:tbl>
    <w:p>
      <w:pPr>
        <w:pStyle w:val="Heading1"/>
      </w:pPr>
      <w:r>
        <w:t>10. Report Inventory &amp; Generation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Sequence #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Report Name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Depends On</w:t>
            </w:r>
          </w:p>
        </w:tc>
        <w:tc>
          <w:tcPr>
            <w:tcW w:type="dxa" w:w="2160"/>
            <w:shd w:val="clear" w:color="auto" w:fill="1B2A4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FB1 -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FB2 - 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FB3 -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FB4 - 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FB5 -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FB6 - 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FB7 -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B1 - 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B2 -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B3 - 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B4 -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B5 - -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13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B6 - -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14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B4.1 - NON-KRI 01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15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B5.1 - KRI 01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16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B5.2 - KRI 02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17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B5.3 - KRI 02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18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B5.4 - KRI 04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19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B5.5 - NON-KRI 02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B5.6 - (Good Cases)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Bucket *No negative MRC to be considered - open question: should MRC of zero/negative value be treated as positive (e.g. -50 = 50)? Sample data to be shared. - Recon Outcome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